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4CC5" w14:textId="2B1731B7" w:rsidR="00BD032D" w:rsidRDefault="00BD032D" w:rsidP="00BD032D">
      <w:pPr>
        <w:shd w:val="clear" w:color="auto" w:fill="FFFFFF"/>
        <w:spacing w:after="0" w:line="240" w:lineRule="auto"/>
        <w:jc w:val="center"/>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COUNCIL OF THE CITY OF NEW YORK</w:t>
      </w:r>
      <w:r w:rsidRPr="0050497B">
        <w:rPr>
          <w:rFonts w:ascii="Times New Roman" w:eastAsia="Times New Roman" w:hAnsi="Times New Roman" w:cs="Times New Roman"/>
          <w:sz w:val="24"/>
          <w:szCs w:val="24"/>
        </w:rPr>
        <w:br/>
        <w:t>RES. NO.</w:t>
      </w:r>
      <w:r w:rsidR="005C431B">
        <w:rPr>
          <w:rFonts w:ascii="Times New Roman" w:eastAsia="Times New Roman" w:hAnsi="Times New Roman" w:cs="Times New Roman"/>
          <w:sz w:val="24"/>
          <w:szCs w:val="24"/>
        </w:rPr>
        <w:t xml:space="preserve"> 1786</w:t>
      </w:r>
      <w:bookmarkStart w:id="0" w:name="_GoBack"/>
      <w:bookmarkEnd w:id="0"/>
    </w:p>
    <w:p w14:paraId="441105AC" w14:textId="77777777" w:rsidR="00BD032D" w:rsidRPr="0050497B" w:rsidRDefault="00BD032D" w:rsidP="00BD032D">
      <w:pPr>
        <w:shd w:val="clear" w:color="auto" w:fill="FFFFFF"/>
        <w:spacing w:after="0" w:line="240" w:lineRule="auto"/>
        <w:jc w:val="center"/>
        <w:rPr>
          <w:rFonts w:ascii="Times New Roman" w:eastAsia="Times New Roman" w:hAnsi="Times New Roman" w:cs="Times New Roman"/>
          <w:sz w:val="24"/>
          <w:szCs w:val="24"/>
        </w:rPr>
      </w:pPr>
    </w:p>
    <w:p w14:paraId="5C1364BC" w14:textId="77777777" w:rsidR="00BD032D" w:rsidRPr="0050497B" w:rsidRDefault="00BD032D" w:rsidP="00BD032D">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..Title</w:t>
      </w:r>
    </w:p>
    <w:p w14:paraId="6F0C648C" w14:textId="58B74B36" w:rsidR="00BD032D" w:rsidRPr="0050497B" w:rsidRDefault="00BD032D" w:rsidP="00441F8B">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Resolution approving an amendment to a previously approved real property tax exemption pursuant to Section 577 of the Private Housing Finance Law for property located at (</w:t>
      </w:r>
      <w:r w:rsidR="00441F8B" w:rsidRPr="00441F8B">
        <w:rPr>
          <w:rFonts w:ascii="Times New Roman" w:eastAsia="Times New Roman" w:hAnsi="Times New Roman" w:cs="Times New Roman"/>
          <w:sz w:val="24"/>
          <w:szCs w:val="24"/>
        </w:rPr>
        <w:t>Block 5295, Lots 4, 104, 105, 106, 107, 108, 111, 112, and 113</w:t>
      </w:r>
      <w:r w:rsidR="00441F8B">
        <w:rPr>
          <w:rFonts w:ascii="Times New Roman" w:eastAsia="Times New Roman" w:hAnsi="Times New Roman" w:cs="Times New Roman"/>
          <w:sz w:val="24"/>
          <w:szCs w:val="24"/>
        </w:rPr>
        <w:t>)</w:t>
      </w:r>
      <w:r w:rsidRPr="0050497B">
        <w:rPr>
          <w:rFonts w:ascii="Times New Roman" w:eastAsia="Times New Roman" w:hAnsi="Times New Roman" w:cs="Times New Roman"/>
          <w:sz w:val="24"/>
          <w:szCs w:val="24"/>
        </w:rPr>
        <w:t xml:space="preserve">, </w:t>
      </w:r>
      <w:r w:rsidR="00441F8B">
        <w:rPr>
          <w:rFonts w:ascii="Times New Roman" w:eastAsia="Times New Roman" w:hAnsi="Times New Roman" w:cs="Times New Roman"/>
          <w:sz w:val="24"/>
          <w:szCs w:val="24"/>
        </w:rPr>
        <w:t>Brooklyn</w:t>
      </w:r>
      <w:r w:rsidRPr="0050497B">
        <w:rPr>
          <w:rFonts w:ascii="Times New Roman" w:eastAsia="Times New Roman" w:hAnsi="Times New Roman" w:cs="Times New Roman"/>
          <w:sz w:val="24"/>
          <w:szCs w:val="24"/>
        </w:rPr>
        <w:t xml:space="preserve"> (Preconsidered L.U. No.</w:t>
      </w:r>
      <w:r w:rsidR="009860D4">
        <w:rPr>
          <w:rFonts w:ascii="Times New Roman" w:eastAsia="Times New Roman" w:hAnsi="Times New Roman" w:cs="Times New Roman"/>
          <w:sz w:val="24"/>
          <w:szCs w:val="24"/>
        </w:rPr>
        <w:t xml:space="preserve"> 908</w:t>
      </w:r>
      <w:r w:rsidRPr="0050497B">
        <w:rPr>
          <w:rFonts w:ascii="Times New Roman" w:eastAsia="Times New Roman" w:hAnsi="Times New Roman" w:cs="Times New Roman"/>
          <w:sz w:val="24"/>
          <w:szCs w:val="24"/>
        </w:rPr>
        <w:t>).</w:t>
      </w:r>
    </w:p>
    <w:p w14:paraId="497A5069" w14:textId="77777777" w:rsidR="00BD032D" w:rsidRPr="0050497B" w:rsidRDefault="00BD032D" w:rsidP="00BD032D">
      <w:pPr>
        <w:shd w:val="clear" w:color="auto" w:fill="FFFFFF"/>
        <w:spacing w:after="0" w:line="240" w:lineRule="auto"/>
        <w:rPr>
          <w:rFonts w:ascii="Times New Roman" w:eastAsia="Times New Roman" w:hAnsi="Times New Roman" w:cs="Times New Roman"/>
          <w:vanish/>
          <w:sz w:val="24"/>
          <w:szCs w:val="24"/>
        </w:rPr>
      </w:pPr>
      <w:r w:rsidRPr="0050497B">
        <w:rPr>
          <w:rFonts w:ascii="Times New Roman" w:eastAsia="Times New Roman" w:hAnsi="Times New Roman" w:cs="Times New Roman"/>
          <w:vanish/>
          <w:sz w:val="24"/>
          <w:szCs w:val="24"/>
        </w:rPr>
        <w:t>..Body</w:t>
      </w:r>
    </w:p>
    <w:p w14:paraId="6AFEA209" w14:textId="6C62FB48" w:rsidR="00885441" w:rsidRPr="0050497B" w:rsidRDefault="00BD032D" w:rsidP="0076218F">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6121C256" w14:textId="77777777" w:rsidR="00BD032D" w:rsidRPr="0050497B" w:rsidRDefault="00BD032D" w:rsidP="00BD032D">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By Council Member Dromm</w:t>
      </w:r>
    </w:p>
    <w:p w14:paraId="67295473" w14:textId="77777777" w:rsidR="00BD032D" w:rsidRPr="0050497B" w:rsidRDefault="00BD032D" w:rsidP="00BD032D">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3799BF9B" w14:textId="622089BD" w:rsidR="00BD032D" w:rsidRPr="0050497B" w:rsidRDefault="00BD032D" w:rsidP="00016B07">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016B07">
        <w:rPr>
          <w:rFonts w:ascii="Times New Roman" w:eastAsia="Times New Roman" w:hAnsi="Times New Roman" w:cs="Times New Roman"/>
          <w:sz w:val="24"/>
          <w:szCs w:val="24"/>
        </w:rPr>
        <w:t>October 18</w:t>
      </w:r>
      <w:r w:rsidRPr="0050497B">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50497B">
        <w:rPr>
          <w:rFonts w:ascii="Times New Roman" w:eastAsia="Times New Roman" w:hAnsi="Times New Roman" w:cs="Times New Roman"/>
          <w:sz w:val="24"/>
          <w:szCs w:val="24"/>
        </w:rPr>
        <w:t xml:space="preserve"> that the Council amend a previously approved tax exemption for real property located at </w:t>
      </w:r>
      <w:r w:rsidR="00016B07" w:rsidRPr="0050497B">
        <w:rPr>
          <w:rFonts w:ascii="Times New Roman" w:eastAsia="Times New Roman" w:hAnsi="Times New Roman" w:cs="Times New Roman"/>
          <w:sz w:val="24"/>
          <w:szCs w:val="24"/>
        </w:rPr>
        <w:t>(</w:t>
      </w:r>
      <w:r w:rsidR="00016B07" w:rsidRPr="00441F8B">
        <w:rPr>
          <w:rFonts w:ascii="Times New Roman" w:eastAsia="Times New Roman" w:hAnsi="Times New Roman" w:cs="Times New Roman"/>
          <w:sz w:val="24"/>
          <w:szCs w:val="24"/>
        </w:rPr>
        <w:t>Block 5295, Lots 4, 104, 105, 106, 107, 108, 111, 112, and 113</w:t>
      </w:r>
      <w:r w:rsidR="00016B07">
        <w:rPr>
          <w:rFonts w:ascii="Times New Roman" w:eastAsia="Times New Roman" w:hAnsi="Times New Roman" w:cs="Times New Roman"/>
          <w:sz w:val="24"/>
          <w:szCs w:val="24"/>
        </w:rPr>
        <w:t>)</w:t>
      </w:r>
      <w:r w:rsidR="00016B07" w:rsidRPr="0050497B">
        <w:rPr>
          <w:rFonts w:ascii="Times New Roman" w:eastAsia="Times New Roman" w:hAnsi="Times New Roman" w:cs="Times New Roman"/>
          <w:sz w:val="24"/>
          <w:szCs w:val="24"/>
        </w:rPr>
        <w:t xml:space="preserve">, </w:t>
      </w:r>
      <w:r w:rsidR="00016B07">
        <w:rPr>
          <w:rFonts w:ascii="Times New Roman" w:eastAsia="Times New Roman" w:hAnsi="Times New Roman" w:cs="Times New Roman"/>
          <w:sz w:val="24"/>
          <w:szCs w:val="24"/>
        </w:rPr>
        <w:t>Brooklyn</w:t>
      </w:r>
      <w:r w:rsidRPr="0050497B">
        <w:rPr>
          <w:rFonts w:ascii="Times New Roman" w:eastAsia="Times New Roman" w:hAnsi="Times New Roman" w:cs="Times New Roman"/>
          <w:sz w:val="24"/>
          <w:szCs w:val="24"/>
        </w:rPr>
        <w:t xml:space="preserve"> (“Exemption Area”) pursuant to Section 577 of the Private Housing Finance Law;</w:t>
      </w:r>
    </w:p>
    <w:p w14:paraId="20587281" w14:textId="77777777" w:rsidR="00BD032D" w:rsidRPr="0050497B" w:rsidRDefault="00BD032D" w:rsidP="00BD032D">
      <w:pPr>
        <w:shd w:val="clear" w:color="auto" w:fill="FFFFFF"/>
        <w:spacing w:after="0" w:line="240" w:lineRule="auto"/>
        <w:ind w:firstLine="720"/>
        <w:rPr>
          <w:rFonts w:ascii="Times New Roman" w:eastAsia="Times New Roman" w:hAnsi="Times New Roman" w:cs="Times New Roman"/>
          <w:sz w:val="24"/>
          <w:szCs w:val="24"/>
        </w:rPr>
      </w:pPr>
    </w:p>
    <w:p w14:paraId="7C2D867E" w14:textId="0AACB5E8" w:rsidR="00BD032D" w:rsidRPr="0050497B" w:rsidRDefault="00BD032D" w:rsidP="00245CD6">
      <w:pPr>
        <w:shd w:val="clear" w:color="auto" w:fill="FFFFFF"/>
        <w:spacing w:after="0" w:line="240" w:lineRule="auto"/>
        <w:ind w:left="0"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xml:space="preserve">, the HPD’s request for amendments is related to a previously Resolution adopted by City Council on </w:t>
      </w:r>
      <w:r w:rsidR="00245CD6" w:rsidRPr="00245CD6">
        <w:rPr>
          <w:rFonts w:ascii="Times New Roman" w:eastAsia="Times New Roman" w:hAnsi="Times New Roman" w:cs="Times New Roman"/>
          <w:sz w:val="24"/>
          <w:szCs w:val="24"/>
        </w:rPr>
        <w:t>June 7, 2018</w:t>
      </w:r>
      <w:r w:rsidRPr="0050497B">
        <w:rPr>
          <w:rFonts w:ascii="Times New Roman" w:hAnsi="Times New Roman" w:cs="Times New Roman"/>
          <w:sz w:val="24"/>
          <w:szCs w:val="24"/>
        </w:rPr>
        <w:t xml:space="preserve"> (Resolution </w:t>
      </w:r>
      <w:r w:rsidR="006F5ABE">
        <w:rPr>
          <w:rFonts w:ascii="Times New Roman" w:hAnsi="Times New Roman" w:cs="Times New Roman"/>
          <w:sz w:val="24"/>
          <w:szCs w:val="24"/>
        </w:rPr>
        <w:t>393</w:t>
      </w:r>
      <w:r w:rsidRPr="0050497B">
        <w:rPr>
          <w:rFonts w:ascii="Times New Roman" w:hAnsi="Times New Roman" w:cs="Times New Roman"/>
          <w:sz w:val="24"/>
          <w:szCs w:val="24"/>
        </w:rPr>
        <w:t>)</w:t>
      </w:r>
      <w:r w:rsidRPr="0050497B">
        <w:rPr>
          <w:rFonts w:ascii="Times New Roman" w:eastAsia="Times New Roman" w:hAnsi="Times New Roman" w:cs="Times New Roman"/>
          <w:sz w:val="24"/>
          <w:szCs w:val="24"/>
        </w:rPr>
        <w:t xml:space="preserve"> (the “Prior Resolution”), granting the Exemption Area a real property tax exemption pursuant to Section 577 of the Private Housing Finance Law;</w:t>
      </w:r>
    </w:p>
    <w:p w14:paraId="798D827C" w14:textId="77777777" w:rsidR="00BD032D" w:rsidRPr="0050497B" w:rsidRDefault="00BD032D" w:rsidP="00BD032D">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44D3D2D9" w14:textId="77777777" w:rsidR="00BD032D" w:rsidRPr="0050497B" w:rsidRDefault="00BD032D" w:rsidP="00BD032D">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b/>
          <w:bCs/>
          <w:sz w:val="24"/>
          <w:szCs w:val="24"/>
        </w:rPr>
        <w:t>WHEREAS</w:t>
      </w:r>
      <w:r w:rsidRPr="0050497B">
        <w:rPr>
          <w:rFonts w:ascii="Times New Roman" w:eastAsia="Times New Roman" w:hAnsi="Times New Roman" w:cs="Times New Roman"/>
          <w:sz w:val="24"/>
          <w:szCs w:val="24"/>
        </w:rPr>
        <w:t>, the Council has considered the financial implications relating to the Tax Exemption;</w:t>
      </w:r>
    </w:p>
    <w:p w14:paraId="0D4C95CB" w14:textId="77777777" w:rsidR="00BD032D" w:rsidRPr="0050497B" w:rsidRDefault="00BD032D" w:rsidP="00BD032D">
      <w:pPr>
        <w:shd w:val="clear" w:color="auto" w:fill="FFFFFF"/>
        <w:spacing w:after="0" w:line="240" w:lineRule="auto"/>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w:t>
      </w:r>
    </w:p>
    <w:p w14:paraId="4E1B40BF" w14:textId="77777777" w:rsidR="00BD032D" w:rsidRPr="0050497B" w:rsidRDefault="00BD032D" w:rsidP="00BD032D">
      <w:pPr>
        <w:shd w:val="clear" w:color="auto" w:fill="FFFFFF"/>
        <w:spacing w:after="0" w:line="240" w:lineRule="auto"/>
        <w:ind w:firstLine="720"/>
        <w:rPr>
          <w:rFonts w:ascii="Times New Roman" w:eastAsia="Times New Roman" w:hAnsi="Times New Roman" w:cs="Times New Roman"/>
          <w:b/>
          <w:bCs/>
          <w:sz w:val="24"/>
          <w:szCs w:val="24"/>
        </w:rPr>
      </w:pPr>
      <w:r w:rsidRPr="0050497B">
        <w:rPr>
          <w:rFonts w:ascii="Times New Roman" w:eastAsia="Times New Roman" w:hAnsi="Times New Roman" w:cs="Times New Roman"/>
          <w:b/>
          <w:bCs/>
          <w:sz w:val="24"/>
          <w:szCs w:val="24"/>
        </w:rPr>
        <w:t>RESOLVED:</w:t>
      </w:r>
    </w:p>
    <w:p w14:paraId="068FBB7A" w14:textId="77777777" w:rsidR="00BD032D" w:rsidRPr="0050497B" w:rsidRDefault="00BD032D" w:rsidP="00BD032D">
      <w:pPr>
        <w:shd w:val="clear" w:color="auto" w:fill="FFFFFF"/>
        <w:spacing w:after="0" w:line="240" w:lineRule="auto"/>
        <w:ind w:firstLine="720"/>
        <w:rPr>
          <w:rFonts w:ascii="Times New Roman" w:eastAsia="Times New Roman" w:hAnsi="Times New Roman" w:cs="Times New Roman"/>
          <w:b/>
          <w:bCs/>
          <w:sz w:val="24"/>
          <w:szCs w:val="24"/>
        </w:rPr>
      </w:pPr>
    </w:p>
    <w:p w14:paraId="5317F3DD" w14:textId="77777777" w:rsidR="00BD032D" w:rsidRPr="0050497B" w:rsidRDefault="00BD032D" w:rsidP="00BD032D">
      <w:pPr>
        <w:shd w:val="clear" w:color="auto" w:fill="FFFFFF"/>
        <w:spacing w:after="0" w:line="240" w:lineRule="auto"/>
        <w:ind w:firstLine="72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Council approves the amendments to the Prior Resolution requested by HPD for the Exemption Area pursuant to</w:t>
      </w:r>
      <w:r w:rsidRPr="0050497B">
        <w:rPr>
          <w:rFonts w:ascii="Times New Roman" w:hAnsi="Times New Roman" w:cs="Times New Roman"/>
          <w:sz w:val="24"/>
          <w:szCs w:val="24"/>
        </w:rPr>
        <w:t xml:space="preserve"> </w:t>
      </w:r>
      <w:r w:rsidRPr="0050497B">
        <w:rPr>
          <w:rFonts w:ascii="Times New Roman" w:eastAsia="Times New Roman" w:hAnsi="Times New Roman" w:cs="Times New Roman"/>
          <w:sz w:val="24"/>
          <w:szCs w:val="24"/>
        </w:rPr>
        <w:t>Section 577 of the Private Housing Finance Law as follows:</w:t>
      </w:r>
    </w:p>
    <w:p w14:paraId="23E151A4" w14:textId="1605C8A9" w:rsidR="00E23ACA" w:rsidRDefault="00E23ACA" w:rsidP="00E23ACA">
      <w:pPr>
        <w:shd w:val="clear" w:color="auto" w:fill="FFFFFF"/>
        <w:spacing w:after="0" w:line="240" w:lineRule="auto"/>
        <w:ind w:left="0" w:firstLine="0"/>
        <w:rPr>
          <w:rFonts w:ascii="Times New Roman" w:eastAsia="Times New Roman" w:hAnsi="Times New Roman" w:cs="Times New Roman"/>
          <w:sz w:val="24"/>
          <w:szCs w:val="24"/>
        </w:rPr>
      </w:pPr>
    </w:p>
    <w:p w14:paraId="4A4A1A1E" w14:textId="20B72744" w:rsidR="00BD032D" w:rsidRPr="009D196B" w:rsidRDefault="00E23ACA" w:rsidP="009D196B">
      <w:pPr>
        <w:shd w:val="clear" w:color="auto" w:fill="FFFFFF"/>
        <w:spacing w:after="0" w:line="240" w:lineRule="auto"/>
        <w:ind w:left="0" w:firstLine="720"/>
        <w:rPr>
          <w:rFonts w:ascii="Times New Roman" w:eastAsia="Times New Roman" w:hAnsi="Times New Roman" w:cs="Times New Roman"/>
          <w:color w:val="auto"/>
          <w:sz w:val="24"/>
          <w:szCs w:val="24"/>
        </w:rPr>
      </w:pPr>
      <w:r w:rsidRPr="00E23ACA">
        <w:rPr>
          <w:rFonts w:ascii="Times New Roman" w:eastAsia="Times New Roman" w:hAnsi="Times New Roman" w:cs="Times New Roman"/>
          <w:color w:val="auto"/>
          <w:sz w:val="24"/>
          <w:szCs w:val="24"/>
        </w:rPr>
        <w:t xml:space="preserve">Definitions a, e, h, and </w:t>
      </w:r>
      <w:proofErr w:type="spellStart"/>
      <w:r w:rsidRPr="00E23ACA">
        <w:rPr>
          <w:rFonts w:ascii="Times New Roman" w:eastAsia="Times New Roman" w:hAnsi="Times New Roman" w:cs="Times New Roman"/>
          <w:color w:val="auto"/>
          <w:sz w:val="24"/>
          <w:szCs w:val="24"/>
        </w:rPr>
        <w:t>i</w:t>
      </w:r>
      <w:proofErr w:type="spellEnd"/>
      <w:r w:rsidRPr="00E23ACA">
        <w:rPr>
          <w:rFonts w:ascii="Times New Roman" w:eastAsia="Times New Roman" w:hAnsi="Times New Roman" w:cs="Times New Roman"/>
          <w:color w:val="auto"/>
          <w:sz w:val="24"/>
          <w:szCs w:val="24"/>
        </w:rPr>
        <w:t xml:space="preserve"> of Paragraph 1 of the Prior Resolution are deleted and replaced </w:t>
      </w:r>
      <w:r>
        <w:rPr>
          <w:rFonts w:ascii="Times New Roman" w:eastAsia="Times New Roman" w:hAnsi="Times New Roman" w:cs="Times New Roman"/>
          <w:color w:val="auto"/>
          <w:sz w:val="24"/>
          <w:szCs w:val="24"/>
        </w:rPr>
        <w:t>with the following:</w:t>
      </w:r>
    </w:p>
    <w:p w14:paraId="45E4A822" w14:textId="77777777" w:rsidR="00B274F0" w:rsidRDefault="00B274F0" w:rsidP="00B274F0">
      <w:pPr>
        <w:ind w:right="-180"/>
        <w:rPr>
          <w:rFonts w:ascii="Arial" w:hAnsi="Arial" w:cs="Arial"/>
        </w:rPr>
      </w:pPr>
    </w:p>
    <w:p w14:paraId="701300EE" w14:textId="77777777" w:rsidR="00B274F0" w:rsidRPr="009D196B" w:rsidRDefault="00B274F0" w:rsidP="00B274F0">
      <w:pPr>
        <w:pStyle w:val="ListParagraph"/>
        <w:numPr>
          <w:ilvl w:val="0"/>
          <w:numId w:val="1"/>
        </w:numPr>
        <w:ind w:left="630" w:hanging="630"/>
        <w:rPr>
          <w:sz w:val="24"/>
          <w:szCs w:val="24"/>
        </w:rPr>
      </w:pPr>
      <w:r w:rsidRPr="009D196B">
        <w:rPr>
          <w:sz w:val="24"/>
          <w:szCs w:val="24"/>
        </w:rPr>
        <w:t xml:space="preserve">a. </w:t>
      </w:r>
      <w:r w:rsidRPr="009D196B">
        <w:rPr>
          <w:sz w:val="24"/>
          <w:szCs w:val="24"/>
        </w:rPr>
        <w:tab/>
        <w:t>[Intentionally Omitted]</w:t>
      </w:r>
    </w:p>
    <w:p w14:paraId="2417AFD6" w14:textId="77777777" w:rsidR="00B274F0" w:rsidRPr="009D196B" w:rsidRDefault="00B274F0" w:rsidP="00B274F0">
      <w:pPr>
        <w:ind w:right="-180"/>
        <w:rPr>
          <w:rFonts w:ascii="Times New Roman" w:hAnsi="Times New Roman" w:cs="Times New Roman"/>
          <w:sz w:val="24"/>
          <w:szCs w:val="24"/>
        </w:rPr>
      </w:pPr>
    </w:p>
    <w:p w14:paraId="4E1BF984" w14:textId="77777777" w:rsidR="00395BF3" w:rsidRDefault="00B274F0" w:rsidP="00395BF3">
      <w:pPr>
        <w:pStyle w:val="BodyText"/>
        <w:ind w:left="1440" w:right="-180" w:hanging="810"/>
        <w:rPr>
          <w:szCs w:val="24"/>
        </w:rPr>
      </w:pPr>
      <w:r w:rsidRPr="009D196B">
        <w:rPr>
          <w:szCs w:val="24"/>
        </w:rPr>
        <w:t xml:space="preserve">e. </w:t>
      </w:r>
      <w:r w:rsidRPr="009D196B">
        <w:rPr>
          <w:szCs w:val="24"/>
        </w:rPr>
        <w:tab/>
        <w:t>“Expiration Date” shall mean with respect to any individual tax lot, now existing or hereafter created, within the Exemption Area, the earlier to occur of (</w:t>
      </w:r>
      <w:proofErr w:type="spellStart"/>
      <w:r w:rsidRPr="009D196B">
        <w:rPr>
          <w:szCs w:val="24"/>
        </w:rPr>
        <w:t>i</w:t>
      </w:r>
      <w:proofErr w:type="spellEnd"/>
      <w:r w:rsidRPr="009D196B">
        <w:rPr>
          <w:szCs w:val="24"/>
        </w:rPr>
        <w:t xml:space="preserve">) a date which is nine (9) years from the Effective Date, (ii) the date of the expiration of termination of the Regulatory Agreement, or (iii) the date upon which any such tax lot ceases to be owned by either a housing development fund company or an entity wholly controlled by a housing development fund company. </w:t>
      </w:r>
    </w:p>
    <w:p w14:paraId="22400DA7" w14:textId="77777777" w:rsidR="00395BF3" w:rsidRDefault="00395BF3" w:rsidP="00395BF3">
      <w:pPr>
        <w:pStyle w:val="BodyText"/>
        <w:ind w:left="630" w:right="-180"/>
        <w:rPr>
          <w:szCs w:val="24"/>
        </w:rPr>
      </w:pPr>
      <w:r w:rsidRPr="009D196B">
        <w:rPr>
          <w:szCs w:val="24"/>
        </w:rPr>
        <w:t xml:space="preserve">h. </w:t>
      </w:r>
      <w:r w:rsidRPr="009D196B">
        <w:rPr>
          <w:szCs w:val="24"/>
        </w:rPr>
        <w:tab/>
        <w:t xml:space="preserve">“Owner” shall mean the HDFC.            </w:t>
      </w:r>
    </w:p>
    <w:p w14:paraId="5F6C7376" w14:textId="75E0DA99" w:rsidR="00BD032D" w:rsidRPr="0050497B" w:rsidRDefault="00395BF3" w:rsidP="00395BF3">
      <w:pPr>
        <w:pStyle w:val="BodyText"/>
        <w:ind w:left="1440" w:right="-180" w:hanging="810"/>
        <w:rPr>
          <w:szCs w:val="24"/>
        </w:rPr>
      </w:pPr>
      <w:proofErr w:type="spellStart"/>
      <w:r>
        <w:rPr>
          <w:szCs w:val="24"/>
        </w:rPr>
        <w:t>i</w:t>
      </w:r>
      <w:proofErr w:type="spellEnd"/>
      <w:r>
        <w:rPr>
          <w:szCs w:val="24"/>
        </w:rPr>
        <w:t>.</w:t>
      </w:r>
      <w:r>
        <w:rPr>
          <w:szCs w:val="24"/>
        </w:rPr>
        <w:tab/>
      </w:r>
      <w:r w:rsidRPr="00395BF3">
        <w:rPr>
          <w:szCs w:val="24"/>
        </w:rPr>
        <w:t xml:space="preserve"> “Regulatory Agreement” shall mean the regulatory agreement between HPD and the Owner dated February 28, 2019, recorded and filed on March 28, 2019 CRFN No. 2019000099590, that establishes certain controls upon the operation of the Exemption Area during the term of the Exemption and the amendment made to such Regulatory Agreement on or after September 1, 2021.  </w:t>
      </w:r>
      <w:r w:rsidR="00B274F0" w:rsidRPr="009D196B">
        <w:rPr>
          <w:szCs w:val="24"/>
        </w:rPr>
        <w:t xml:space="preserve">                                                                 </w:t>
      </w:r>
    </w:p>
    <w:p w14:paraId="5E96588C" w14:textId="77777777" w:rsidR="00BD032D" w:rsidRPr="0050497B" w:rsidRDefault="00BD032D" w:rsidP="00BD032D">
      <w:pPr>
        <w:shd w:val="clear" w:color="auto" w:fill="FFFFFF"/>
        <w:spacing w:after="0" w:line="240" w:lineRule="auto"/>
        <w:ind w:left="0" w:firstLine="72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lastRenderedPageBreak/>
        <w:t>Except as specifically amended above, all other terms, conditions, provisions and requirements of the Prior Resolution remain in full force and effect.</w:t>
      </w:r>
    </w:p>
    <w:p w14:paraId="6CD9E2F5" w14:textId="77777777" w:rsidR="0076218F" w:rsidRPr="0050497B" w:rsidRDefault="0076218F" w:rsidP="00395BF3">
      <w:pPr>
        <w:spacing w:after="0" w:line="240" w:lineRule="auto"/>
        <w:ind w:left="0" w:firstLine="0"/>
        <w:rPr>
          <w:rFonts w:ascii="Times New Roman" w:hAnsi="Times New Roman" w:cs="Times New Roman"/>
          <w:sz w:val="24"/>
          <w:szCs w:val="24"/>
        </w:rPr>
      </w:pPr>
    </w:p>
    <w:p w14:paraId="68319215" w14:textId="77777777" w:rsidR="00BD032D" w:rsidRPr="0050497B" w:rsidRDefault="00BD032D" w:rsidP="00BD032D">
      <w:pPr>
        <w:shd w:val="clear" w:color="auto" w:fill="FFFFFF"/>
        <w:spacing w:after="0" w:line="240" w:lineRule="auto"/>
        <w:ind w:left="1440"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Office of the City Clerk,     }</w:t>
      </w:r>
    </w:p>
    <w:p w14:paraId="2A607A03" w14:textId="39467A28" w:rsidR="00BD032D" w:rsidRPr="0050497B" w:rsidRDefault="00BD032D" w:rsidP="0076218F">
      <w:pPr>
        <w:shd w:val="clear" w:color="auto" w:fill="FFFFFF"/>
        <w:spacing w:after="0" w:line="240" w:lineRule="auto"/>
        <w:ind w:left="1440"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The City of New York        } ss.:</w:t>
      </w:r>
    </w:p>
    <w:p w14:paraId="4960E7DF" w14:textId="77777777" w:rsidR="0076218F" w:rsidRDefault="0076218F" w:rsidP="00BD032D">
      <w:pPr>
        <w:shd w:val="clear" w:color="auto" w:fill="FFFFFF"/>
        <w:spacing w:after="0" w:line="240" w:lineRule="auto"/>
        <w:ind w:firstLine="14"/>
        <w:rPr>
          <w:rFonts w:ascii="Times New Roman" w:eastAsia="Times New Roman" w:hAnsi="Times New Roman" w:cs="Times New Roman"/>
          <w:sz w:val="24"/>
          <w:szCs w:val="24"/>
        </w:rPr>
      </w:pPr>
    </w:p>
    <w:p w14:paraId="52358288" w14:textId="7DE4B0D5" w:rsidR="00BD032D" w:rsidRDefault="00BD032D" w:rsidP="00BD032D">
      <w:pPr>
        <w:shd w:val="clear" w:color="auto" w:fill="FFFFFF"/>
        <w:spacing w:after="0" w:line="240" w:lineRule="auto"/>
        <w:ind w:firstLine="14"/>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A5665B">
        <w:rPr>
          <w:rFonts w:ascii="Times New Roman" w:hAnsi="Times New Roman" w:cs="Times New Roman"/>
          <w:sz w:val="24"/>
          <w:szCs w:val="24"/>
        </w:rPr>
        <w:t>November 10</w:t>
      </w:r>
      <w:r w:rsidRPr="0050497B">
        <w:rPr>
          <w:rFonts w:ascii="Times New Roman" w:eastAsia="Times New Roman" w:hAnsi="Times New Roman" w:cs="Times New Roman"/>
          <w:sz w:val="24"/>
          <w:szCs w:val="24"/>
        </w:rPr>
        <w:t>, 20</w:t>
      </w:r>
      <w:r w:rsidRPr="0050497B">
        <w:rPr>
          <w:rFonts w:ascii="Times New Roman" w:hAnsi="Times New Roman" w:cs="Times New Roman"/>
          <w:sz w:val="24"/>
          <w:szCs w:val="24"/>
        </w:rPr>
        <w:t>21</w:t>
      </w:r>
      <w:r w:rsidRPr="0050497B">
        <w:rPr>
          <w:rFonts w:ascii="Times New Roman" w:eastAsia="Times New Roman" w:hAnsi="Times New Roman" w:cs="Times New Roman"/>
          <w:sz w:val="24"/>
          <w:szCs w:val="24"/>
        </w:rPr>
        <w:t>, on file in this office.</w:t>
      </w:r>
    </w:p>
    <w:p w14:paraId="69DD7325" w14:textId="77777777" w:rsidR="00BD032D" w:rsidRPr="0050497B" w:rsidRDefault="00BD032D" w:rsidP="00BD032D">
      <w:pPr>
        <w:shd w:val="clear" w:color="auto" w:fill="FFFFFF"/>
        <w:spacing w:after="0" w:line="240" w:lineRule="auto"/>
        <w:ind w:firstLine="14"/>
        <w:rPr>
          <w:rFonts w:ascii="Times New Roman" w:eastAsia="Times New Roman" w:hAnsi="Times New Roman" w:cs="Times New Roman"/>
          <w:sz w:val="24"/>
          <w:szCs w:val="24"/>
        </w:rPr>
      </w:pPr>
    </w:p>
    <w:p w14:paraId="6F97472D" w14:textId="77777777" w:rsidR="00BD032D" w:rsidRDefault="00BD032D" w:rsidP="00BD032D">
      <w:pPr>
        <w:shd w:val="clear" w:color="auto" w:fill="FFFFFF"/>
        <w:spacing w:after="0" w:line="240" w:lineRule="auto"/>
        <w:ind w:left="5760"/>
        <w:rPr>
          <w:rFonts w:ascii="Times New Roman" w:eastAsia="Times New Roman" w:hAnsi="Times New Roman" w:cs="Times New Roman"/>
          <w:sz w:val="24"/>
          <w:szCs w:val="24"/>
        </w:rPr>
      </w:pPr>
    </w:p>
    <w:p w14:paraId="19928967" w14:textId="77777777" w:rsidR="00BD032D" w:rsidRPr="0050497B" w:rsidRDefault="00BD032D" w:rsidP="00BD032D">
      <w:pPr>
        <w:shd w:val="clear" w:color="auto" w:fill="FFFFFF"/>
        <w:spacing w:after="0" w:line="240" w:lineRule="auto"/>
        <w:ind w:left="5760"/>
        <w:rPr>
          <w:rFonts w:ascii="Times New Roman" w:eastAsia="Times New Roman" w:hAnsi="Times New Roman" w:cs="Times New Roman"/>
          <w:sz w:val="24"/>
          <w:szCs w:val="24"/>
        </w:rPr>
      </w:pPr>
      <w:r w:rsidRPr="0050497B">
        <w:rPr>
          <w:rFonts w:ascii="Times New Roman" w:eastAsia="Times New Roman" w:hAnsi="Times New Roman" w:cs="Times New Roman"/>
          <w:sz w:val="24"/>
          <w:szCs w:val="24"/>
        </w:rPr>
        <w:t>_______________________</w:t>
      </w:r>
      <w:r w:rsidRPr="0050497B">
        <w:rPr>
          <w:rFonts w:ascii="Times New Roman" w:eastAsia="Times New Roman" w:hAnsi="Times New Roman" w:cs="Times New Roman"/>
          <w:sz w:val="24"/>
          <w:szCs w:val="24"/>
        </w:rPr>
        <w:br/>
        <w:t>City Clerk, Clerk of Council </w:t>
      </w:r>
    </w:p>
    <w:p w14:paraId="0CCEE92E" w14:textId="77777777" w:rsidR="00EF19A9" w:rsidRDefault="00EF19A9"/>
    <w:sectPr w:rsidR="00EF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619"/>
    <w:multiLevelType w:val="hybridMultilevel"/>
    <w:tmpl w:val="5AD2BACC"/>
    <w:lvl w:ilvl="0" w:tplc="AD26FC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2D"/>
    <w:rsid w:val="00016B07"/>
    <w:rsid w:val="00245CD6"/>
    <w:rsid w:val="00395BF3"/>
    <w:rsid w:val="00441F8B"/>
    <w:rsid w:val="005C431B"/>
    <w:rsid w:val="00690446"/>
    <w:rsid w:val="006E256F"/>
    <w:rsid w:val="006F5ABE"/>
    <w:rsid w:val="0076218F"/>
    <w:rsid w:val="00885441"/>
    <w:rsid w:val="009860D4"/>
    <w:rsid w:val="009D196B"/>
    <w:rsid w:val="009F2F38"/>
    <w:rsid w:val="00A5665B"/>
    <w:rsid w:val="00B274F0"/>
    <w:rsid w:val="00BD032D"/>
    <w:rsid w:val="00BE778E"/>
    <w:rsid w:val="00DC269C"/>
    <w:rsid w:val="00E23ACA"/>
    <w:rsid w:val="00E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0806"/>
  <w15:chartTrackingRefBased/>
  <w15:docId w15:val="{8DD83AE7-4B59-9045-9C8C-74E4223E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2D"/>
    <w:pPr>
      <w:spacing w:after="37" w:line="222" w:lineRule="auto"/>
      <w:ind w:left="29" w:firstLine="9"/>
      <w:jc w:val="both"/>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4F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B274F0"/>
    <w:rPr>
      <w:rFonts w:ascii="Times New Roman" w:eastAsia="Times New Roman" w:hAnsi="Times New Roman" w:cs="Times New Roman"/>
      <w:szCs w:val="20"/>
    </w:rPr>
  </w:style>
  <w:style w:type="paragraph" w:styleId="ListParagraph">
    <w:name w:val="List Paragraph"/>
    <w:basedOn w:val="Normal"/>
    <w:uiPriority w:val="34"/>
    <w:qFormat/>
    <w:rsid w:val="00B274F0"/>
    <w:pPr>
      <w:overflowPunct w:val="0"/>
      <w:autoSpaceDE w:val="0"/>
      <w:autoSpaceDN w:val="0"/>
      <w:adjustRightInd w:val="0"/>
      <w:spacing w:after="0" w:line="240" w:lineRule="auto"/>
      <w:ind w:left="720" w:firstLine="0"/>
      <w:contextualSpacing/>
      <w:jc w:val="left"/>
      <w:textAlignment w:val="baseline"/>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4</cp:revision>
  <dcterms:created xsi:type="dcterms:W3CDTF">2021-11-09T16:34:00Z</dcterms:created>
  <dcterms:modified xsi:type="dcterms:W3CDTF">2021-11-10T15:38:00Z</dcterms:modified>
</cp:coreProperties>
</file>