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002" w:rsidRPr="00BD243A" w:rsidRDefault="00025002" w:rsidP="00025002">
      <w:pPr>
        <w:suppressLineNumbers/>
        <w:tabs>
          <w:tab w:val="left" w:pos="4680"/>
        </w:tabs>
        <w:ind w:left="5040" w:hanging="5040"/>
        <w:jc w:val="right"/>
        <w:rPr>
          <w:u w:val="single"/>
        </w:rPr>
      </w:pPr>
      <w:r w:rsidRPr="00BD243A">
        <w:rPr>
          <w:lang w:eastAsia="zh-CN"/>
        </w:rPr>
        <w:t xml:space="preserve">                                                                  Staff:</w:t>
      </w:r>
      <w:r w:rsidRPr="00BD243A">
        <w:rPr>
          <w:lang w:eastAsia="zh-CN"/>
        </w:rPr>
        <w:tab/>
      </w:r>
      <w:r w:rsidRPr="00BD243A">
        <w:rPr>
          <w:u w:val="single"/>
        </w:rPr>
        <w:t xml:space="preserve">Committee on </w:t>
      </w:r>
      <w:r>
        <w:rPr>
          <w:u w:val="single"/>
        </w:rPr>
        <w:t>Women &amp; Gender Equity</w:t>
      </w:r>
      <w:r w:rsidRPr="00BD243A">
        <w:rPr>
          <w:u w:val="single"/>
        </w:rPr>
        <w:t xml:space="preserve">  </w:t>
      </w:r>
    </w:p>
    <w:p w:rsidR="00025002" w:rsidRPr="00BD243A" w:rsidRDefault="00025002" w:rsidP="00025002">
      <w:pPr>
        <w:pStyle w:val="Body"/>
        <w:suppressLineNumbers/>
        <w:spacing w:after="0" w:line="240" w:lineRule="auto"/>
        <w:ind w:left="3960" w:firstLine="720"/>
        <w:jc w:val="right"/>
        <w:rPr>
          <w:rFonts w:ascii="Times New Roman" w:hAnsi="Times New Roman" w:cs="Times New Roman"/>
          <w:sz w:val="24"/>
          <w:szCs w:val="24"/>
        </w:rPr>
      </w:pPr>
      <w:r w:rsidRPr="00BD243A">
        <w:rPr>
          <w:rFonts w:ascii="Times New Roman" w:hAnsi="Times New Roman" w:cs="Times New Roman"/>
          <w:sz w:val="24"/>
          <w:szCs w:val="24"/>
        </w:rPr>
        <w:t xml:space="preserve">Brenda McKinney, </w:t>
      </w:r>
      <w:r w:rsidRPr="00BD243A">
        <w:rPr>
          <w:rFonts w:ascii="Times New Roman" w:hAnsi="Times New Roman" w:cs="Times New Roman"/>
          <w:i/>
          <w:sz w:val="24"/>
          <w:szCs w:val="24"/>
        </w:rPr>
        <w:t>Legislative Counsel</w:t>
      </w:r>
    </w:p>
    <w:p w:rsidR="00025002" w:rsidRDefault="00025002" w:rsidP="00025002">
      <w:pPr>
        <w:pStyle w:val="Body"/>
        <w:suppressLineNumbers/>
        <w:spacing w:after="0" w:line="240" w:lineRule="auto"/>
        <w:ind w:left="4320" w:firstLine="360"/>
        <w:jc w:val="right"/>
        <w:rPr>
          <w:rFonts w:ascii="Times New Roman" w:hAnsi="Times New Roman" w:cs="Times New Roman"/>
          <w:i/>
          <w:sz w:val="24"/>
          <w:szCs w:val="24"/>
        </w:rPr>
      </w:pPr>
      <w:proofErr w:type="spellStart"/>
      <w:r>
        <w:rPr>
          <w:rFonts w:ascii="Times New Roman" w:hAnsi="Times New Roman" w:cs="Times New Roman"/>
          <w:sz w:val="24"/>
          <w:szCs w:val="24"/>
        </w:rPr>
        <w:t>Chloë</w:t>
      </w:r>
      <w:proofErr w:type="spellEnd"/>
      <w:r>
        <w:rPr>
          <w:rFonts w:ascii="Times New Roman" w:hAnsi="Times New Roman" w:cs="Times New Roman"/>
          <w:sz w:val="24"/>
          <w:szCs w:val="24"/>
        </w:rPr>
        <w:t xml:space="preserve"> Rivera</w:t>
      </w:r>
      <w:r w:rsidRPr="00BD243A">
        <w:rPr>
          <w:rFonts w:ascii="Times New Roman" w:hAnsi="Times New Roman" w:cs="Times New Roman"/>
          <w:sz w:val="24"/>
          <w:szCs w:val="24"/>
        </w:rPr>
        <w:t xml:space="preserve">, </w:t>
      </w:r>
      <w:r>
        <w:rPr>
          <w:rFonts w:ascii="Times New Roman" w:hAnsi="Times New Roman" w:cs="Times New Roman"/>
          <w:sz w:val="24"/>
          <w:szCs w:val="24"/>
        </w:rPr>
        <w:t xml:space="preserve">Senior </w:t>
      </w:r>
      <w:r w:rsidRPr="00BD243A">
        <w:rPr>
          <w:rFonts w:ascii="Times New Roman" w:hAnsi="Times New Roman" w:cs="Times New Roman"/>
          <w:i/>
          <w:iCs/>
          <w:sz w:val="24"/>
          <w:szCs w:val="24"/>
        </w:rPr>
        <w:t xml:space="preserve">Legislative </w:t>
      </w:r>
      <w:r w:rsidRPr="00BD243A">
        <w:rPr>
          <w:rFonts w:ascii="Times New Roman" w:hAnsi="Times New Roman" w:cs="Times New Roman"/>
          <w:i/>
          <w:sz w:val="24"/>
          <w:szCs w:val="24"/>
        </w:rPr>
        <w:t>Policy Analyst</w:t>
      </w:r>
    </w:p>
    <w:p w:rsidR="00025002" w:rsidRPr="00025002" w:rsidRDefault="00025002" w:rsidP="00025002">
      <w:pPr>
        <w:pStyle w:val="Body"/>
        <w:suppressLineNumbers/>
        <w:spacing w:after="0" w:line="240" w:lineRule="auto"/>
        <w:ind w:left="4320" w:firstLine="360"/>
        <w:jc w:val="right"/>
        <w:rPr>
          <w:rFonts w:ascii="Times New Roman" w:eastAsia="Times New Roman" w:hAnsi="Times New Roman" w:cs="Times New Roman"/>
          <w:iCs/>
          <w:sz w:val="24"/>
          <w:szCs w:val="24"/>
        </w:rPr>
      </w:pPr>
      <w:r>
        <w:rPr>
          <w:rFonts w:ascii="Times New Roman" w:hAnsi="Times New Roman" w:cs="Times New Roman"/>
          <w:iCs/>
          <w:sz w:val="24"/>
          <w:szCs w:val="24"/>
        </w:rPr>
        <w:t xml:space="preserve">Eisha Wright, </w:t>
      </w:r>
      <w:r w:rsidRPr="00025002">
        <w:rPr>
          <w:rFonts w:ascii="Times New Roman" w:hAnsi="Times New Roman" w:cs="Times New Roman"/>
          <w:i/>
          <w:sz w:val="24"/>
          <w:szCs w:val="24"/>
        </w:rPr>
        <w:t>Finance Unit Head</w:t>
      </w:r>
    </w:p>
    <w:p w:rsidR="00025002" w:rsidRPr="00BD243A" w:rsidRDefault="00025002" w:rsidP="00025002">
      <w:pPr>
        <w:suppressLineNumbers/>
        <w:rPr>
          <w:b/>
        </w:rPr>
      </w:pPr>
      <w:bookmarkStart w:id="0" w:name="_GoBack"/>
      <w:bookmarkEnd w:id="0"/>
    </w:p>
    <w:p w:rsidR="00025002" w:rsidRPr="00BD243A" w:rsidRDefault="00025002" w:rsidP="00025002">
      <w:pPr>
        <w:suppressLineNumbers/>
        <w:rPr>
          <w:b/>
        </w:rPr>
      </w:pPr>
    </w:p>
    <w:p w:rsidR="00025002" w:rsidRPr="000E5945" w:rsidRDefault="006F7971" w:rsidP="00025002">
      <w:pPr>
        <w:suppressLineNumbers/>
        <w:jc w:val="center"/>
        <w:rPr>
          <w:b/>
        </w:rPr>
      </w:pPr>
      <w:r>
        <w:rPr>
          <w:noProof/>
        </w:rPr>
        <w:drawing>
          <wp:anchor distT="0" distB="0" distL="114300" distR="114300" simplePos="0" relativeHeight="251657728" behindDoc="0" locked="0" layoutInCell="1" allowOverlap="1">
            <wp:simplePos x="0" y="0"/>
            <wp:positionH relativeFrom="column">
              <wp:posOffset>2357755</wp:posOffset>
            </wp:positionH>
            <wp:positionV relativeFrom="paragraph">
              <wp:posOffset>21590</wp:posOffset>
            </wp:positionV>
            <wp:extent cx="1224915" cy="1259205"/>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224915" cy="1259205"/>
                    </a:xfrm>
                    <a:prstGeom prst="rect">
                      <a:avLst/>
                    </a:prstGeom>
                    <a:noFill/>
                  </pic:spPr>
                </pic:pic>
              </a:graphicData>
            </a:graphic>
            <wp14:sizeRelH relativeFrom="page">
              <wp14:pctWidth>0</wp14:pctWidth>
            </wp14:sizeRelH>
            <wp14:sizeRelV relativeFrom="page">
              <wp14:pctHeight>0</wp14:pctHeight>
            </wp14:sizeRelV>
          </wp:anchor>
        </w:drawing>
      </w:r>
      <w:r w:rsidR="00025002" w:rsidRPr="00BD243A">
        <w:rPr>
          <w:noProof/>
        </w:rPr>
        <w:br w:type="textWrapping" w:clear="all"/>
      </w:r>
    </w:p>
    <w:p w:rsidR="00025002" w:rsidRPr="00BD243A" w:rsidRDefault="00025002" w:rsidP="00025002">
      <w:pPr>
        <w:suppressLineNumbers/>
        <w:jc w:val="center"/>
        <w:rPr>
          <w:b/>
        </w:rPr>
      </w:pPr>
    </w:p>
    <w:p w:rsidR="00025002" w:rsidRPr="00025002" w:rsidRDefault="00025002" w:rsidP="00025002">
      <w:pPr>
        <w:suppressLineNumbers/>
        <w:jc w:val="center"/>
        <w:rPr>
          <w:b/>
        </w:rPr>
      </w:pPr>
      <w:r w:rsidRPr="00025002">
        <w:rPr>
          <w:b/>
        </w:rPr>
        <w:t>THE COUNCIL OF THE CITY OF NEW YORK</w:t>
      </w:r>
    </w:p>
    <w:p w:rsidR="00025002" w:rsidRPr="00025002" w:rsidRDefault="00025002" w:rsidP="00025002">
      <w:pPr>
        <w:suppressLineNumbers/>
        <w:rPr>
          <w:lang w:eastAsia="zh-CN"/>
        </w:rPr>
      </w:pPr>
    </w:p>
    <w:p w:rsidR="00025002" w:rsidRPr="00025002" w:rsidRDefault="00025002" w:rsidP="00025002">
      <w:pPr>
        <w:suppressLineNumbers/>
        <w:rPr>
          <w:lang w:eastAsia="zh-CN"/>
        </w:rPr>
      </w:pPr>
    </w:p>
    <w:p w:rsidR="00025002" w:rsidRPr="00025002" w:rsidRDefault="00025002" w:rsidP="00025002">
      <w:pPr>
        <w:pStyle w:val="Heading5"/>
        <w:suppressLineNumbers/>
        <w:jc w:val="center"/>
        <w:rPr>
          <w:rFonts w:ascii="Times New Roman" w:hAnsi="Times New Roman"/>
          <w:sz w:val="24"/>
          <w:szCs w:val="24"/>
        </w:rPr>
      </w:pPr>
      <w:r w:rsidRPr="00025002">
        <w:rPr>
          <w:rFonts w:ascii="Times New Roman" w:hAnsi="Times New Roman"/>
          <w:sz w:val="24"/>
          <w:szCs w:val="24"/>
        </w:rPr>
        <w:t>COMMITTEE REPORT OF THE HUMAN SERVICES DIVISION</w:t>
      </w:r>
    </w:p>
    <w:p w:rsidR="00025002" w:rsidRPr="00025002" w:rsidRDefault="00025002" w:rsidP="00025002">
      <w:pPr>
        <w:suppressLineNumbers/>
        <w:tabs>
          <w:tab w:val="center" w:pos="4680"/>
        </w:tabs>
        <w:jc w:val="center"/>
        <w:rPr>
          <w:bCs/>
          <w:i/>
          <w:iCs/>
        </w:rPr>
      </w:pPr>
      <w:r w:rsidRPr="00F046E0">
        <w:rPr>
          <w:bCs/>
        </w:rPr>
        <w:t>Jeffrey Baker</w:t>
      </w:r>
      <w:r w:rsidRPr="00025002">
        <w:rPr>
          <w:bCs/>
          <w:i/>
          <w:iCs/>
        </w:rPr>
        <w:t>, Legislative Director</w:t>
      </w:r>
    </w:p>
    <w:p w:rsidR="00F046E0" w:rsidRPr="000C7809" w:rsidRDefault="00F046E0" w:rsidP="00F046E0">
      <w:pPr>
        <w:tabs>
          <w:tab w:val="center" w:pos="4680"/>
        </w:tabs>
        <w:suppressAutoHyphens/>
        <w:jc w:val="center"/>
        <w:rPr>
          <w:spacing w:val="-3"/>
        </w:rPr>
      </w:pPr>
      <w:r w:rsidRPr="000C7809">
        <w:rPr>
          <w:spacing w:val="-3"/>
        </w:rPr>
        <w:t xml:space="preserve">Andrea Vazquez, </w:t>
      </w:r>
      <w:r w:rsidRPr="000C7809">
        <w:rPr>
          <w:i/>
          <w:spacing w:val="-3"/>
        </w:rPr>
        <w:t>Deputy Director, Human Services Division</w:t>
      </w:r>
    </w:p>
    <w:p w:rsidR="00025002" w:rsidRPr="00025002" w:rsidRDefault="00025002" w:rsidP="00025002">
      <w:pPr>
        <w:suppressLineNumbers/>
        <w:tabs>
          <w:tab w:val="center" w:pos="4680"/>
        </w:tabs>
        <w:jc w:val="center"/>
      </w:pPr>
    </w:p>
    <w:p w:rsidR="00025002" w:rsidRPr="00025002" w:rsidRDefault="00025002" w:rsidP="00594317">
      <w:pPr>
        <w:pStyle w:val="Body"/>
        <w:suppressLineNumbers/>
        <w:spacing w:after="0" w:line="240" w:lineRule="auto"/>
        <w:jc w:val="center"/>
        <w:rPr>
          <w:rFonts w:ascii="Times New Roman" w:eastAsia="Times New Roman" w:hAnsi="Times New Roman" w:cs="Times New Roman"/>
          <w:b/>
          <w:caps/>
          <w:sz w:val="24"/>
          <w:szCs w:val="24"/>
          <w:u w:val="single"/>
        </w:rPr>
      </w:pPr>
      <w:r w:rsidRPr="00025002">
        <w:rPr>
          <w:rFonts w:ascii="Times New Roman" w:hAnsi="Times New Roman" w:cs="Times New Roman"/>
          <w:b/>
          <w:caps/>
          <w:sz w:val="24"/>
          <w:szCs w:val="24"/>
          <w:u w:val="single"/>
        </w:rPr>
        <w:t xml:space="preserve">Committee on </w:t>
      </w:r>
      <w:r w:rsidR="00594317">
        <w:rPr>
          <w:rFonts w:ascii="Times New Roman" w:hAnsi="Times New Roman" w:cs="Times New Roman"/>
          <w:b/>
          <w:caps/>
          <w:sz w:val="24"/>
          <w:szCs w:val="24"/>
          <w:u w:val="single"/>
        </w:rPr>
        <w:t>WOMEN AND GENDER EQUITY</w:t>
      </w:r>
    </w:p>
    <w:p w:rsidR="00025002" w:rsidRPr="00F046E0" w:rsidRDefault="00025002" w:rsidP="00025002">
      <w:pPr>
        <w:pStyle w:val="Body"/>
        <w:suppressLineNumbers/>
        <w:spacing w:after="0" w:line="240" w:lineRule="auto"/>
        <w:ind w:left="7920" w:hanging="7920"/>
        <w:jc w:val="center"/>
        <w:rPr>
          <w:rFonts w:ascii="Times New Roman" w:eastAsia="Times New Roman" w:hAnsi="Times New Roman" w:cs="Times New Roman"/>
          <w:bCs/>
          <w:sz w:val="24"/>
          <w:szCs w:val="24"/>
        </w:rPr>
      </w:pPr>
      <w:r w:rsidRPr="00F046E0">
        <w:rPr>
          <w:rFonts w:ascii="Times New Roman" w:hAnsi="Times New Roman" w:cs="Times New Roman"/>
          <w:bCs/>
          <w:sz w:val="24"/>
          <w:szCs w:val="24"/>
          <w:lang w:val="pt-PT"/>
        </w:rPr>
        <w:t>Hon. Darma V. Diaz</w:t>
      </w:r>
      <w:r w:rsidR="00F046E0">
        <w:rPr>
          <w:rFonts w:ascii="Times New Roman" w:hAnsi="Times New Roman" w:cs="Times New Roman"/>
          <w:bCs/>
          <w:sz w:val="24"/>
          <w:szCs w:val="24"/>
          <w:lang w:val="pt-PT"/>
        </w:rPr>
        <w:t xml:space="preserve">, </w:t>
      </w:r>
      <w:r w:rsidR="00F046E0" w:rsidRPr="00F046E0">
        <w:rPr>
          <w:rFonts w:ascii="Times New Roman" w:hAnsi="Times New Roman" w:cs="Times New Roman"/>
          <w:bCs/>
          <w:i/>
          <w:iCs/>
          <w:sz w:val="24"/>
          <w:szCs w:val="24"/>
          <w:lang w:val="pt-PT"/>
        </w:rPr>
        <w:t>Chair</w:t>
      </w:r>
    </w:p>
    <w:p w:rsidR="00025002" w:rsidRPr="00025002" w:rsidRDefault="00F046E0" w:rsidP="00025002">
      <w:pPr>
        <w:pStyle w:val="Body"/>
        <w:suppressLineNumber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25002" w:rsidRPr="00BD243A" w:rsidRDefault="00025002" w:rsidP="00025002">
      <w:pPr>
        <w:pStyle w:val="Body"/>
        <w:suppressLineNumbers/>
        <w:spacing w:after="0" w:line="240" w:lineRule="auto"/>
        <w:rPr>
          <w:rFonts w:ascii="Times New Roman" w:eastAsia="Times New Roman" w:hAnsi="Times New Roman" w:cs="Times New Roman"/>
          <w:sz w:val="24"/>
          <w:szCs w:val="24"/>
        </w:rPr>
      </w:pPr>
    </w:p>
    <w:p w:rsidR="00025002" w:rsidRPr="00025002" w:rsidRDefault="00025002" w:rsidP="00025002">
      <w:pPr>
        <w:suppressLineNumbers/>
        <w:tabs>
          <w:tab w:val="center" w:pos="4680"/>
        </w:tabs>
        <w:jc w:val="center"/>
        <w:rPr>
          <w:b/>
        </w:rPr>
      </w:pPr>
      <w:r w:rsidRPr="0088323F">
        <w:rPr>
          <w:b/>
        </w:rPr>
        <w:t>September 9, 2021</w:t>
      </w:r>
    </w:p>
    <w:p w:rsidR="00025002" w:rsidRPr="00025002" w:rsidRDefault="00025002" w:rsidP="00025002">
      <w:pPr>
        <w:jc w:val="center"/>
        <w:rPr>
          <w:b/>
          <w:bCs/>
          <w:color w:val="000000"/>
        </w:rPr>
      </w:pPr>
    </w:p>
    <w:p w:rsidR="00025002" w:rsidRPr="00BD243A" w:rsidRDefault="00025002" w:rsidP="00025002">
      <w:pPr>
        <w:jc w:val="center"/>
        <w:rPr>
          <w:b/>
        </w:rPr>
      </w:pPr>
    </w:p>
    <w:tbl>
      <w:tblPr>
        <w:tblW w:w="10437" w:type="dxa"/>
        <w:tblInd w:w="-5" w:type="dxa"/>
        <w:tblLook w:val="04A0" w:firstRow="1" w:lastRow="0" w:firstColumn="1" w:lastColumn="0" w:noHBand="0" w:noVBand="1"/>
      </w:tblPr>
      <w:tblGrid>
        <w:gridCol w:w="3821"/>
        <w:gridCol w:w="6616"/>
      </w:tblGrid>
      <w:tr w:rsidR="00025002" w:rsidRPr="00BD243A" w:rsidTr="002F6817">
        <w:trPr>
          <w:trHeight w:val="400"/>
        </w:trPr>
        <w:tc>
          <w:tcPr>
            <w:tcW w:w="3821" w:type="dxa"/>
            <w:shd w:val="clear" w:color="auto" w:fill="auto"/>
          </w:tcPr>
          <w:p w:rsidR="00025002" w:rsidRPr="0088323F" w:rsidRDefault="00025002" w:rsidP="002F6817">
            <w:pPr>
              <w:widowControl w:val="0"/>
              <w:autoSpaceDE w:val="0"/>
              <w:autoSpaceDN w:val="0"/>
              <w:adjustRightInd w:val="0"/>
            </w:pPr>
            <w:r w:rsidRPr="0088323F">
              <w:rPr>
                <w:b/>
                <w:u w:val="single"/>
              </w:rPr>
              <w:t>Proposed Int. No. 1828-A:</w:t>
            </w:r>
          </w:p>
        </w:tc>
        <w:tc>
          <w:tcPr>
            <w:tcW w:w="6616" w:type="dxa"/>
            <w:shd w:val="clear" w:color="auto" w:fill="auto"/>
          </w:tcPr>
          <w:p w:rsidR="00025002" w:rsidRPr="0088323F" w:rsidRDefault="00025002" w:rsidP="002F6817">
            <w:pPr>
              <w:suppressLineNumbers/>
              <w:jc w:val="both"/>
              <w:rPr>
                <w:rFonts w:eastAsia="Calibri"/>
              </w:rPr>
            </w:pPr>
            <w:r w:rsidRPr="0088323F">
              <w:t>By Council Members Ampry-Samuel, Rosenthal, Cumbo, Chin, Koslowitz, Ayala, Louis, Kallos, Adams, Gjonaj and Rivera (by request of the Brooklyn Borough President)</w:t>
            </w:r>
            <w:r w:rsidRPr="0088323F">
              <w:br/>
            </w:r>
          </w:p>
        </w:tc>
      </w:tr>
      <w:tr w:rsidR="00025002" w:rsidRPr="00BD243A" w:rsidTr="002F6817">
        <w:trPr>
          <w:trHeight w:val="747"/>
        </w:trPr>
        <w:tc>
          <w:tcPr>
            <w:tcW w:w="3821" w:type="dxa"/>
            <w:shd w:val="clear" w:color="auto" w:fill="auto"/>
          </w:tcPr>
          <w:p w:rsidR="00025002" w:rsidRPr="00C362E7" w:rsidRDefault="00025002" w:rsidP="002F6817">
            <w:pPr>
              <w:widowControl w:val="0"/>
              <w:autoSpaceDE w:val="0"/>
              <w:autoSpaceDN w:val="0"/>
              <w:adjustRightInd w:val="0"/>
            </w:pPr>
            <w:r w:rsidRPr="00C362E7">
              <w:rPr>
                <w:b/>
                <w:u w:val="single"/>
              </w:rPr>
              <w:t>T</w:t>
            </w:r>
            <w:r>
              <w:rPr>
                <w:b/>
                <w:u w:val="single"/>
              </w:rPr>
              <w:t>itle</w:t>
            </w:r>
            <w:r w:rsidRPr="00C362E7">
              <w:rPr>
                <w:b/>
                <w:u w:val="single"/>
              </w:rPr>
              <w:t>:</w:t>
            </w:r>
          </w:p>
        </w:tc>
        <w:tc>
          <w:tcPr>
            <w:tcW w:w="6616" w:type="dxa"/>
            <w:shd w:val="clear" w:color="auto" w:fill="auto"/>
          </w:tcPr>
          <w:p w:rsidR="00025002" w:rsidRPr="00C362E7" w:rsidRDefault="00025002" w:rsidP="002F6817">
            <w:pPr>
              <w:widowControl w:val="0"/>
              <w:autoSpaceDE w:val="0"/>
              <w:autoSpaceDN w:val="0"/>
              <w:adjustRightInd w:val="0"/>
              <w:jc w:val="both"/>
            </w:pPr>
            <w:r w:rsidRPr="00C362E7">
              <w:t xml:space="preserve">A Local Law </w:t>
            </w:r>
            <w:r w:rsidRPr="00025002">
              <w:t>to amend the administrative code of the city of New York, in relation to establishing an advisory committee on female genital mutilation and cutting and making technical amendments in connection therewith</w:t>
            </w:r>
            <w:r>
              <w:br/>
            </w:r>
          </w:p>
        </w:tc>
      </w:tr>
      <w:tr w:rsidR="00025002" w:rsidRPr="00BD243A" w:rsidTr="002F6817">
        <w:trPr>
          <w:trHeight w:val="450"/>
        </w:trPr>
        <w:tc>
          <w:tcPr>
            <w:tcW w:w="3821" w:type="dxa"/>
            <w:shd w:val="clear" w:color="auto" w:fill="auto"/>
          </w:tcPr>
          <w:p w:rsidR="00025002" w:rsidRPr="00C362E7" w:rsidRDefault="00025002" w:rsidP="002F6817">
            <w:pPr>
              <w:widowControl w:val="0"/>
              <w:autoSpaceDE w:val="0"/>
              <w:autoSpaceDN w:val="0"/>
              <w:adjustRightInd w:val="0"/>
            </w:pPr>
            <w:r>
              <w:rPr>
                <w:b/>
                <w:u w:val="single"/>
              </w:rPr>
              <w:t>Administrative Code</w:t>
            </w:r>
            <w:r w:rsidRPr="00C362E7">
              <w:rPr>
                <w:b/>
                <w:u w:val="single"/>
              </w:rPr>
              <w:t>:</w:t>
            </w:r>
          </w:p>
        </w:tc>
        <w:tc>
          <w:tcPr>
            <w:tcW w:w="6616" w:type="dxa"/>
            <w:shd w:val="clear" w:color="auto" w:fill="auto"/>
          </w:tcPr>
          <w:p w:rsidR="00025002" w:rsidRDefault="00025002" w:rsidP="002F6817">
            <w:pPr>
              <w:widowControl w:val="0"/>
              <w:autoSpaceDE w:val="0"/>
              <w:autoSpaceDN w:val="0"/>
              <w:adjustRightInd w:val="0"/>
              <w:jc w:val="both"/>
            </w:pPr>
            <w:r w:rsidRPr="00465C93">
              <w:t xml:space="preserve">Renumbers several sections </w:t>
            </w:r>
            <w:r w:rsidR="00E715A0">
              <w:t xml:space="preserve">in Title 3 </w:t>
            </w:r>
            <w:r w:rsidRPr="00465C93">
              <w:t xml:space="preserve">and adds a new section </w:t>
            </w:r>
            <w:r w:rsidR="00E715A0">
              <w:t>3-184</w:t>
            </w:r>
          </w:p>
          <w:p w:rsidR="00934E6B" w:rsidRDefault="00934E6B" w:rsidP="002F6817">
            <w:pPr>
              <w:widowControl w:val="0"/>
              <w:autoSpaceDE w:val="0"/>
              <w:autoSpaceDN w:val="0"/>
              <w:adjustRightInd w:val="0"/>
              <w:jc w:val="both"/>
            </w:pPr>
          </w:p>
          <w:p w:rsidR="00934E6B" w:rsidRPr="00C362E7" w:rsidRDefault="00934E6B" w:rsidP="002F6817">
            <w:pPr>
              <w:widowControl w:val="0"/>
              <w:autoSpaceDE w:val="0"/>
              <w:autoSpaceDN w:val="0"/>
              <w:adjustRightInd w:val="0"/>
              <w:jc w:val="both"/>
            </w:pPr>
          </w:p>
        </w:tc>
      </w:tr>
    </w:tbl>
    <w:p w:rsidR="001B3ECC" w:rsidRDefault="001B3ECC" w:rsidP="00EC1037">
      <w:pPr>
        <w:pStyle w:val="ColorfulList-Accent11"/>
        <w:ind w:left="0"/>
        <w:jc w:val="both"/>
        <w:rPr>
          <w:rFonts w:ascii="Times New Roman" w:hAnsi="Times New Roman"/>
          <w:b/>
        </w:rPr>
      </w:pPr>
    </w:p>
    <w:p w:rsidR="00F046E0" w:rsidRPr="000C7809" w:rsidRDefault="00F046E0" w:rsidP="00EC1037">
      <w:pPr>
        <w:pStyle w:val="ColorfulList-Accent11"/>
        <w:ind w:left="0"/>
        <w:jc w:val="both"/>
        <w:rPr>
          <w:rFonts w:ascii="Times New Roman" w:hAnsi="Times New Roman"/>
          <w:b/>
        </w:rPr>
      </w:pPr>
    </w:p>
    <w:p w:rsidR="007B2FB7" w:rsidRPr="009E3476" w:rsidRDefault="008D7FAE" w:rsidP="009E3476">
      <w:pPr>
        <w:pStyle w:val="ColorfulList-Accent11"/>
        <w:spacing w:line="480" w:lineRule="auto"/>
        <w:ind w:left="0"/>
        <w:jc w:val="both"/>
        <w:rPr>
          <w:u w:val="single"/>
        </w:rPr>
      </w:pPr>
      <w:r>
        <w:rPr>
          <w:rFonts w:ascii="Times New Roman" w:hAnsi="Times New Roman"/>
          <w:b/>
          <w:smallCaps/>
        </w:rPr>
        <w:t>I.</w:t>
      </w:r>
      <w:r>
        <w:rPr>
          <w:rFonts w:ascii="Times New Roman" w:hAnsi="Times New Roman"/>
          <w:b/>
          <w:smallCaps/>
        </w:rPr>
        <w:tab/>
      </w:r>
      <w:r w:rsidR="007B2FB7" w:rsidRPr="000C7809">
        <w:rPr>
          <w:rFonts w:ascii="Times New Roman" w:hAnsi="Times New Roman"/>
          <w:b/>
          <w:smallCaps/>
        </w:rPr>
        <w:t>I</w:t>
      </w:r>
      <w:r w:rsidR="00CB17F9" w:rsidRPr="000C7809">
        <w:rPr>
          <w:rFonts w:ascii="Times New Roman" w:hAnsi="Times New Roman"/>
          <w:b/>
          <w:smallCaps/>
        </w:rPr>
        <w:t>ntroduction</w:t>
      </w:r>
    </w:p>
    <w:p w:rsidR="00D76AAB" w:rsidRPr="00FD0BE1" w:rsidRDefault="00F046E0" w:rsidP="00FD0BE1">
      <w:pPr>
        <w:spacing w:line="480" w:lineRule="auto"/>
        <w:ind w:firstLine="720"/>
        <w:jc w:val="both"/>
      </w:pPr>
      <w:r w:rsidRPr="0088323F">
        <w:lastRenderedPageBreak/>
        <w:t xml:space="preserve">On September 9, 2021, the Committee on Women and Gender Equity, chaired by Council Member Darma V. Diaz, </w:t>
      </w:r>
      <w:r w:rsidR="006F7971">
        <w:t>held</w:t>
      </w:r>
      <w:r>
        <w:t xml:space="preserve"> a vote on Proposed Int. No. 1828-A, sponsored by Council Member Alicka Ampry-Samuel, related to </w:t>
      </w:r>
      <w:r w:rsidRPr="00F046E0">
        <w:t>establishing an advisory committee on female genital mutilation and cutting and making technical amendments in connection therewith</w:t>
      </w:r>
      <w:r w:rsidR="006F7971">
        <w:t>, and the item was reported out of committee</w:t>
      </w:r>
      <w:r>
        <w:t>. This bill was originally heard at a hearing of this Committee, then-chaired by Council Member Helen K. Rosenthal</w:t>
      </w:r>
      <w:r w:rsidR="00FD0BE1">
        <w:t>, on December 12, 2018, at which the Committee heard testimony from the</w:t>
      </w:r>
      <w:r w:rsidR="001B3ECC">
        <w:t xml:space="preserve"> NYC Commission on </w:t>
      </w:r>
      <w:r w:rsidR="001B3ECC" w:rsidRPr="0086297A">
        <w:t>Gender Equity</w:t>
      </w:r>
      <w:r w:rsidR="00346885" w:rsidRPr="00C13717">
        <w:t xml:space="preserve"> </w:t>
      </w:r>
      <w:r w:rsidR="001B3ECC" w:rsidRPr="009B4BC6">
        <w:t>(“</w:t>
      </w:r>
      <w:r w:rsidR="001B3ECC" w:rsidRPr="009203F1">
        <w:t>CGE</w:t>
      </w:r>
      <w:r w:rsidR="001B3ECC" w:rsidRPr="002A5D5C">
        <w:t>” or “Commission”</w:t>
      </w:r>
      <w:r w:rsidR="001B3ECC" w:rsidRPr="00E91CA4">
        <w:t>)</w:t>
      </w:r>
      <w:r w:rsidR="002F023D" w:rsidRPr="00E91CA4">
        <w:t xml:space="preserve"> a</w:t>
      </w:r>
      <w:r w:rsidR="002F023D" w:rsidRPr="008B7562">
        <w:t xml:space="preserve">nd the Mayor’s Office to End Domestic and Gender-Based Violence (ENDGBV), </w:t>
      </w:r>
      <w:r w:rsidR="001B3ECC" w:rsidRPr="008905BF">
        <w:t xml:space="preserve">as well as activists, advocacy groups, experts in the field of gender equality, </w:t>
      </w:r>
      <w:r w:rsidR="002F023D" w:rsidRPr="008905BF">
        <w:t xml:space="preserve">health care providers, legal services providers, </w:t>
      </w:r>
      <w:r w:rsidR="00105F64" w:rsidRPr="00F86C68">
        <w:t xml:space="preserve">service providers, </w:t>
      </w:r>
      <w:r w:rsidR="001B3ECC" w:rsidRPr="003A65D8">
        <w:t>and other interested stakeholders.</w:t>
      </w:r>
    </w:p>
    <w:p w:rsidR="00346885" w:rsidRPr="00A45999" w:rsidRDefault="008D7FAE" w:rsidP="009E3476">
      <w:pPr>
        <w:pStyle w:val="ColorfulList-Accent11"/>
        <w:spacing w:line="480" w:lineRule="auto"/>
        <w:ind w:left="0"/>
        <w:jc w:val="both"/>
        <w:rPr>
          <w:rFonts w:ascii="Times New Roman" w:hAnsi="Times New Roman"/>
          <w:b/>
          <w:smallCaps/>
        </w:rPr>
      </w:pPr>
      <w:r w:rsidRPr="00FA03C1">
        <w:rPr>
          <w:rFonts w:ascii="Times New Roman" w:hAnsi="Times New Roman"/>
          <w:b/>
          <w:smallCaps/>
        </w:rPr>
        <w:t>II.</w:t>
      </w:r>
      <w:r w:rsidRPr="00FA03C1">
        <w:rPr>
          <w:rFonts w:ascii="Times New Roman" w:hAnsi="Times New Roman"/>
          <w:b/>
          <w:smallCaps/>
        </w:rPr>
        <w:tab/>
      </w:r>
      <w:r w:rsidR="002F023D" w:rsidRPr="00BF3412">
        <w:rPr>
          <w:rFonts w:ascii="Times New Roman" w:hAnsi="Times New Roman"/>
          <w:b/>
          <w:smallCaps/>
        </w:rPr>
        <w:t>Background</w:t>
      </w:r>
    </w:p>
    <w:p w:rsidR="002F4BB6" w:rsidRPr="0086297A" w:rsidRDefault="00615077" w:rsidP="00B43D9E">
      <w:pPr>
        <w:spacing w:line="480" w:lineRule="auto"/>
        <w:ind w:firstLine="720"/>
        <w:jc w:val="both"/>
        <w:outlineLvl w:val="0"/>
        <w:rPr>
          <w:rFonts w:eastAsia="Calibri"/>
          <w:color w:val="000000"/>
        </w:rPr>
      </w:pPr>
      <w:r w:rsidRPr="00F549F2">
        <w:rPr>
          <w:rFonts w:eastAsia="Calibri"/>
          <w:color w:val="000000"/>
        </w:rPr>
        <w:t>F</w:t>
      </w:r>
      <w:r w:rsidR="0096141B" w:rsidRPr="00C34B25">
        <w:rPr>
          <w:rFonts w:eastAsia="Calibri"/>
          <w:color w:val="000000"/>
        </w:rPr>
        <w:t xml:space="preserve">emale genital cutting (FGC), also known as female genital mutilation </w:t>
      </w:r>
      <w:r w:rsidR="00D76AAB" w:rsidRPr="00C34B25">
        <w:rPr>
          <w:rFonts w:eastAsia="Calibri"/>
          <w:color w:val="000000"/>
        </w:rPr>
        <w:t xml:space="preserve">or </w:t>
      </w:r>
      <w:r w:rsidR="0096141B" w:rsidRPr="00C34B25">
        <w:rPr>
          <w:rFonts w:eastAsia="Calibri"/>
          <w:color w:val="000000"/>
        </w:rPr>
        <w:t>female circumcision,</w:t>
      </w:r>
      <w:r w:rsidR="005541FD" w:rsidRPr="0086297A">
        <w:rPr>
          <w:rStyle w:val="FootnoteReference"/>
          <w:rFonts w:eastAsia="Calibri"/>
          <w:color w:val="000000"/>
        </w:rPr>
        <w:footnoteReference w:id="1"/>
      </w:r>
      <w:r w:rsidR="0096141B" w:rsidRPr="0086297A">
        <w:rPr>
          <w:rFonts w:eastAsia="Calibri"/>
          <w:color w:val="000000"/>
        </w:rPr>
        <w:t xml:space="preserve"> </w:t>
      </w:r>
      <w:r w:rsidRPr="00C13717">
        <w:t>is defined by t</w:t>
      </w:r>
      <w:r w:rsidRPr="009B4BC6">
        <w:t xml:space="preserve">he World Health Organization (WHO) </w:t>
      </w:r>
      <w:r w:rsidR="00C20521" w:rsidRPr="009203F1">
        <w:rPr>
          <w:rFonts w:eastAsia="Calibri"/>
          <w:color w:val="000000"/>
        </w:rPr>
        <w:t>as “</w:t>
      </w:r>
      <w:r w:rsidR="0096141B" w:rsidRPr="002A5D5C">
        <w:rPr>
          <w:rFonts w:eastAsia="Calibri"/>
          <w:color w:val="000000"/>
        </w:rPr>
        <w:t>all procedures that involve partial or total removal of the external female genitalia,</w:t>
      </w:r>
      <w:r w:rsidR="0096141B" w:rsidRPr="00E91CA4">
        <w:rPr>
          <w:rFonts w:eastAsia="Calibri"/>
          <w:color w:val="000000"/>
        </w:rPr>
        <w:t xml:space="preserve"> or other injury to the female genital organs</w:t>
      </w:r>
      <w:r w:rsidR="00B957E4" w:rsidRPr="00E91CA4">
        <w:rPr>
          <w:rFonts w:eastAsia="Calibri"/>
          <w:color w:val="000000"/>
        </w:rPr>
        <w:t xml:space="preserve"> for non-medical reasons.</w:t>
      </w:r>
      <w:r w:rsidR="00C20521" w:rsidRPr="008B7562">
        <w:rPr>
          <w:rFonts w:eastAsia="Calibri"/>
          <w:color w:val="000000"/>
        </w:rPr>
        <w:t>”</w:t>
      </w:r>
      <w:r w:rsidR="00B957E4" w:rsidRPr="0086297A">
        <w:rPr>
          <w:rStyle w:val="FootnoteReference"/>
          <w:rFonts w:eastAsia="Calibri"/>
          <w:color w:val="000000"/>
        </w:rPr>
        <w:footnoteReference w:id="2"/>
      </w:r>
      <w:r w:rsidR="008D4C37" w:rsidRPr="0086297A">
        <w:rPr>
          <w:rFonts w:eastAsia="Calibri"/>
          <w:color w:val="000000"/>
        </w:rPr>
        <w:t xml:space="preserve"> FGC is a historical and cultural practice performed in </w:t>
      </w:r>
      <w:r w:rsidR="00D76AAB" w:rsidRPr="00C13717">
        <w:rPr>
          <w:rFonts w:eastAsia="Calibri"/>
          <w:color w:val="000000"/>
        </w:rPr>
        <w:t xml:space="preserve">over </w:t>
      </w:r>
      <w:r w:rsidR="008D4C37" w:rsidRPr="009B4BC6">
        <w:rPr>
          <w:rFonts w:eastAsia="Calibri"/>
          <w:color w:val="000000"/>
        </w:rPr>
        <w:t xml:space="preserve">30 countries, </w:t>
      </w:r>
      <w:r w:rsidR="008D4C37" w:rsidRPr="009B4BC6">
        <w:rPr>
          <w:rFonts w:eastAsia="Calibri"/>
          <w:color w:val="000000"/>
        </w:rPr>
        <w:lastRenderedPageBreak/>
        <w:t>primarily in A</w:t>
      </w:r>
      <w:r w:rsidR="00596919" w:rsidRPr="009B4BC6">
        <w:rPr>
          <w:rFonts w:eastAsia="Calibri"/>
          <w:color w:val="000000"/>
        </w:rPr>
        <w:t>frica, Asia and the Middle East.</w:t>
      </w:r>
      <w:r w:rsidR="008D4C37" w:rsidRPr="0086297A">
        <w:rPr>
          <w:rStyle w:val="FootnoteReference"/>
          <w:rFonts w:eastAsia="Calibri"/>
          <w:color w:val="000000"/>
        </w:rPr>
        <w:footnoteReference w:id="3"/>
      </w:r>
      <w:r w:rsidR="008D4C37" w:rsidRPr="0086297A">
        <w:rPr>
          <w:rFonts w:eastAsia="Calibri"/>
          <w:color w:val="000000"/>
        </w:rPr>
        <w:t xml:space="preserve"> </w:t>
      </w:r>
      <w:r w:rsidR="005541FD" w:rsidRPr="00C13717">
        <w:rPr>
          <w:rFonts w:eastAsia="Calibri"/>
          <w:color w:val="000000"/>
        </w:rPr>
        <w:t xml:space="preserve">Some </w:t>
      </w:r>
      <w:r w:rsidR="00A07ABC" w:rsidRPr="009B4BC6">
        <w:rPr>
          <w:rFonts w:eastAsia="Calibri"/>
          <w:color w:val="000000"/>
        </w:rPr>
        <w:t>types</w:t>
      </w:r>
      <w:r w:rsidR="005541FD" w:rsidRPr="009B4BC6">
        <w:rPr>
          <w:rFonts w:eastAsia="Calibri"/>
          <w:color w:val="000000"/>
        </w:rPr>
        <w:t xml:space="preserve"> of FGC are also reported to occur among certain et</w:t>
      </w:r>
      <w:r w:rsidR="005541FD" w:rsidRPr="009203F1">
        <w:rPr>
          <w:rFonts w:eastAsia="Calibri"/>
          <w:color w:val="000000"/>
        </w:rPr>
        <w:t>hnic groups in Central and South America, and Eastern Europe.</w:t>
      </w:r>
      <w:r w:rsidR="005541FD" w:rsidRPr="0086297A">
        <w:rPr>
          <w:rStyle w:val="FootnoteReference"/>
          <w:rFonts w:eastAsia="Calibri"/>
          <w:color w:val="000000"/>
        </w:rPr>
        <w:footnoteReference w:id="4"/>
      </w:r>
      <w:r w:rsidR="002F4BB6" w:rsidRPr="0086297A">
        <w:rPr>
          <w:rFonts w:eastAsia="Calibri"/>
          <w:color w:val="000000"/>
        </w:rPr>
        <w:t xml:space="preserve"> </w:t>
      </w:r>
      <w:r w:rsidR="00596919" w:rsidRPr="00C13717">
        <w:rPr>
          <w:rFonts w:eastAsia="Calibri"/>
          <w:color w:val="000000"/>
        </w:rPr>
        <w:t>FGC</w:t>
      </w:r>
      <w:r w:rsidR="008D4C37" w:rsidRPr="009B4BC6">
        <w:rPr>
          <w:rFonts w:eastAsia="Calibri"/>
          <w:color w:val="000000"/>
        </w:rPr>
        <w:t xml:space="preserve"> </w:t>
      </w:r>
      <w:r w:rsidR="002F4BB6" w:rsidRPr="009B4BC6">
        <w:rPr>
          <w:rFonts w:eastAsia="Calibri"/>
          <w:color w:val="000000"/>
        </w:rPr>
        <w:t xml:space="preserve">is </w:t>
      </w:r>
      <w:r w:rsidR="00596919" w:rsidRPr="009203F1">
        <w:rPr>
          <w:rFonts w:eastAsia="Calibri"/>
          <w:color w:val="000000"/>
        </w:rPr>
        <w:t xml:space="preserve">practiced </w:t>
      </w:r>
      <w:r w:rsidR="005C1160" w:rsidRPr="002A5D5C">
        <w:rPr>
          <w:rFonts w:eastAsia="Calibri"/>
          <w:color w:val="000000"/>
        </w:rPr>
        <w:t>in households at all educational levels and social classes</w:t>
      </w:r>
      <w:r w:rsidR="0013313A" w:rsidRPr="00E91CA4">
        <w:rPr>
          <w:rFonts w:eastAsia="Calibri"/>
          <w:color w:val="000000"/>
        </w:rPr>
        <w:t>,</w:t>
      </w:r>
      <w:r w:rsidR="005C1160" w:rsidRPr="00E91CA4">
        <w:rPr>
          <w:rFonts w:eastAsia="Calibri"/>
          <w:color w:val="000000"/>
        </w:rPr>
        <w:t xml:space="preserve"> and occurs among many religious groups</w:t>
      </w:r>
      <w:r w:rsidR="005C1160" w:rsidRPr="0086297A">
        <w:rPr>
          <w:rStyle w:val="FootnoteReference"/>
          <w:rFonts w:eastAsia="Calibri"/>
          <w:color w:val="000000"/>
        </w:rPr>
        <w:footnoteReference w:id="5"/>
      </w:r>
      <w:r w:rsidR="005C1160" w:rsidRPr="0086297A">
        <w:rPr>
          <w:rFonts w:eastAsia="Calibri"/>
          <w:color w:val="000000"/>
        </w:rPr>
        <w:t xml:space="preserve"> </w:t>
      </w:r>
      <w:r w:rsidR="00596919" w:rsidRPr="00C13717">
        <w:rPr>
          <w:rFonts w:eastAsia="Calibri"/>
          <w:color w:val="000000"/>
        </w:rPr>
        <w:t xml:space="preserve">for various sociocultural reasons, varying from one region and ethnic group </w:t>
      </w:r>
      <w:r w:rsidR="00596919" w:rsidRPr="009B4BC6">
        <w:rPr>
          <w:rFonts w:eastAsia="Calibri"/>
          <w:color w:val="000000"/>
        </w:rPr>
        <w:t>to another.</w:t>
      </w:r>
      <w:r w:rsidR="00596919" w:rsidRPr="0086297A">
        <w:rPr>
          <w:rStyle w:val="FootnoteReference"/>
          <w:rFonts w:eastAsia="Calibri"/>
          <w:color w:val="000000"/>
        </w:rPr>
        <w:footnoteReference w:id="6"/>
      </w:r>
      <w:r w:rsidR="00596919" w:rsidRPr="0086297A">
        <w:rPr>
          <w:rFonts w:eastAsia="Calibri"/>
          <w:color w:val="000000"/>
        </w:rPr>
        <w:t xml:space="preserve"> </w:t>
      </w:r>
      <w:r w:rsidR="00B43D9E" w:rsidRPr="00C13717">
        <w:rPr>
          <w:rFonts w:eastAsia="Calibri"/>
          <w:color w:val="000000"/>
        </w:rPr>
        <w:t xml:space="preserve">While </w:t>
      </w:r>
      <w:r w:rsidR="000F7D65" w:rsidRPr="009B4BC6">
        <w:rPr>
          <w:rFonts w:eastAsia="Calibri"/>
          <w:color w:val="000000"/>
        </w:rPr>
        <w:t>FG</w:t>
      </w:r>
      <w:r w:rsidR="00B43D9E" w:rsidRPr="009B4BC6">
        <w:rPr>
          <w:rFonts w:eastAsia="Calibri"/>
          <w:color w:val="000000"/>
        </w:rPr>
        <w:t xml:space="preserve">C is condemned </w:t>
      </w:r>
      <w:r w:rsidR="00B43D9E" w:rsidRPr="009203F1">
        <w:rPr>
          <w:rFonts w:eastAsia="Calibri"/>
          <w:color w:val="000000"/>
        </w:rPr>
        <w:t xml:space="preserve">as a human rights violation </w:t>
      </w:r>
      <w:r w:rsidR="00B43D9E" w:rsidRPr="002A5D5C">
        <w:rPr>
          <w:rFonts w:eastAsia="Calibri"/>
          <w:color w:val="000000"/>
        </w:rPr>
        <w:t>by many internat</w:t>
      </w:r>
      <w:r w:rsidR="00B43D9E" w:rsidRPr="00E91CA4">
        <w:rPr>
          <w:rFonts w:eastAsia="Calibri"/>
          <w:color w:val="000000"/>
        </w:rPr>
        <w:t>ional treaties and conventions,</w:t>
      </w:r>
      <w:r w:rsidR="0038539D">
        <w:rPr>
          <w:rStyle w:val="FootnoteReference"/>
          <w:rFonts w:eastAsia="Calibri"/>
          <w:color w:val="000000"/>
        </w:rPr>
        <w:footnoteReference w:id="7"/>
      </w:r>
      <w:r w:rsidR="00B43D9E" w:rsidRPr="00E91CA4">
        <w:rPr>
          <w:rFonts w:eastAsia="Calibri"/>
          <w:color w:val="000000"/>
        </w:rPr>
        <w:t xml:space="preserve"> where it is practic</w:t>
      </w:r>
      <w:r w:rsidR="0040242C" w:rsidRPr="00E91CA4">
        <w:rPr>
          <w:rFonts w:eastAsia="Calibri"/>
          <w:color w:val="000000"/>
        </w:rPr>
        <w:t>ed, FG</w:t>
      </w:r>
      <w:r w:rsidR="00B43D9E" w:rsidRPr="00E91CA4">
        <w:rPr>
          <w:rFonts w:eastAsia="Calibri"/>
          <w:color w:val="000000"/>
        </w:rPr>
        <w:t xml:space="preserve">C is </w:t>
      </w:r>
      <w:r w:rsidR="00232C63" w:rsidRPr="008B7562">
        <w:rPr>
          <w:rFonts w:eastAsia="Calibri"/>
          <w:color w:val="000000"/>
        </w:rPr>
        <w:t>often perfo</w:t>
      </w:r>
      <w:r w:rsidR="00232C63" w:rsidRPr="008905BF">
        <w:rPr>
          <w:rFonts w:eastAsia="Calibri"/>
          <w:color w:val="000000"/>
        </w:rPr>
        <w:t xml:space="preserve">rmed </w:t>
      </w:r>
      <w:r w:rsidR="00B43D9E" w:rsidRPr="008905BF">
        <w:rPr>
          <w:rFonts w:eastAsia="Calibri"/>
          <w:color w:val="000000"/>
        </w:rPr>
        <w:t>in line with</w:t>
      </w:r>
      <w:r w:rsidR="00B43D9E" w:rsidRPr="00F86C68">
        <w:rPr>
          <w:rFonts w:eastAsia="Calibri"/>
          <w:color w:val="000000"/>
        </w:rPr>
        <w:t xml:space="preserve"> social norms </w:t>
      </w:r>
      <w:r w:rsidR="00232C63" w:rsidRPr="003A65D8">
        <w:rPr>
          <w:rFonts w:eastAsia="Calibri"/>
          <w:color w:val="000000"/>
        </w:rPr>
        <w:t>“</w:t>
      </w:r>
      <w:r w:rsidR="00B43D9E" w:rsidRPr="003A65D8">
        <w:rPr>
          <w:rFonts w:eastAsia="Calibri"/>
          <w:color w:val="000000"/>
        </w:rPr>
        <w:t xml:space="preserve">to ensure that girls are socially accepted and marriageable, and </w:t>
      </w:r>
      <w:r w:rsidR="00B43D9E" w:rsidRPr="00FA03C1">
        <w:rPr>
          <w:rFonts w:eastAsia="Calibri"/>
          <w:color w:val="000000"/>
        </w:rPr>
        <w:t>to uphold their status and hono</w:t>
      </w:r>
      <w:r w:rsidR="00B43D9E" w:rsidRPr="00BF3412">
        <w:rPr>
          <w:rFonts w:eastAsia="Calibri"/>
          <w:color w:val="000000"/>
        </w:rPr>
        <w:t>r and that of the entire family.</w:t>
      </w:r>
      <w:r w:rsidR="00B43D9E" w:rsidRPr="00A45999">
        <w:rPr>
          <w:rFonts w:eastAsia="Calibri"/>
          <w:color w:val="000000"/>
        </w:rPr>
        <w:t>”</w:t>
      </w:r>
      <w:r w:rsidR="00B43D9E" w:rsidRPr="0086297A">
        <w:rPr>
          <w:rStyle w:val="FootnoteReference"/>
          <w:rFonts w:eastAsia="Calibri"/>
          <w:color w:val="000000"/>
        </w:rPr>
        <w:footnoteReference w:id="8"/>
      </w:r>
      <w:r w:rsidR="00B43D9E" w:rsidRPr="0086297A">
        <w:rPr>
          <w:rFonts w:eastAsia="Calibri"/>
          <w:color w:val="000000"/>
        </w:rPr>
        <w:t xml:space="preserve"> </w:t>
      </w:r>
      <w:r w:rsidR="00B43D9E" w:rsidRPr="009B4BC6">
        <w:rPr>
          <w:rFonts w:eastAsia="Calibri"/>
          <w:color w:val="000000"/>
        </w:rPr>
        <w:t xml:space="preserve">Other historical reasons and </w:t>
      </w:r>
      <w:r w:rsidR="008D4C37" w:rsidRPr="009203F1">
        <w:rPr>
          <w:rFonts w:eastAsia="Calibri"/>
          <w:color w:val="000000"/>
        </w:rPr>
        <w:t>purposes</w:t>
      </w:r>
      <w:r w:rsidR="00B43D9E" w:rsidRPr="002A5D5C">
        <w:rPr>
          <w:rFonts w:eastAsia="Calibri"/>
          <w:color w:val="000000"/>
        </w:rPr>
        <w:t xml:space="preserve"> </w:t>
      </w:r>
      <w:r w:rsidR="00B43D9E" w:rsidRPr="00E91CA4">
        <w:rPr>
          <w:rFonts w:eastAsia="Calibri"/>
          <w:color w:val="000000"/>
        </w:rPr>
        <w:t xml:space="preserve">expressed for the practice, beyond safeguarding virginity before marriage or enhancing fertility, </w:t>
      </w:r>
      <w:r w:rsidR="00B43D9E" w:rsidRPr="00F86C68">
        <w:rPr>
          <w:rFonts w:eastAsia="Calibri"/>
          <w:color w:val="000000"/>
        </w:rPr>
        <w:t>range</w:t>
      </w:r>
      <w:r w:rsidR="00B43D9E" w:rsidRPr="003A65D8">
        <w:rPr>
          <w:rFonts w:eastAsia="Calibri"/>
          <w:color w:val="000000"/>
        </w:rPr>
        <w:t xml:space="preserve"> </w:t>
      </w:r>
      <w:r w:rsidR="008D4C37" w:rsidRPr="003A65D8">
        <w:rPr>
          <w:rFonts w:eastAsia="Calibri"/>
          <w:color w:val="000000"/>
        </w:rPr>
        <w:t>from cleanliness and beauty</w:t>
      </w:r>
      <w:r w:rsidR="00B43D9E" w:rsidRPr="00A45999">
        <w:rPr>
          <w:rFonts w:eastAsia="Calibri"/>
          <w:color w:val="000000"/>
        </w:rPr>
        <w:t xml:space="preserve"> </w:t>
      </w:r>
      <w:r w:rsidR="008D4C37" w:rsidRPr="00C34B25">
        <w:rPr>
          <w:rFonts w:eastAsia="Calibri"/>
          <w:color w:val="000000"/>
        </w:rPr>
        <w:t xml:space="preserve">to acting as a rite of passage </w:t>
      </w:r>
      <w:r w:rsidR="00B43D9E" w:rsidRPr="00C34B25">
        <w:rPr>
          <w:rFonts w:eastAsia="Calibri"/>
          <w:color w:val="000000"/>
        </w:rPr>
        <w:t xml:space="preserve">into </w:t>
      </w:r>
      <w:r w:rsidR="008D4C37" w:rsidRPr="00C34B25">
        <w:rPr>
          <w:rFonts w:eastAsia="Calibri"/>
          <w:color w:val="000000"/>
        </w:rPr>
        <w:t>adulthood.</w:t>
      </w:r>
      <w:r w:rsidR="00596919" w:rsidRPr="0086297A">
        <w:rPr>
          <w:rStyle w:val="FootnoteReference"/>
          <w:rFonts w:eastAsia="Calibri"/>
          <w:color w:val="000000"/>
        </w:rPr>
        <w:footnoteReference w:id="9"/>
      </w:r>
    </w:p>
    <w:p w:rsidR="0096141B" w:rsidRPr="0086297A" w:rsidRDefault="00252857" w:rsidP="00B957E4">
      <w:pPr>
        <w:spacing w:line="480" w:lineRule="auto"/>
        <w:ind w:firstLine="720"/>
        <w:jc w:val="both"/>
        <w:outlineLvl w:val="0"/>
        <w:rPr>
          <w:rFonts w:eastAsia="Calibri"/>
          <w:color w:val="000000"/>
        </w:rPr>
      </w:pPr>
      <w:r w:rsidRPr="00C13717">
        <w:rPr>
          <w:rFonts w:eastAsia="Calibri"/>
          <w:color w:val="000000"/>
        </w:rPr>
        <w:t xml:space="preserve">However, </w:t>
      </w:r>
      <w:r w:rsidR="002F4BB6" w:rsidRPr="009B4BC6">
        <w:rPr>
          <w:rFonts w:eastAsia="Calibri"/>
          <w:color w:val="000000"/>
        </w:rPr>
        <w:t>FGC has no known health benefits, and women</w:t>
      </w:r>
      <w:r w:rsidR="00C34B25">
        <w:rPr>
          <w:rFonts w:eastAsia="Calibri"/>
          <w:color w:val="000000"/>
        </w:rPr>
        <w:t xml:space="preserve"> and girls</w:t>
      </w:r>
      <w:r w:rsidR="002F4BB6" w:rsidRPr="009B4BC6">
        <w:rPr>
          <w:rFonts w:eastAsia="Calibri"/>
          <w:color w:val="000000"/>
        </w:rPr>
        <w:t xml:space="preserve"> who have undergone FGC </w:t>
      </w:r>
      <w:r w:rsidR="00404024" w:rsidRPr="009B4BC6">
        <w:rPr>
          <w:rFonts w:eastAsia="Calibri"/>
          <w:color w:val="000000"/>
        </w:rPr>
        <w:t xml:space="preserve">procedures </w:t>
      </w:r>
      <w:r w:rsidR="002F4BB6" w:rsidRPr="009B4BC6">
        <w:rPr>
          <w:rFonts w:eastAsia="Calibri"/>
          <w:color w:val="000000"/>
        </w:rPr>
        <w:t xml:space="preserve">are at </w:t>
      </w:r>
      <w:r w:rsidR="002F4BB6" w:rsidRPr="009203F1">
        <w:rPr>
          <w:rFonts w:eastAsia="Calibri"/>
          <w:color w:val="000000"/>
        </w:rPr>
        <w:t xml:space="preserve">great risk of suffering both short- and long-term </w:t>
      </w:r>
      <w:r w:rsidR="000A4852" w:rsidRPr="002A5D5C">
        <w:rPr>
          <w:rFonts w:eastAsia="Calibri"/>
          <w:color w:val="000000"/>
        </w:rPr>
        <w:t xml:space="preserve">health </w:t>
      </w:r>
      <w:r w:rsidR="002F4BB6" w:rsidRPr="00E91CA4">
        <w:rPr>
          <w:rFonts w:eastAsia="Calibri"/>
          <w:color w:val="000000"/>
        </w:rPr>
        <w:t>complications</w:t>
      </w:r>
      <w:r w:rsidR="000A4852" w:rsidRPr="00E91CA4">
        <w:rPr>
          <w:rFonts w:eastAsia="Calibri"/>
          <w:color w:val="000000"/>
        </w:rPr>
        <w:t>, including increased risks during childbirth, psychological trauma, and even death</w:t>
      </w:r>
      <w:r w:rsidR="002F4BB6" w:rsidRPr="008B7562">
        <w:rPr>
          <w:rFonts w:eastAsia="Calibri"/>
          <w:color w:val="000000"/>
        </w:rPr>
        <w:t>.</w:t>
      </w:r>
      <w:r w:rsidR="00404024" w:rsidRPr="0086297A">
        <w:rPr>
          <w:rStyle w:val="FootnoteReference"/>
          <w:rFonts w:eastAsia="Calibri"/>
          <w:color w:val="000000"/>
        </w:rPr>
        <w:footnoteReference w:id="10"/>
      </w:r>
      <w:r w:rsidR="00404024" w:rsidRPr="0086297A">
        <w:rPr>
          <w:rFonts w:eastAsia="Calibri"/>
          <w:color w:val="000000"/>
        </w:rPr>
        <w:t xml:space="preserve"> </w:t>
      </w:r>
      <w:r w:rsidR="00F41749" w:rsidRPr="009B4BC6">
        <w:rPr>
          <w:rFonts w:eastAsia="Calibri"/>
          <w:color w:val="000000"/>
        </w:rPr>
        <w:t xml:space="preserve">Further, the </w:t>
      </w:r>
      <w:r w:rsidR="00965EB3" w:rsidRPr="009203F1">
        <w:rPr>
          <w:rFonts w:eastAsia="Calibri"/>
          <w:color w:val="000000"/>
        </w:rPr>
        <w:t>painful and traumatic</w:t>
      </w:r>
      <w:r w:rsidR="00F41749" w:rsidRPr="002A5D5C">
        <w:rPr>
          <w:rFonts w:eastAsia="Calibri"/>
          <w:color w:val="000000"/>
        </w:rPr>
        <w:t xml:space="preserve"> procedure</w:t>
      </w:r>
      <w:r w:rsidR="00965EB3" w:rsidRPr="00E91CA4">
        <w:rPr>
          <w:rFonts w:eastAsia="Calibri"/>
          <w:color w:val="000000"/>
        </w:rPr>
        <w:t xml:space="preserve"> is performed mainly on children and adolescents</w:t>
      </w:r>
      <w:r w:rsidR="00B65585" w:rsidRPr="008B7562">
        <w:rPr>
          <w:rFonts w:eastAsia="Calibri"/>
          <w:color w:val="000000"/>
        </w:rPr>
        <w:t xml:space="preserve"> between the ages of infancy</w:t>
      </w:r>
      <w:r w:rsidR="00B65585" w:rsidRPr="008905BF">
        <w:rPr>
          <w:rFonts w:eastAsia="Calibri"/>
          <w:color w:val="000000"/>
        </w:rPr>
        <w:t xml:space="preserve"> and 15</w:t>
      </w:r>
      <w:r w:rsidR="00C87783" w:rsidRPr="008905BF">
        <w:rPr>
          <w:rFonts w:eastAsia="Calibri"/>
          <w:color w:val="000000"/>
        </w:rPr>
        <w:t xml:space="preserve"> and</w:t>
      </w:r>
      <w:r w:rsidR="00B65585" w:rsidRPr="00F86C68">
        <w:rPr>
          <w:rFonts w:eastAsia="Calibri"/>
          <w:color w:val="000000"/>
        </w:rPr>
        <w:t xml:space="preserve"> without anesthetic.</w:t>
      </w:r>
      <w:r w:rsidR="00B65585" w:rsidRPr="0086297A">
        <w:rPr>
          <w:rStyle w:val="FootnoteReference"/>
          <w:rFonts w:eastAsia="Calibri"/>
          <w:color w:val="000000"/>
        </w:rPr>
        <w:footnoteReference w:id="11"/>
      </w:r>
      <w:r w:rsidR="00B65585" w:rsidRPr="0086297A">
        <w:rPr>
          <w:rFonts w:eastAsia="Calibri"/>
          <w:color w:val="000000"/>
        </w:rPr>
        <w:t xml:space="preserve"> It</w:t>
      </w:r>
      <w:r w:rsidR="00C87783" w:rsidRPr="00C13717">
        <w:rPr>
          <w:rFonts w:eastAsia="Calibri"/>
          <w:color w:val="000000"/>
        </w:rPr>
        <w:t xml:space="preserve"> is therefore </w:t>
      </w:r>
      <w:r w:rsidR="000A4852" w:rsidRPr="009B4BC6">
        <w:rPr>
          <w:rFonts w:eastAsia="Calibri"/>
          <w:color w:val="000000"/>
        </w:rPr>
        <w:t xml:space="preserve">also </w:t>
      </w:r>
      <w:r w:rsidR="00C87783" w:rsidRPr="009B4BC6">
        <w:rPr>
          <w:rFonts w:eastAsia="Calibri"/>
          <w:color w:val="000000"/>
        </w:rPr>
        <w:t xml:space="preserve">frequently </w:t>
      </w:r>
      <w:r w:rsidR="000A4852" w:rsidRPr="002A5D5C">
        <w:rPr>
          <w:rFonts w:eastAsia="Calibri"/>
          <w:color w:val="000000"/>
        </w:rPr>
        <w:t>performed</w:t>
      </w:r>
      <w:r w:rsidR="00404024" w:rsidRPr="00E91CA4">
        <w:rPr>
          <w:rFonts w:eastAsia="Calibri"/>
          <w:color w:val="000000"/>
        </w:rPr>
        <w:t xml:space="preserve"> without full</w:t>
      </w:r>
      <w:r w:rsidR="000A4852" w:rsidRPr="00E91CA4">
        <w:rPr>
          <w:rFonts w:eastAsia="Calibri"/>
          <w:color w:val="000000"/>
        </w:rPr>
        <w:t>,</w:t>
      </w:r>
      <w:r w:rsidR="00404024" w:rsidRPr="008B7562">
        <w:rPr>
          <w:rFonts w:eastAsia="Calibri"/>
          <w:color w:val="000000"/>
        </w:rPr>
        <w:t xml:space="preserve"> informed consent</w:t>
      </w:r>
      <w:r w:rsidR="001127CE" w:rsidRPr="008905BF">
        <w:rPr>
          <w:rFonts w:eastAsia="Calibri"/>
          <w:color w:val="000000"/>
        </w:rPr>
        <w:t>,</w:t>
      </w:r>
      <w:r w:rsidR="00404024" w:rsidRPr="008905BF">
        <w:rPr>
          <w:rFonts w:eastAsia="Calibri"/>
          <w:color w:val="000000"/>
        </w:rPr>
        <w:t xml:space="preserve"> with or without coercion.</w:t>
      </w:r>
      <w:r w:rsidR="007C0D46" w:rsidRPr="0086297A">
        <w:rPr>
          <w:rStyle w:val="FootnoteReference"/>
          <w:rFonts w:eastAsia="Calibri"/>
          <w:color w:val="000000"/>
        </w:rPr>
        <w:footnoteReference w:id="12"/>
      </w:r>
      <w:r w:rsidR="001127CE" w:rsidRPr="0086297A">
        <w:rPr>
          <w:rFonts w:eastAsia="Calibri"/>
          <w:color w:val="000000"/>
        </w:rPr>
        <w:t xml:space="preserve"> </w:t>
      </w:r>
      <w:r w:rsidR="00965EB3" w:rsidRPr="00C13717">
        <w:rPr>
          <w:rFonts w:eastAsia="Calibri"/>
          <w:color w:val="000000"/>
        </w:rPr>
        <w:t>A</w:t>
      </w:r>
      <w:r w:rsidR="00965EB3" w:rsidRPr="009B4BC6">
        <w:rPr>
          <w:rFonts w:eastAsia="Calibri"/>
          <w:color w:val="000000"/>
        </w:rPr>
        <w:t>ccordingly</w:t>
      </w:r>
      <w:r w:rsidR="001127CE" w:rsidRPr="009B4BC6">
        <w:rPr>
          <w:rFonts w:eastAsia="Calibri"/>
          <w:color w:val="000000"/>
        </w:rPr>
        <w:t xml:space="preserve">, FGC has been widely recognized as a violation of </w:t>
      </w:r>
      <w:r w:rsidR="000A4852" w:rsidRPr="009B4BC6">
        <w:rPr>
          <w:rFonts w:eastAsia="Calibri"/>
          <w:color w:val="000000"/>
        </w:rPr>
        <w:t xml:space="preserve">basic </w:t>
      </w:r>
      <w:r w:rsidR="001127CE" w:rsidRPr="009203F1">
        <w:rPr>
          <w:rFonts w:eastAsia="Calibri"/>
          <w:color w:val="000000"/>
        </w:rPr>
        <w:t>human rights</w:t>
      </w:r>
      <w:r w:rsidR="00BB2D32" w:rsidRPr="002A5D5C">
        <w:rPr>
          <w:rFonts w:eastAsia="Calibri"/>
          <w:color w:val="000000"/>
        </w:rPr>
        <w:t xml:space="preserve">, </w:t>
      </w:r>
      <w:r w:rsidR="00BB2D32" w:rsidRPr="00E91CA4">
        <w:rPr>
          <w:rFonts w:eastAsia="Calibri"/>
          <w:color w:val="000000"/>
        </w:rPr>
        <w:t>including the principles of equality and non-discrimination on the b</w:t>
      </w:r>
      <w:r w:rsidR="00831513" w:rsidRPr="00E91CA4">
        <w:rPr>
          <w:rFonts w:eastAsia="Calibri"/>
          <w:color w:val="000000"/>
        </w:rPr>
        <w:t xml:space="preserve">asis of sex, the right to life </w:t>
      </w:r>
      <w:r w:rsidR="00BB2D32" w:rsidRPr="008B7562">
        <w:rPr>
          <w:rFonts w:eastAsia="Calibri"/>
          <w:color w:val="000000"/>
        </w:rPr>
        <w:t xml:space="preserve">when the procedure results in death, </w:t>
      </w:r>
      <w:r w:rsidR="00831513" w:rsidRPr="008905BF">
        <w:rPr>
          <w:rFonts w:eastAsia="Calibri"/>
          <w:color w:val="000000"/>
        </w:rPr>
        <w:t xml:space="preserve">and </w:t>
      </w:r>
      <w:r w:rsidR="00BB2D32" w:rsidRPr="008905BF">
        <w:rPr>
          <w:rFonts w:eastAsia="Calibri"/>
          <w:color w:val="000000"/>
        </w:rPr>
        <w:t xml:space="preserve">the right to freedom from torture </w:t>
      </w:r>
      <w:r w:rsidR="00831513" w:rsidRPr="00F86C68">
        <w:rPr>
          <w:rFonts w:eastAsia="Calibri"/>
          <w:color w:val="000000"/>
        </w:rPr>
        <w:t>or crue</w:t>
      </w:r>
      <w:r w:rsidR="00831513" w:rsidRPr="003A65D8">
        <w:rPr>
          <w:rFonts w:eastAsia="Calibri"/>
          <w:color w:val="000000"/>
        </w:rPr>
        <w:t>l, inhuman</w:t>
      </w:r>
      <w:r w:rsidR="00BB2D32" w:rsidRPr="003A65D8">
        <w:rPr>
          <w:rFonts w:eastAsia="Calibri"/>
          <w:color w:val="000000"/>
        </w:rPr>
        <w:t xml:space="preserve"> or degrading treatment or punishme</w:t>
      </w:r>
      <w:r w:rsidR="00BB2D32" w:rsidRPr="00FA03C1">
        <w:rPr>
          <w:rFonts w:eastAsia="Calibri"/>
          <w:color w:val="000000"/>
        </w:rPr>
        <w:t xml:space="preserve">nt, </w:t>
      </w:r>
      <w:r w:rsidR="00831513" w:rsidRPr="00FA03C1">
        <w:rPr>
          <w:rFonts w:eastAsia="Calibri"/>
          <w:color w:val="000000"/>
        </w:rPr>
        <w:t>as well as</w:t>
      </w:r>
      <w:r w:rsidR="00BB2D32" w:rsidRPr="00BF3412">
        <w:rPr>
          <w:rFonts w:eastAsia="Calibri"/>
          <w:color w:val="000000"/>
        </w:rPr>
        <w:t xml:space="preserve"> the rig</w:t>
      </w:r>
      <w:r w:rsidR="00BB2D32" w:rsidRPr="00A45999">
        <w:rPr>
          <w:rFonts w:eastAsia="Calibri"/>
          <w:color w:val="000000"/>
        </w:rPr>
        <w:t>hts of the child</w:t>
      </w:r>
      <w:r w:rsidR="00C87783" w:rsidRPr="00F549F2">
        <w:rPr>
          <w:rFonts w:eastAsia="Calibri"/>
          <w:color w:val="000000"/>
        </w:rPr>
        <w:t>.</w:t>
      </w:r>
      <w:r w:rsidR="00C87783" w:rsidRPr="0086297A">
        <w:rPr>
          <w:rStyle w:val="FootnoteReference"/>
          <w:rFonts w:eastAsia="Calibri"/>
          <w:color w:val="000000"/>
        </w:rPr>
        <w:footnoteReference w:id="13"/>
      </w:r>
      <w:r w:rsidR="00C87783" w:rsidRPr="0086297A">
        <w:rPr>
          <w:rFonts w:eastAsia="Calibri"/>
          <w:color w:val="000000"/>
        </w:rPr>
        <w:t xml:space="preserve"> </w:t>
      </w:r>
    </w:p>
    <w:p w:rsidR="00B656DF" w:rsidRDefault="00E00530" w:rsidP="00443DF3">
      <w:pPr>
        <w:spacing w:line="480" w:lineRule="auto"/>
        <w:jc w:val="both"/>
        <w:outlineLvl w:val="0"/>
        <w:rPr>
          <w:rFonts w:eastAsia="Calibri"/>
          <w:color w:val="000000"/>
        </w:rPr>
      </w:pPr>
      <w:r w:rsidRPr="0086297A">
        <w:rPr>
          <w:rFonts w:eastAsia="Calibri"/>
          <w:color w:val="000000"/>
        </w:rPr>
        <w:tab/>
      </w:r>
      <w:r w:rsidR="008D4C37" w:rsidRPr="0086297A">
        <w:rPr>
          <w:rFonts w:eastAsia="Calibri"/>
          <w:color w:val="000000"/>
        </w:rPr>
        <w:t>It is estimated that over 200 million women</w:t>
      </w:r>
      <w:r w:rsidR="00416536">
        <w:rPr>
          <w:rFonts w:eastAsia="Calibri"/>
          <w:color w:val="000000"/>
        </w:rPr>
        <w:t xml:space="preserve"> and girls</w:t>
      </w:r>
      <w:r w:rsidR="008D4C37" w:rsidRPr="0086297A">
        <w:rPr>
          <w:rFonts w:eastAsia="Calibri"/>
          <w:color w:val="000000"/>
        </w:rPr>
        <w:t xml:space="preserve"> worldwide </w:t>
      </w:r>
      <w:r w:rsidR="00BC35B2">
        <w:rPr>
          <w:rFonts w:eastAsia="Calibri"/>
          <w:color w:val="000000"/>
        </w:rPr>
        <w:t>who have experienced</w:t>
      </w:r>
      <w:r w:rsidR="00B013FB" w:rsidRPr="0086297A">
        <w:rPr>
          <w:rFonts w:eastAsia="Calibri"/>
          <w:color w:val="000000"/>
        </w:rPr>
        <w:t xml:space="preserve"> FGC</w:t>
      </w:r>
      <w:r w:rsidR="008D4C37" w:rsidRPr="0086297A">
        <w:rPr>
          <w:rFonts w:eastAsia="Calibri"/>
          <w:color w:val="000000"/>
        </w:rPr>
        <w:t>.</w:t>
      </w:r>
      <w:r w:rsidR="008D4C37" w:rsidRPr="0086297A">
        <w:rPr>
          <w:rStyle w:val="FootnoteReference"/>
          <w:rFonts w:eastAsia="Calibri"/>
          <w:color w:val="000000"/>
        </w:rPr>
        <w:footnoteReference w:id="14"/>
      </w:r>
      <w:r w:rsidR="00B013FB" w:rsidRPr="0086297A">
        <w:rPr>
          <w:rFonts w:eastAsia="Calibri"/>
          <w:color w:val="000000"/>
        </w:rPr>
        <w:t xml:space="preserve"> </w:t>
      </w:r>
      <w:r w:rsidR="00443DF3" w:rsidRPr="0086297A">
        <w:rPr>
          <w:rFonts w:eastAsia="Calibri"/>
          <w:color w:val="000000"/>
        </w:rPr>
        <w:t>According to the United Nations Population Fund (UNFPA), if the current rate continues, a further 68 million girls could be subjected to FGC by 2030.</w:t>
      </w:r>
      <w:r w:rsidR="00443DF3" w:rsidRPr="0086297A">
        <w:rPr>
          <w:rFonts w:eastAsia="Calibri"/>
          <w:color w:val="000000"/>
          <w:vertAlign w:val="superscript"/>
        </w:rPr>
        <w:footnoteReference w:id="15"/>
      </w:r>
      <w:r w:rsidR="00443DF3" w:rsidRPr="0086297A">
        <w:rPr>
          <w:rFonts w:eastAsia="Calibri"/>
          <w:color w:val="000000"/>
        </w:rPr>
        <w:t xml:space="preserve"> </w:t>
      </w:r>
      <w:r w:rsidR="000A4852" w:rsidRPr="0086297A">
        <w:rPr>
          <w:rFonts w:eastAsia="Calibri"/>
          <w:color w:val="000000"/>
        </w:rPr>
        <w:t>Additionally, a rise in international migration has increased the number of women</w:t>
      </w:r>
      <w:r w:rsidR="00416536">
        <w:rPr>
          <w:rFonts w:eastAsia="Calibri"/>
          <w:color w:val="000000"/>
        </w:rPr>
        <w:t xml:space="preserve"> and girls</w:t>
      </w:r>
      <w:r w:rsidR="00C91D13" w:rsidRPr="003F6552">
        <w:rPr>
          <w:rFonts w:eastAsia="Calibri"/>
          <w:color w:val="000000"/>
        </w:rPr>
        <w:t xml:space="preserve"> who have undergone or are at at-risk of undergoing the practice in</w:t>
      </w:r>
      <w:r w:rsidR="000A4852" w:rsidRPr="003F6552">
        <w:rPr>
          <w:rFonts w:eastAsia="Calibri"/>
          <w:color w:val="000000"/>
        </w:rPr>
        <w:t xml:space="preserve"> Australia, Canada, Europe, and the </w:t>
      </w:r>
      <w:r w:rsidR="001138AF" w:rsidRPr="003F6552">
        <w:rPr>
          <w:rFonts w:eastAsia="Calibri"/>
          <w:color w:val="000000"/>
        </w:rPr>
        <w:t>United States (</w:t>
      </w:r>
      <w:r w:rsidR="000A4852" w:rsidRPr="003F6552">
        <w:rPr>
          <w:rFonts w:eastAsia="Calibri"/>
          <w:color w:val="000000"/>
        </w:rPr>
        <w:t>U.S.</w:t>
      </w:r>
      <w:r w:rsidR="001138AF" w:rsidRPr="003F6552">
        <w:rPr>
          <w:rFonts w:eastAsia="Calibri"/>
          <w:color w:val="000000"/>
        </w:rPr>
        <w:t>)</w:t>
      </w:r>
      <w:r w:rsidR="000A4852" w:rsidRPr="00C13717">
        <w:rPr>
          <w:rFonts w:eastAsia="Calibri"/>
          <w:color w:val="000000"/>
        </w:rPr>
        <w:t>.</w:t>
      </w:r>
      <w:r w:rsidR="000A4852" w:rsidRPr="0086297A">
        <w:rPr>
          <w:rStyle w:val="FootnoteReference"/>
          <w:rFonts w:eastAsia="Calibri"/>
          <w:color w:val="000000"/>
        </w:rPr>
        <w:footnoteReference w:id="16"/>
      </w:r>
      <w:r w:rsidR="000A4852" w:rsidRPr="0086297A">
        <w:rPr>
          <w:rFonts w:eastAsia="Calibri"/>
          <w:color w:val="000000"/>
        </w:rPr>
        <w:t xml:space="preserve"> </w:t>
      </w:r>
      <w:r w:rsidR="00443DF3" w:rsidRPr="0086297A">
        <w:rPr>
          <w:rFonts w:eastAsia="Calibri"/>
          <w:color w:val="000000"/>
        </w:rPr>
        <w:t>In the U.S.</w:t>
      </w:r>
      <w:r w:rsidR="000A4852" w:rsidRPr="00F26001">
        <w:rPr>
          <w:rFonts w:eastAsia="Calibri"/>
          <w:color w:val="000000"/>
        </w:rPr>
        <w:t xml:space="preserve"> alone</w:t>
      </w:r>
      <w:r w:rsidR="00443DF3" w:rsidRPr="0086297A">
        <w:rPr>
          <w:rFonts w:eastAsia="Calibri"/>
          <w:color w:val="000000"/>
        </w:rPr>
        <w:t>, t</w:t>
      </w:r>
      <w:r w:rsidR="00C20538" w:rsidRPr="0086297A">
        <w:rPr>
          <w:rFonts w:eastAsia="Calibri"/>
          <w:color w:val="000000"/>
        </w:rPr>
        <w:t>he Centers for Disease Control</w:t>
      </w:r>
      <w:r w:rsidR="00443DF3" w:rsidRPr="0086297A">
        <w:rPr>
          <w:rFonts w:eastAsia="Calibri"/>
          <w:color w:val="000000"/>
        </w:rPr>
        <w:t xml:space="preserve"> (CDC)</w:t>
      </w:r>
      <w:r w:rsidR="00C20538" w:rsidRPr="0086297A">
        <w:rPr>
          <w:rFonts w:eastAsia="Calibri"/>
          <w:color w:val="000000"/>
        </w:rPr>
        <w:t xml:space="preserve"> estimate</w:t>
      </w:r>
      <w:r w:rsidR="009B359B" w:rsidRPr="00F26001">
        <w:rPr>
          <w:rFonts w:eastAsia="Calibri"/>
          <w:color w:val="000000"/>
        </w:rPr>
        <w:t>s</w:t>
      </w:r>
      <w:r w:rsidR="00C20538" w:rsidRPr="0086297A">
        <w:rPr>
          <w:rFonts w:eastAsia="Calibri"/>
          <w:color w:val="000000"/>
        </w:rPr>
        <w:t xml:space="preserve"> that</w:t>
      </w:r>
      <w:r w:rsidR="00AB4BE4" w:rsidRPr="0086297A">
        <w:rPr>
          <w:rFonts w:eastAsia="Calibri"/>
          <w:color w:val="000000"/>
        </w:rPr>
        <w:t xml:space="preserve"> </w:t>
      </w:r>
      <w:r w:rsidR="00443DF3" w:rsidRPr="0086297A">
        <w:rPr>
          <w:rFonts w:eastAsia="Calibri"/>
          <w:color w:val="000000"/>
        </w:rPr>
        <w:t xml:space="preserve">in 2012, </w:t>
      </w:r>
      <w:r w:rsidR="00AB4BE4" w:rsidRPr="0086297A">
        <w:rPr>
          <w:rFonts w:eastAsia="Calibri"/>
          <w:color w:val="000000"/>
        </w:rPr>
        <w:t>approximately 513,000 women</w:t>
      </w:r>
      <w:r w:rsidR="00416536">
        <w:rPr>
          <w:rFonts w:eastAsia="Calibri"/>
          <w:color w:val="000000"/>
        </w:rPr>
        <w:t xml:space="preserve"> and girls</w:t>
      </w:r>
      <w:r w:rsidR="00443DF3" w:rsidRPr="0086297A">
        <w:rPr>
          <w:rFonts w:eastAsia="Calibri"/>
          <w:color w:val="000000"/>
        </w:rPr>
        <w:t>, of whom 33 p</w:t>
      </w:r>
      <w:r w:rsidR="00443DF3" w:rsidRPr="003F6552">
        <w:rPr>
          <w:rFonts w:eastAsia="Calibri"/>
          <w:color w:val="000000"/>
        </w:rPr>
        <w:t>ercent were younger than 18 years of age,</w:t>
      </w:r>
      <w:r w:rsidR="00AB4BE4" w:rsidRPr="003F6552">
        <w:rPr>
          <w:rFonts w:eastAsia="Calibri"/>
          <w:color w:val="000000"/>
        </w:rPr>
        <w:t xml:space="preserve"> were </w:t>
      </w:r>
      <w:r w:rsidR="00443DF3" w:rsidRPr="003F6552">
        <w:rPr>
          <w:rFonts w:eastAsia="Calibri"/>
          <w:color w:val="000000"/>
        </w:rPr>
        <w:t xml:space="preserve">either victims of FGC or </w:t>
      </w:r>
      <w:r w:rsidR="00AB4BE4" w:rsidRPr="003F6552">
        <w:rPr>
          <w:rFonts w:eastAsia="Calibri"/>
          <w:color w:val="000000"/>
        </w:rPr>
        <w:t xml:space="preserve">at risk </w:t>
      </w:r>
      <w:r w:rsidR="00443DF3" w:rsidRPr="003F6552">
        <w:rPr>
          <w:rFonts w:eastAsia="Calibri"/>
          <w:color w:val="000000"/>
        </w:rPr>
        <w:t>of</w:t>
      </w:r>
      <w:r w:rsidR="00AB4BE4" w:rsidRPr="00C13717">
        <w:rPr>
          <w:rFonts w:eastAsia="Calibri"/>
          <w:color w:val="000000"/>
        </w:rPr>
        <w:t xml:space="preserve"> </w:t>
      </w:r>
      <w:r w:rsidR="00443DF3" w:rsidRPr="00C13717">
        <w:rPr>
          <w:rFonts w:eastAsia="Calibri"/>
          <w:color w:val="000000"/>
        </w:rPr>
        <w:t>being subjected to it</w:t>
      </w:r>
      <w:r w:rsidR="00AB4BE4" w:rsidRPr="0029285E">
        <w:rPr>
          <w:rFonts w:eastAsia="Calibri"/>
          <w:color w:val="000000"/>
        </w:rPr>
        <w:t>.</w:t>
      </w:r>
      <w:r w:rsidR="00AB4BE4" w:rsidRPr="0086297A">
        <w:rPr>
          <w:rStyle w:val="FootnoteReference"/>
          <w:rFonts w:eastAsia="Calibri"/>
          <w:color w:val="000000"/>
        </w:rPr>
        <w:footnoteReference w:id="17"/>
      </w:r>
      <w:r w:rsidR="00443DF3" w:rsidRPr="0086297A">
        <w:rPr>
          <w:rFonts w:eastAsia="Calibri"/>
          <w:color w:val="000000"/>
        </w:rPr>
        <w:t xml:space="preserve"> Moreover, e</w:t>
      </w:r>
      <w:r w:rsidR="00B656DF" w:rsidRPr="0086297A">
        <w:rPr>
          <w:rFonts w:eastAsia="Calibri"/>
          <w:color w:val="000000"/>
        </w:rPr>
        <w:t>xperts believe the practice has slowly been picki</w:t>
      </w:r>
      <w:r w:rsidR="0013313A" w:rsidRPr="0086297A">
        <w:rPr>
          <w:rFonts w:eastAsia="Calibri"/>
          <w:color w:val="000000"/>
        </w:rPr>
        <w:t xml:space="preserve">ng up </w:t>
      </w:r>
      <w:r w:rsidR="0013313A" w:rsidRPr="003F6552">
        <w:rPr>
          <w:rFonts w:eastAsia="Calibri"/>
          <w:color w:val="000000"/>
        </w:rPr>
        <w:t>speed across the country; based on available data, i</w:t>
      </w:r>
      <w:r w:rsidR="00B656DF" w:rsidRPr="003F6552">
        <w:rPr>
          <w:rFonts w:eastAsia="Calibri"/>
          <w:color w:val="000000"/>
        </w:rPr>
        <w:t>t is estimated that FG</w:t>
      </w:r>
      <w:r w:rsidR="00B76B83" w:rsidRPr="003F6552">
        <w:rPr>
          <w:rFonts w:eastAsia="Calibri"/>
          <w:color w:val="000000"/>
        </w:rPr>
        <w:t xml:space="preserve">C cases have tripled </w:t>
      </w:r>
      <w:r w:rsidR="0013313A" w:rsidRPr="003F6552">
        <w:rPr>
          <w:rFonts w:eastAsia="Calibri"/>
          <w:color w:val="000000"/>
        </w:rPr>
        <w:t xml:space="preserve">since </w:t>
      </w:r>
      <w:r w:rsidR="00B76B83" w:rsidRPr="003F6552">
        <w:rPr>
          <w:rFonts w:eastAsia="Calibri"/>
          <w:color w:val="000000"/>
        </w:rPr>
        <w:t>1990</w:t>
      </w:r>
      <w:r w:rsidR="0013313A" w:rsidRPr="003F6552">
        <w:rPr>
          <w:rFonts w:eastAsia="Calibri"/>
          <w:color w:val="000000"/>
        </w:rPr>
        <w:t>.</w:t>
      </w:r>
      <w:r w:rsidR="00B656DF" w:rsidRPr="0086297A">
        <w:rPr>
          <w:rStyle w:val="FootnoteReference"/>
          <w:rFonts w:eastAsia="Calibri"/>
          <w:color w:val="000000"/>
        </w:rPr>
        <w:footnoteReference w:id="18"/>
      </w:r>
      <w:r w:rsidR="00B656DF">
        <w:rPr>
          <w:rFonts w:eastAsia="Calibri"/>
          <w:color w:val="000000"/>
        </w:rPr>
        <w:t xml:space="preserve"> </w:t>
      </w:r>
    </w:p>
    <w:p w:rsidR="001138AF" w:rsidRPr="00EF6216" w:rsidRDefault="006C06EE" w:rsidP="004C27E8">
      <w:pPr>
        <w:spacing w:line="480" w:lineRule="auto"/>
        <w:ind w:firstLine="720"/>
        <w:jc w:val="both"/>
        <w:outlineLvl w:val="0"/>
        <w:rPr>
          <w:rFonts w:eastAsia="Calibri"/>
        </w:rPr>
      </w:pPr>
      <w:r>
        <w:rPr>
          <w:rFonts w:eastAsia="Calibri"/>
          <w:color w:val="000000"/>
        </w:rPr>
        <w:t>In the U.S., the r</w:t>
      </w:r>
      <w:r w:rsidR="000F7D65">
        <w:rPr>
          <w:rFonts w:eastAsia="Calibri"/>
          <w:color w:val="000000"/>
        </w:rPr>
        <w:t>isk for FGC</w:t>
      </w:r>
      <w:r w:rsidRPr="006C06EE">
        <w:rPr>
          <w:rFonts w:eastAsia="Calibri"/>
          <w:color w:val="000000"/>
        </w:rPr>
        <w:t xml:space="preserve"> is especially high in areas with substan</w:t>
      </w:r>
      <w:r>
        <w:rPr>
          <w:rFonts w:eastAsia="Calibri"/>
          <w:color w:val="000000"/>
        </w:rPr>
        <w:t xml:space="preserve">tial ties to countries where FGC is legal </w:t>
      </w:r>
      <w:r w:rsidRPr="006C06EE">
        <w:rPr>
          <w:rFonts w:eastAsia="Calibri"/>
          <w:color w:val="000000"/>
        </w:rPr>
        <w:t>or frequently practiced</w:t>
      </w:r>
      <w:r w:rsidR="0086297A">
        <w:rPr>
          <w:rFonts w:eastAsia="Calibri"/>
          <w:color w:val="000000"/>
        </w:rPr>
        <w:t>.</w:t>
      </w:r>
      <w:r>
        <w:rPr>
          <w:rStyle w:val="FootnoteReference"/>
          <w:rFonts w:eastAsia="Calibri"/>
          <w:color w:val="000000"/>
        </w:rPr>
        <w:footnoteReference w:id="19"/>
      </w:r>
      <w:r w:rsidR="009B359B">
        <w:rPr>
          <w:rFonts w:eastAsia="Calibri"/>
          <w:color w:val="000000"/>
        </w:rPr>
        <w:t xml:space="preserve"> </w:t>
      </w:r>
      <w:r w:rsidR="00851B6C">
        <w:rPr>
          <w:rFonts w:eastAsia="Calibri"/>
          <w:color w:val="000000"/>
        </w:rPr>
        <w:t xml:space="preserve">The state of </w:t>
      </w:r>
      <w:r>
        <w:rPr>
          <w:rFonts w:eastAsia="Calibri"/>
          <w:color w:val="000000"/>
        </w:rPr>
        <w:t>New York is considered a “hotbed” for the practice.</w:t>
      </w:r>
      <w:r>
        <w:rPr>
          <w:rStyle w:val="FootnoteReference"/>
          <w:rFonts w:eastAsia="Calibri"/>
          <w:color w:val="000000"/>
        </w:rPr>
        <w:footnoteReference w:id="20"/>
      </w:r>
      <w:r>
        <w:rPr>
          <w:rFonts w:eastAsia="Calibri"/>
          <w:color w:val="000000"/>
        </w:rPr>
        <w:t xml:space="preserve"> </w:t>
      </w:r>
      <w:r w:rsidR="0086297A">
        <w:rPr>
          <w:rFonts w:eastAsia="Calibri"/>
          <w:color w:val="000000"/>
        </w:rPr>
        <w:t>According to the</w:t>
      </w:r>
      <w:r w:rsidR="0054246A">
        <w:rPr>
          <w:rFonts w:eastAsia="Calibri"/>
          <w:color w:val="000000"/>
        </w:rPr>
        <w:t xml:space="preserve"> Population Reference Bureau (PRB)</w:t>
      </w:r>
      <w:r w:rsidR="00C61C0E">
        <w:rPr>
          <w:rFonts w:eastAsia="Calibri"/>
          <w:color w:val="000000"/>
        </w:rPr>
        <w:t>, a nonprofit organization specializing in statistical collection and supply,</w:t>
      </w:r>
      <w:r w:rsidR="0054246A">
        <w:rPr>
          <w:rFonts w:eastAsia="Calibri"/>
          <w:color w:val="000000"/>
        </w:rPr>
        <w:t xml:space="preserve"> </w:t>
      </w:r>
      <w:r w:rsidR="00023DF1">
        <w:rPr>
          <w:rFonts w:eastAsia="Calibri"/>
          <w:color w:val="000000"/>
        </w:rPr>
        <w:t xml:space="preserve">approximately </w:t>
      </w:r>
      <w:r w:rsidR="000F7D65">
        <w:rPr>
          <w:rFonts w:eastAsia="Calibri"/>
          <w:color w:val="000000"/>
        </w:rPr>
        <w:t xml:space="preserve">10 percent of the at-risk women and girls in the U.S. (or </w:t>
      </w:r>
      <w:r w:rsidR="00023DF1">
        <w:rPr>
          <w:rFonts w:eastAsia="Calibri"/>
          <w:color w:val="000000"/>
        </w:rPr>
        <w:t>48,000</w:t>
      </w:r>
      <w:r w:rsidR="000F7D65">
        <w:rPr>
          <w:rFonts w:eastAsia="Calibri"/>
          <w:color w:val="000000"/>
        </w:rPr>
        <w:t>) live in New York</w:t>
      </w:r>
      <w:r w:rsidR="00023DF1">
        <w:rPr>
          <w:rFonts w:eastAsia="Calibri"/>
          <w:color w:val="000000"/>
        </w:rPr>
        <w:t xml:space="preserve">, </w:t>
      </w:r>
      <w:r w:rsidR="000F7D65">
        <w:rPr>
          <w:rFonts w:eastAsia="Calibri"/>
          <w:color w:val="000000"/>
        </w:rPr>
        <w:t xml:space="preserve">which </w:t>
      </w:r>
      <w:r w:rsidR="0054246A">
        <w:rPr>
          <w:rFonts w:eastAsia="Calibri"/>
          <w:color w:val="000000"/>
        </w:rPr>
        <w:t xml:space="preserve">is second </w:t>
      </w:r>
      <w:r w:rsidR="000F7D65">
        <w:rPr>
          <w:rFonts w:eastAsia="Calibri"/>
          <w:color w:val="000000"/>
        </w:rPr>
        <w:t xml:space="preserve">only </w:t>
      </w:r>
      <w:r w:rsidR="0054246A">
        <w:rPr>
          <w:rFonts w:eastAsia="Calibri"/>
          <w:color w:val="000000"/>
        </w:rPr>
        <w:t>to California.</w:t>
      </w:r>
      <w:r w:rsidR="0054246A">
        <w:rPr>
          <w:rStyle w:val="FootnoteReference"/>
          <w:rFonts w:eastAsia="Calibri"/>
          <w:color w:val="000000"/>
        </w:rPr>
        <w:footnoteReference w:id="21"/>
      </w:r>
      <w:r w:rsidR="00C61C0E">
        <w:rPr>
          <w:rFonts w:eastAsia="Calibri"/>
          <w:color w:val="000000"/>
        </w:rPr>
        <w:t xml:space="preserve"> </w:t>
      </w:r>
      <w:r w:rsidR="009B359B" w:rsidRPr="00EF6216">
        <w:rPr>
          <w:rFonts w:eastAsia="Calibri"/>
        </w:rPr>
        <w:t>Additionally</w:t>
      </w:r>
      <w:r w:rsidR="00C61C0E" w:rsidRPr="00EF6216">
        <w:rPr>
          <w:rFonts w:eastAsia="Calibri"/>
        </w:rPr>
        <w:t xml:space="preserve">, the majority of </w:t>
      </w:r>
      <w:r w:rsidR="00416536" w:rsidRPr="0086297A">
        <w:rPr>
          <w:rFonts w:eastAsia="Calibri"/>
          <w:color w:val="000000"/>
        </w:rPr>
        <w:t>women</w:t>
      </w:r>
      <w:r w:rsidR="00416536">
        <w:rPr>
          <w:rFonts w:eastAsia="Calibri"/>
          <w:color w:val="000000"/>
        </w:rPr>
        <w:t xml:space="preserve"> and girls</w:t>
      </w:r>
      <w:r w:rsidR="00416536" w:rsidRPr="00EF6216">
        <w:rPr>
          <w:rFonts w:eastAsia="Calibri"/>
        </w:rPr>
        <w:t xml:space="preserve"> </w:t>
      </w:r>
      <w:r w:rsidR="00C61C0E" w:rsidRPr="00EF6216">
        <w:rPr>
          <w:rFonts w:eastAsia="Calibri"/>
        </w:rPr>
        <w:t>at risk of FGC</w:t>
      </w:r>
      <w:r w:rsidR="0086297A" w:rsidRPr="00EF6216">
        <w:rPr>
          <w:rFonts w:eastAsia="Calibri"/>
        </w:rPr>
        <w:t xml:space="preserve"> in this country</w:t>
      </w:r>
      <w:r w:rsidR="00C61C0E" w:rsidRPr="00EF6216">
        <w:rPr>
          <w:rFonts w:eastAsia="Calibri"/>
        </w:rPr>
        <w:t xml:space="preserve"> reside in cities or suburbs of large metropolitan areas, and the New York-Newark-Jersey City Metro Area ranks first among all metropolitan areas in the country, with an estimated 65,893 </w:t>
      </w:r>
      <w:r w:rsidR="00416536" w:rsidRPr="0086297A">
        <w:rPr>
          <w:rFonts w:eastAsia="Calibri"/>
          <w:color w:val="000000"/>
        </w:rPr>
        <w:t>women</w:t>
      </w:r>
      <w:r w:rsidR="00416536">
        <w:rPr>
          <w:rFonts w:eastAsia="Calibri"/>
          <w:color w:val="000000"/>
        </w:rPr>
        <w:t xml:space="preserve"> and girls</w:t>
      </w:r>
      <w:r w:rsidR="00416536" w:rsidRPr="00EF6216">
        <w:rPr>
          <w:rFonts w:eastAsia="Calibri"/>
        </w:rPr>
        <w:t xml:space="preserve"> </w:t>
      </w:r>
      <w:r w:rsidR="00C61C0E" w:rsidRPr="00EF6216">
        <w:rPr>
          <w:rFonts w:eastAsia="Calibri"/>
        </w:rPr>
        <w:t>at risk of FGC.</w:t>
      </w:r>
      <w:r w:rsidR="00C61C0E" w:rsidRPr="00EF6216">
        <w:rPr>
          <w:rStyle w:val="FootnoteReference"/>
          <w:rFonts w:eastAsia="Calibri"/>
        </w:rPr>
        <w:footnoteReference w:id="22"/>
      </w:r>
    </w:p>
    <w:p w:rsidR="00FA03C1" w:rsidRPr="00BC35B2" w:rsidRDefault="0086297A" w:rsidP="00BC35B2">
      <w:pPr>
        <w:spacing w:line="480" w:lineRule="auto"/>
        <w:ind w:firstLine="720"/>
        <w:jc w:val="both"/>
      </w:pPr>
      <w:r w:rsidRPr="00EF6216">
        <w:rPr>
          <w:shd w:val="clear" w:color="auto" w:fill="FFFFFF"/>
        </w:rPr>
        <w:t>From a legislative perspective, while m</w:t>
      </w:r>
      <w:r w:rsidR="000F7D65" w:rsidRPr="00EF6216">
        <w:rPr>
          <w:shd w:val="clear" w:color="auto" w:fill="FFFFFF"/>
        </w:rPr>
        <w:t>any governments in Africa and elsewhere have taken steps to eliminate the practice of</w:t>
      </w:r>
      <w:r w:rsidR="000F7D65" w:rsidRPr="00EF6216">
        <w:rPr>
          <w:rStyle w:val="apple-converted-space"/>
          <w:shd w:val="clear" w:color="auto" w:fill="FFFFFF"/>
        </w:rPr>
        <w:t> </w:t>
      </w:r>
      <w:r w:rsidR="000F7D65" w:rsidRPr="00EF6216">
        <w:rPr>
          <w:rStyle w:val="Strong"/>
          <w:b w:val="0"/>
        </w:rPr>
        <w:t xml:space="preserve">FGC </w:t>
      </w:r>
      <w:r w:rsidR="000F7D65" w:rsidRPr="00EF6216">
        <w:rPr>
          <w:shd w:val="clear" w:color="auto" w:fill="FFFFFF"/>
        </w:rPr>
        <w:t>in their countries</w:t>
      </w:r>
      <w:r w:rsidRPr="00EF6216">
        <w:rPr>
          <w:shd w:val="clear" w:color="auto" w:fill="FFFFFF"/>
        </w:rPr>
        <w:t>,</w:t>
      </w:r>
      <w:r w:rsidR="000F7D65" w:rsidRPr="00EF6216">
        <w:rPr>
          <w:rStyle w:val="FootnoteReference"/>
          <w:shd w:val="clear" w:color="auto" w:fill="FFFFFF"/>
        </w:rPr>
        <w:footnoteReference w:id="23"/>
      </w:r>
      <w:r w:rsidR="000F7D65" w:rsidRPr="00EF6216">
        <w:rPr>
          <w:shd w:val="clear" w:color="auto" w:fill="FFFFFF"/>
        </w:rPr>
        <w:t xml:space="preserve"> </w:t>
      </w:r>
      <w:r w:rsidRPr="00EF6216">
        <w:rPr>
          <w:rFonts w:eastAsia="Calibri"/>
        </w:rPr>
        <w:t>t</w:t>
      </w:r>
      <w:r w:rsidR="004C27E8" w:rsidRPr="00EF6216">
        <w:rPr>
          <w:rFonts w:eastAsia="Calibri"/>
        </w:rPr>
        <w:t xml:space="preserve">he </w:t>
      </w:r>
      <w:r w:rsidR="00416536">
        <w:rPr>
          <w:rFonts w:eastAsia="Calibri"/>
        </w:rPr>
        <w:t>U.S.</w:t>
      </w:r>
      <w:r w:rsidR="004C27E8" w:rsidRPr="00EF6216">
        <w:rPr>
          <w:rFonts w:eastAsia="Calibri"/>
        </w:rPr>
        <w:t xml:space="preserve"> is an example of</w:t>
      </w:r>
      <w:r w:rsidR="009C0EE8" w:rsidRPr="00EF6216">
        <w:rPr>
          <w:rFonts w:eastAsia="Calibri"/>
        </w:rPr>
        <w:t xml:space="preserve"> a </w:t>
      </w:r>
      <w:r w:rsidR="004C27E8" w:rsidRPr="00EF6216">
        <w:rPr>
          <w:rFonts w:eastAsia="Calibri"/>
        </w:rPr>
        <w:t>countr</w:t>
      </w:r>
      <w:r w:rsidR="009C0EE8" w:rsidRPr="00EF6216">
        <w:rPr>
          <w:rFonts w:eastAsia="Calibri"/>
        </w:rPr>
        <w:t>y</w:t>
      </w:r>
      <w:r w:rsidR="004C27E8" w:rsidRPr="00EF6216">
        <w:rPr>
          <w:rFonts w:eastAsia="Calibri"/>
        </w:rPr>
        <w:t xml:space="preserve"> that </w:t>
      </w:r>
      <w:r w:rsidR="009C0EE8" w:rsidRPr="00EF6216">
        <w:rPr>
          <w:rFonts w:eastAsia="Calibri"/>
        </w:rPr>
        <w:t xml:space="preserve">has </w:t>
      </w:r>
      <w:r w:rsidR="0029285E" w:rsidRPr="00EF6216">
        <w:rPr>
          <w:rFonts w:eastAsia="Calibri"/>
        </w:rPr>
        <w:t xml:space="preserve">outlawed </w:t>
      </w:r>
      <w:r w:rsidR="004C27E8" w:rsidRPr="00EF6216">
        <w:rPr>
          <w:rFonts w:eastAsia="Calibri"/>
        </w:rPr>
        <w:t>the practice of performing or assisting in the FGC procedure</w:t>
      </w:r>
      <w:r w:rsidRPr="00EF6216">
        <w:rPr>
          <w:rFonts w:eastAsia="Calibri"/>
        </w:rPr>
        <w:t xml:space="preserve"> completely.</w:t>
      </w:r>
      <w:r w:rsidR="004C27E8" w:rsidRPr="00EF6216">
        <w:rPr>
          <w:rStyle w:val="FootnoteReference"/>
          <w:rFonts w:eastAsia="Calibri"/>
        </w:rPr>
        <w:footnoteReference w:id="24"/>
      </w:r>
      <w:r w:rsidR="000F7D65" w:rsidRPr="00EF6216">
        <w:rPr>
          <w:shd w:val="clear" w:color="auto" w:fill="FFFFFF"/>
        </w:rPr>
        <w:t xml:space="preserve"> </w:t>
      </w:r>
      <w:r w:rsidRPr="00EF6216">
        <w:rPr>
          <w:shd w:val="clear" w:color="auto" w:fill="FFFFFF"/>
        </w:rPr>
        <w:t>In the U.S.</w:t>
      </w:r>
      <w:r w:rsidR="00304EEF" w:rsidRPr="00EF6216">
        <w:rPr>
          <w:shd w:val="clear" w:color="auto" w:fill="FFFFFF"/>
        </w:rPr>
        <w:t xml:space="preserve">, </w:t>
      </w:r>
      <w:r w:rsidRPr="00EF6216">
        <w:rPr>
          <w:shd w:val="clear" w:color="auto" w:fill="FFFFFF"/>
        </w:rPr>
        <w:t>f</w:t>
      </w:r>
      <w:r w:rsidR="009203F1" w:rsidRPr="00EF6216">
        <w:rPr>
          <w:shd w:val="clear" w:color="auto" w:fill="FFFFFF"/>
        </w:rPr>
        <w:t>ederal law established</w:t>
      </w:r>
      <w:r w:rsidR="008179B5" w:rsidRPr="00EF6216">
        <w:rPr>
          <w:shd w:val="clear" w:color="auto" w:fill="FFFFFF"/>
        </w:rPr>
        <w:t xml:space="preserve"> that it is a crime to perform FG</w:t>
      </w:r>
      <w:r w:rsidR="004C27E8" w:rsidRPr="00EF6216">
        <w:rPr>
          <w:shd w:val="clear" w:color="auto" w:fill="FFFFFF"/>
        </w:rPr>
        <w:t>C on a girl younger than 18 or to take or attempt to take a girl o</w:t>
      </w:r>
      <w:r w:rsidR="00304EEF" w:rsidRPr="00EF6216">
        <w:rPr>
          <w:shd w:val="clear" w:color="auto" w:fill="FFFFFF"/>
        </w:rPr>
        <w:t xml:space="preserve">ut of the </w:t>
      </w:r>
      <w:r w:rsidR="00416536">
        <w:rPr>
          <w:rFonts w:eastAsia="Calibri"/>
        </w:rPr>
        <w:t xml:space="preserve">U.S. </w:t>
      </w:r>
      <w:r w:rsidR="00304EEF" w:rsidRPr="00EF6216">
        <w:rPr>
          <w:shd w:val="clear" w:color="auto" w:fill="FFFFFF"/>
        </w:rPr>
        <w:t>for FG</w:t>
      </w:r>
      <w:r w:rsidR="008179B5" w:rsidRPr="00EF6216">
        <w:rPr>
          <w:shd w:val="clear" w:color="auto" w:fill="FFFFFF"/>
        </w:rPr>
        <w:t>C, though women and girls who have experienced FGC are not considered at fault.</w:t>
      </w:r>
      <w:r w:rsidR="008179B5" w:rsidRPr="00EF6216">
        <w:rPr>
          <w:rStyle w:val="FootnoteReference"/>
          <w:shd w:val="clear" w:color="auto" w:fill="FFFFFF"/>
        </w:rPr>
        <w:footnoteReference w:id="25"/>
      </w:r>
      <w:r w:rsidRPr="00EF6216">
        <w:rPr>
          <w:shd w:val="clear" w:color="auto" w:fill="FFFFFF"/>
        </w:rPr>
        <w:t xml:space="preserve"> </w:t>
      </w:r>
      <w:r w:rsidR="009203F1" w:rsidRPr="00EF6216">
        <w:rPr>
          <w:shd w:val="clear" w:color="auto" w:fill="FFFFFF"/>
        </w:rPr>
        <w:t xml:space="preserve">However, </w:t>
      </w:r>
      <w:r w:rsidR="002A5D5C" w:rsidRPr="00EF6216">
        <w:rPr>
          <w:shd w:val="clear" w:color="auto" w:fill="FFFFFF"/>
        </w:rPr>
        <w:t xml:space="preserve">it should be noted that </w:t>
      </w:r>
      <w:r w:rsidR="00DC2441">
        <w:rPr>
          <w:shd w:val="clear" w:color="auto" w:fill="FFFFFF"/>
        </w:rPr>
        <w:t>a</w:t>
      </w:r>
      <w:r w:rsidR="002A5D5C" w:rsidRPr="00EF6216">
        <w:rPr>
          <w:shd w:val="clear" w:color="auto" w:fill="FFFFFF"/>
        </w:rPr>
        <w:t xml:space="preserve"> November 20, 2018</w:t>
      </w:r>
      <w:r w:rsidR="009203F1" w:rsidRPr="00EF6216">
        <w:rPr>
          <w:shd w:val="clear" w:color="auto" w:fill="FFFFFF"/>
        </w:rPr>
        <w:t xml:space="preserve"> District Court </w:t>
      </w:r>
      <w:r w:rsidR="002A5D5C" w:rsidRPr="00EF6216">
        <w:rPr>
          <w:shd w:val="clear" w:color="auto" w:fill="FFFFFF"/>
        </w:rPr>
        <w:t>ruling</w:t>
      </w:r>
      <w:r w:rsidR="00575657">
        <w:rPr>
          <w:shd w:val="clear" w:color="auto" w:fill="FFFFFF"/>
        </w:rPr>
        <w:t xml:space="preserve">, </w:t>
      </w:r>
      <w:r w:rsidR="00575657" w:rsidRPr="008B5B07">
        <w:rPr>
          <w:i/>
        </w:rPr>
        <w:t xml:space="preserve">U.S. v. </w:t>
      </w:r>
      <w:proofErr w:type="spellStart"/>
      <w:r w:rsidR="00575657" w:rsidRPr="008B5B07">
        <w:rPr>
          <w:i/>
        </w:rPr>
        <w:t>Nagarwala</w:t>
      </w:r>
      <w:proofErr w:type="spellEnd"/>
      <w:r w:rsidR="00575657">
        <w:rPr>
          <w:rStyle w:val="CommentReference"/>
        </w:rPr>
        <w:t xml:space="preserve">, </w:t>
      </w:r>
      <w:r w:rsidR="009C0EE8" w:rsidRPr="00EF6216">
        <w:rPr>
          <w:shd w:val="clear" w:color="auto" w:fill="FFFFFF"/>
        </w:rPr>
        <w:t xml:space="preserve">found </w:t>
      </w:r>
      <w:r w:rsidR="00DC2441">
        <w:t>that</w:t>
      </w:r>
      <w:r w:rsidR="00DC2441" w:rsidRPr="008905BF">
        <w:t xml:space="preserve"> Congress lacked authority under the Commerce Clause to adopt the 1996 </w:t>
      </w:r>
      <w:r w:rsidR="00DC2441">
        <w:t>federal law banning FGC</w:t>
      </w:r>
      <w:r w:rsidR="00DC2441" w:rsidRPr="008905BF">
        <w:t xml:space="preserve"> and that the power to outlaw </w:t>
      </w:r>
      <w:r w:rsidR="00DC2441">
        <w:t>FGC belongs</w:t>
      </w:r>
      <w:r w:rsidR="00DC2441" w:rsidRPr="008905BF">
        <w:t xml:space="preserve"> to individual </w:t>
      </w:r>
      <w:r w:rsidR="00DC2441">
        <w:t>states.</w:t>
      </w:r>
      <w:r w:rsidR="00DC2441" w:rsidRPr="00BB0587">
        <w:rPr>
          <w:rStyle w:val="FootnoteReference"/>
          <w:shd w:val="clear" w:color="auto" w:fill="FFFFFF"/>
        </w:rPr>
        <w:footnoteReference w:id="26"/>
      </w:r>
      <w:r w:rsidR="002A5D5C" w:rsidRPr="00EF6216">
        <w:rPr>
          <w:shd w:val="clear" w:color="auto" w:fill="FFFFFF"/>
        </w:rPr>
        <w:t xml:space="preserve"> </w:t>
      </w:r>
      <w:r w:rsidR="00575657">
        <w:rPr>
          <w:shd w:val="clear" w:color="auto" w:fill="FFFFFF"/>
        </w:rPr>
        <w:t xml:space="preserve">As of the date of this hearing, the </w:t>
      </w:r>
      <w:r w:rsidR="00DC2441">
        <w:rPr>
          <w:shd w:val="clear" w:color="auto" w:fill="FFFFFF"/>
        </w:rPr>
        <w:t>decision has not been appealed</w:t>
      </w:r>
      <w:r w:rsidR="0009202B">
        <w:rPr>
          <w:shd w:val="clear" w:color="auto" w:fill="FFFFFF"/>
        </w:rPr>
        <w:t>.</w:t>
      </w:r>
      <w:r w:rsidR="0009202B" w:rsidRPr="0009202B">
        <w:rPr>
          <w:rStyle w:val="FootnoteReference"/>
          <w:shd w:val="clear" w:color="auto" w:fill="FFFFFF"/>
        </w:rPr>
        <w:t xml:space="preserve"> </w:t>
      </w:r>
      <w:r w:rsidR="0009202B" w:rsidRPr="00EF6216">
        <w:rPr>
          <w:rStyle w:val="FootnoteReference"/>
          <w:shd w:val="clear" w:color="auto" w:fill="FFFFFF"/>
        </w:rPr>
        <w:footnoteReference w:id="27"/>
      </w:r>
      <w:r w:rsidR="00DC2441">
        <w:rPr>
          <w:shd w:val="clear" w:color="auto" w:fill="FFFFFF"/>
        </w:rPr>
        <w:t xml:space="preserve"> </w:t>
      </w:r>
      <w:r w:rsidR="0009202B">
        <w:rPr>
          <w:shd w:val="clear" w:color="auto" w:fill="FFFFFF"/>
        </w:rPr>
        <w:t xml:space="preserve"> O</w:t>
      </w:r>
      <w:r w:rsidR="008B7562" w:rsidRPr="00EF6216">
        <w:rPr>
          <w:shd w:val="clear" w:color="auto" w:fill="FFFFFF"/>
        </w:rPr>
        <w:t xml:space="preserve">nly </w:t>
      </w:r>
      <w:r w:rsidR="002A5D5C" w:rsidRPr="00EF6216">
        <w:rPr>
          <w:shd w:val="clear" w:color="auto" w:fill="FFFFFF"/>
        </w:rPr>
        <w:t xml:space="preserve">27 states have passed their own laws criminalizing the practice of FGC since 1994, and it is likely that </w:t>
      </w:r>
      <w:r w:rsidR="008B7562" w:rsidRPr="00EF6216">
        <w:rPr>
          <w:shd w:val="clear" w:color="auto" w:fill="FFFFFF"/>
        </w:rPr>
        <w:t>states wanting to bring cases after the ruling will</w:t>
      </w:r>
      <w:r w:rsidR="009203F1" w:rsidRPr="00BC35B2">
        <w:t xml:space="preserve"> need to pass laws or use existing assault or abuse laws</w:t>
      </w:r>
      <w:r w:rsidR="001878AA" w:rsidRPr="00BC35B2">
        <w:t>.</w:t>
      </w:r>
      <w:r w:rsidR="009203F1" w:rsidRPr="00EF6216">
        <w:rPr>
          <w:rStyle w:val="FootnoteReference"/>
          <w:shd w:val="clear" w:color="auto" w:fill="FFFFFF"/>
        </w:rPr>
        <w:footnoteReference w:id="28"/>
      </w:r>
      <w:r w:rsidR="008B7562" w:rsidRPr="00BC35B2">
        <w:t xml:space="preserve"> </w:t>
      </w:r>
      <w:r w:rsidR="00DC2441">
        <w:t xml:space="preserve">Further, it should be noted that </w:t>
      </w:r>
      <w:r w:rsidR="00851B6C">
        <w:t xml:space="preserve">the state of New York </w:t>
      </w:r>
      <w:r w:rsidR="003A65D8" w:rsidRPr="00BC35B2">
        <w:t>ban</w:t>
      </w:r>
      <w:r w:rsidR="00DC2441">
        <w:t>s</w:t>
      </w:r>
      <w:r w:rsidR="003A65D8" w:rsidRPr="00BC35B2">
        <w:t xml:space="preserve"> the practice</w:t>
      </w:r>
      <w:r w:rsidR="00DC2441">
        <w:t xml:space="preserve"> of FGC</w:t>
      </w:r>
      <w:r w:rsidR="003A65D8" w:rsidRPr="00BC35B2">
        <w:t xml:space="preserve"> under the state Penal Law,</w:t>
      </w:r>
      <w:r w:rsidR="003A65D8" w:rsidRPr="00BC35B2">
        <w:rPr>
          <w:rStyle w:val="FootnoteReference"/>
        </w:rPr>
        <w:footnoteReference w:id="29"/>
      </w:r>
      <w:r w:rsidR="003A65D8" w:rsidRPr="00BC35B2">
        <w:t xml:space="preserve"> </w:t>
      </w:r>
      <w:r w:rsidR="00BF3412" w:rsidRPr="00BC35B2">
        <w:t xml:space="preserve">while </w:t>
      </w:r>
      <w:r w:rsidR="003A65D8" w:rsidRPr="00BC35B2">
        <w:t xml:space="preserve">the </w:t>
      </w:r>
      <w:r w:rsidR="00BF3412" w:rsidRPr="00BC35B2">
        <w:t xml:space="preserve">state </w:t>
      </w:r>
      <w:r w:rsidR="00000499" w:rsidRPr="00BC35B2">
        <w:t>Public Health L</w:t>
      </w:r>
      <w:r w:rsidR="003A65D8" w:rsidRPr="00BC35B2">
        <w:t>aw</w:t>
      </w:r>
      <w:r w:rsidR="00000499" w:rsidRPr="00BC35B2">
        <w:t xml:space="preserve"> was amended in 2015 to address outreach and education about FG</w:t>
      </w:r>
      <w:r w:rsidR="00B87E3B">
        <w:t>C</w:t>
      </w:r>
      <w:r w:rsidR="003A65D8" w:rsidRPr="00BC35B2">
        <w:t>.</w:t>
      </w:r>
      <w:r w:rsidR="00A45999" w:rsidRPr="00BC35B2">
        <w:rPr>
          <w:rStyle w:val="FootnoteReference"/>
        </w:rPr>
        <w:footnoteReference w:id="30"/>
      </w:r>
    </w:p>
    <w:p w:rsidR="00B957E4" w:rsidRPr="00EF6216" w:rsidRDefault="008D7FAE" w:rsidP="00CA4A9F">
      <w:pPr>
        <w:pStyle w:val="ColorfulList-Accent11"/>
        <w:spacing w:before="120" w:line="480" w:lineRule="auto"/>
        <w:ind w:left="0"/>
        <w:jc w:val="both"/>
        <w:rPr>
          <w:rFonts w:ascii="Times New Roman" w:hAnsi="Times New Roman"/>
          <w:b/>
          <w:smallCaps/>
          <w:color w:val="auto"/>
        </w:rPr>
      </w:pPr>
      <w:r w:rsidRPr="00EF6216">
        <w:rPr>
          <w:rFonts w:ascii="Times New Roman" w:hAnsi="Times New Roman"/>
          <w:b/>
          <w:smallCaps/>
          <w:color w:val="auto"/>
        </w:rPr>
        <w:t>III.</w:t>
      </w:r>
      <w:r w:rsidRPr="00EF6216">
        <w:rPr>
          <w:rFonts w:ascii="Times New Roman" w:hAnsi="Times New Roman"/>
          <w:b/>
          <w:smallCaps/>
          <w:color w:val="auto"/>
        </w:rPr>
        <w:tab/>
      </w:r>
      <w:r w:rsidR="00B957E4" w:rsidRPr="00EF6216">
        <w:rPr>
          <w:rFonts w:ascii="Times New Roman" w:hAnsi="Times New Roman"/>
          <w:b/>
          <w:smallCaps/>
          <w:color w:val="auto"/>
        </w:rPr>
        <w:t>Female Genital Cutting (Mutilation/Circumcision)</w:t>
      </w:r>
    </w:p>
    <w:p w:rsidR="00B957E4" w:rsidRDefault="00B957E4" w:rsidP="009C0EE8">
      <w:pPr>
        <w:pStyle w:val="ColorfulList-Accent11"/>
        <w:spacing w:before="120" w:line="480" w:lineRule="auto"/>
        <w:ind w:left="0" w:firstLine="720"/>
        <w:jc w:val="both"/>
        <w:rPr>
          <w:rFonts w:ascii="Times New Roman" w:hAnsi="Times New Roman"/>
        </w:rPr>
      </w:pPr>
      <w:r w:rsidRPr="00EF6216">
        <w:rPr>
          <w:rFonts w:ascii="Times New Roman" w:hAnsi="Times New Roman"/>
          <w:color w:val="auto"/>
        </w:rPr>
        <w:t>The WHO has distinguished four major types of FGC, the</w:t>
      </w:r>
      <w:r>
        <w:rPr>
          <w:rFonts w:ascii="Times New Roman" w:hAnsi="Times New Roman"/>
        </w:rPr>
        <w:t xml:space="preserve"> first three types being of increasing invasiveness, and the last a general category of unclassified genital injuries.</w:t>
      </w:r>
      <w:r>
        <w:rPr>
          <w:rStyle w:val="FootnoteReference"/>
          <w:rFonts w:ascii="Times New Roman" w:hAnsi="Times New Roman"/>
        </w:rPr>
        <w:footnoteReference w:id="31"/>
      </w:r>
      <w:r>
        <w:rPr>
          <w:rFonts w:ascii="Times New Roman" w:hAnsi="Times New Roman"/>
        </w:rPr>
        <w:t xml:space="preserve"> T</w:t>
      </w:r>
      <w:r w:rsidR="00D76AAB">
        <w:rPr>
          <w:rFonts w:ascii="Times New Roman" w:hAnsi="Times New Roman"/>
        </w:rPr>
        <w:t>hese</w:t>
      </w:r>
      <w:r>
        <w:rPr>
          <w:rFonts w:ascii="Times New Roman" w:hAnsi="Times New Roman"/>
        </w:rPr>
        <w:t xml:space="preserve"> include:</w:t>
      </w:r>
    </w:p>
    <w:p w:rsidR="00B957E4" w:rsidRDefault="00391AC8" w:rsidP="00EF6216">
      <w:pPr>
        <w:pStyle w:val="ColorfulList-Accent11"/>
        <w:numPr>
          <w:ilvl w:val="0"/>
          <w:numId w:val="24"/>
        </w:numPr>
        <w:jc w:val="both"/>
        <w:rPr>
          <w:rFonts w:ascii="Times New Roman" w:hAnsi="Times New Roman"/>
        </w:rPr>
      </w:pPr>
      <w:r>
        <w:rPr>
          <w:rFonts w:ascii="Times New Roman" w:hAnsi="Times New Roman"/>
          <w:b/>
        </w:rPr>
        <w:t xml:space="preserve">Type 1: </w:t>
      </w:r>
      <w:r w:rsidRPr="00F26001">
        <w:rPr>
          <w:rFonts w:ascii="Times New Roman" w:hAnsi="Times New Roman"/>
        </w:rPr>
        <w:t xml:space="preserve">Often referred to as </w:t>
      </w:r>
      <w:proofErr w:type="spellStart"/>
      <w:r w:rsidRPr="0086297A">
        <w:rPr>
          <w:rFonts w:ascii="Times New Roman" w:hAnsi="Times New Roman"/>
          <w:b/>
        </w:rPr>
        <w:t>c</w:t>
      </w:r>
      <w:r w:rsidR="00D6193A" w:rsidRPr="0086297A">
        <w:rPr>
          <w:rFonts w:ascii="Times New Roman" w:hAnsi="Times New Roman"/>
          <w:b/>
        </w:rPr>
        <w:t>litoridectomy</w:t>
      </w:r>
      <w:proofErr w:type="spellEnd"/>
      <w:r w:rsidR="00D6193A" w:rsidRPr="00391AC8">
        <w:rPr>
          <w:rFonts w:ascii="Times New Roman" w:hAnsi="Times New Roman"/>
        </w:rPr>
        <w:t xml:space="preserve">, </w:t>
      </w:r>
      <w:r w:rsidRPr="00391AC8">
        <w:rPr>
          <w:rFonts w:ascii="Times New Roman" w:hAnsi="Times New Roman"/>
        </w:rPr>
        <w:t xml:space="preserve">and </w:t>
      </w:r>
      <w:r w:rsidR="00D6193A" w:rsidRPr="00391AC8">
        <w:rPr>
          <w:rFonts w:ascii="Times New Roman" w:hAnsi="Times New Roman"/>
        </w:rPr>
        <w:t>which re</w:t>
      </w:r>
      <w:r w:rsidR="00D6193A">
        <w:rPr>
          <w:rFonts w:ascii="Times New Roman" w:hAnsi="Times New Roman"/>
        </w:rPr>
        <w:t>fers to the partial or total removal of</w:t>
      </w:r>
      <w:r w:rsidR="00AE338C">
        <w:rPr>
          <w:rFonts w:ascii="Times New Roman" w:hAnsi="Times New Roman"/>
        </w:rPr>
        <w:t xml:space="preserve"> the clitoris, and</w:t>
      </w:r>
      <w:r w:rsidR="00C747A7">
        <w:rPr>
          <w:rFonts w:ascii="Times New Roman" w:hAnsi="Times New Roman"/>
        </w:rPr>
        <w:t>/or</w:t>
      </w:r>
      <w:r w:rsidR="00AE338C">
        <w:rPr>
          <w:rFonts w:ascii="Times New Roman" w:hAnsi="Times New Roman"/>
        </w:rPr>
        <w:t xml:space="preserve"> the prepuce, which is the fold of skin surrounding the clitoris</w:t>
      </w:r>
      <w:r w:rsidR="00996DD4">
        <w:rPr>
          <w:rFonts w:ascii="Times New Roman" w:hAnsi="Times New Roman"/>
        </w:rPr>
        <w:t>;</w:t>
      </w:r>
      <w:r w:rsidR="00AE338C">
        <w:rPr>
          <w:rFonts w:ascii="Times New Roman" w:hAnsi="Times New Roman"/>
        </w:rPr>
        <w:t xml:space="preserve"> </w:t>
      </w:r>
    </w:p>
    <w:p w:rsidR="00D6193A" w:rsidRDefault="00391AC8" w:rsidP="00EF6216">
      <w:pPr>
        <w:pStyle w:val="ColorfulList-Accent11"/>
        <w:numPr>
          <w:ilvl w:val="0"/>
          <w:numId w:val="24"/>
        </w:numPr>
        <w:spacing w:before="120"/>
        <w:jc w:val="both"/>
        <w:rPr>
          <w:rFonts w:ascii="Times New Roman" w:hAnsi="Times New Roman"/>
        </w:rPr>
      </w:pPr>
      <w:r>
        <w:rPr>
          <w:rFonts w:ascii="Times New Roman" w:hAnsi="Times New Roman"/>
          <w:b/>
        </w:rPr>
        <w:t>Type 2:</w:t>
      </w:r>
      <w:r w:rsidR="00996DD4" w:rsidRPr="00F26001">
        <w:rPr>
          <w:rFonts w:ascii="Times New Roman" w:hAnsi="Times New Roman"/>
        </w:rPr>
        <w:t xml:space="preserve"> </w:t>
      </w:r>
      <w:r w:rsidRPr="00F26001">
        <w:rPr>
          <w:rFonts w:ascii="Times New Roman" w:hAnsi="Times New Roman"/>
        </w:rPr>
        <w:t>Often referred to as</w:t>
      </w:r>
      <w:r w:rsidR="00996DD4" w:rsidRPr="00F26001">
        <w:rPr>
          <w:rFonts w:ascii="Times New Roman" w:hAnsi="Times New Roman"/>
        </w:rPr>
        <w:t xml:space="preserve"> </w:t>
      </w:r>
      <w:r w:rsidRPr="0086297A">
        <w:rPr>
          <w:rFonts w:ascii="Times New Roman" w:hAnsi="Times New Roman"/>
          <w:b/>
        </w:rPr>
        <w:t>e</w:t>
      </w:r>
      <w:r w:rsidR="00AE338C" w:rsidRPr="003F6552">
        <w:rPr>
          <w:rFonts w:ascii="Times New Roman" w:hAnsi="Times New Roman"/>
          <w:b/>
        </w:rPr>
        <w:t>xcision</w:t>
      </w:r>
      <w:r w:rsidR="00AE338C" w:rsidRPr="00391AC8">
        <w:rPr>
          <w:rFonts w:ascii="Times New Roman" w:hAnsi="Times New Roman"/>
        </w:rPr>
        <w:t xml:space="preserve">, </w:t>
      </w:r>
      <w:r w:rsidRPr="00B20E06">
        <w:rPr>
          <w:rFonts w:ascii="Times New Roman" w:hAnsi="Times New Roman"/>
        </w:rPr>
        <w:t xml:space="preserve">and </w:t>
      </w:r>
      <w:r w:rsidR="00AE338C" w:rsidRPr="00B20E06">
        <w:rPr>
          <w:rFonts w:ascii="Times New Roman" w:hAnsi="Times New Roman"/>
        </w:rPr>
        <w:t>which refers</w:t>
      </w:r>
      <w:r w:rsidR="00AE338C" w:rsidRPr="00AE338C">
        <w:rPr>
          <w:rFonts w:ascii="Times New Roman" w:hAnsi="Times New Roman"/>
        </w:rPr>
        <w:t xml:space="preserve"> to the partial or total removal of the clitoris and the labia </w:t>
      </w:r>
      <w:proofErr w:type="spellStart"/>
      <w:r w:rsidR="00AE338C" w:rsidRPr="00AE338C">
        <w:rPr>
          <w:rFonts w:ascii="Times New Roman" w:hAnsi="Times New Roman"/>
        </w:rPr>
        <w:t>minora</w:t>
      </w:r>
      <w:proofErr w:type="spellEnd"/>
      <w:r w:rsidR="00AE338C" w:rsidRPr="00AE338C">
        <w:rPr>
          <w:rFonts w:ascii="Times New Roman" w:hAnsi="Times New Roman"/>
        </w:rPr>
        <w:t>, with or</w:t>
      </w:r>
      <w:r w:rsidR="00AE338C">
        <w:rPr>
          <w:rFonts w:ascii="Times New Roman" w:hAnsi="Times New Roman"/>
        </w:rPr>
        <w:t xml:space="preserve"> without excision of the labia </w:t>
      </w:r>
      <w:proofErr w:type="spellStart"/>
      <w:r w:rsidR="00AE338C">
        <w:rPr>
          <w:rFonts w:ascii="Times New Roman" w:hAnsi="Times New Roman"/>
        </w:rPr>
        <w:t>majora</w:t>
      </w:r>
      <w:proofErr w:type="spellEnd"/>
      <w:r w:rsidR="00996DD4">
        <w:rPr>
          <w:rFonts w:ascii="Times New Roman" w:hAnsi="Times New Roman"/>
        </w:rPr>
        <w:t>;</w:t>
      </w:r>
      <w:r w:rsidR="00AE338C">
        <w:rPr>
          <w:rFonts w:ascii="Times New Roman" w:hAnsi="Times New Roman"/>
        </w:rPr>
        <w:t xml:space="preserve"> </w:t>
      </w:r>
    </w:p>
    <w:p w:rsidR="001127CE" w:rsidRDefault="00996DD4" w:rsidP="00EF6216">
      <w:pPr>
        <w:pStyle w:val="ColorfulList-Accent11"/>
        <w:numPr>
          <w:ilvl w:val="0"/>
          <w:numId w:val="24"/>
        </w:numPr>
        <w:spacing w:before="120"/>
        <w:jc w:val="both"/>
        <w:rPr>
          <w:rFonts w:ascii="Times New Roman" w:hAnsi="Times New Roman"/>
        </w:rPr>
      </w:pPr>
      <w:r>
        <w:rPr>
          <w:rFonts w:ascii="Times New Roman" w:hAnsi="Times New Roman"/>
          <w:b/>
        </w:rPr>
        <w:t>Type 3</w:t>
      </w:r>
      <w:r w:rsidR="00391AC8">
        <w:rPr>
          <w:rFonts w:ascii="Times New Roman" w:hAnsi="Times New Roman"/>
          <w:b/>
        </w:rPr>
        <w:t xml:space="preserve">: </w:t>
      </w:r>
      <w:r w:rsidR="00391AC8" w:rsidRPr="00F26001">
        <w:rPr>
          <w:rFonts w:ascii="Times New Roman" w:hAnsi="Times New Roman"/>
        </w:rPr>
        <w:t>Often referred to as</w:t>
      </w:r>
      <w:r w:rsidRPr="00F26001">
        <w:rPr>
          <w:rFonts w:ascii="Times New Roman" w:hAnsi="Times New Roman"/>
        </w:rPr>
        <w:t xml:space="preserve"> </w:t>
      </w:r>
      <w:r w:rsidR="00391AC8" w:rsidRPr="0086297A">
        <w:rPr>
          <w:rFonts w:ascii="Times New Roman" w:hAnsi="Times New Roman"/>
          <w:b/>
        </w:rPr>
        <w:t>i</w:t>
      </w:r>
      <w:r w:rsidR="001127CE" w:rsidRPr="003F6552">
        <w:rPr>
          <w:rFonts w:ascii="Times New Roman" w:hAnsi="Times New Roman"/>
          <w:b/>
        </w:rPr>
        <w:t>nf</w:t>
      </w:r>
      <w:r w:rsidR="00AE338C" w:rsidRPr="003F6552">
        <w:rPr>
          <w:rFonts w:ascii="Times New Roman" w:hAnsi="Times New Roman"/>
          <w:b/>
        </w:rPr>
        <w:t>ibulation</w:t>
      </w:r>
      <w:r w:rsidR="00391AC8" w:rsidRPr="00391AC8">
        <w:rPr>
          <w:rFonts w:ascii="Times New Roman" w:hAnsi="Times New Roman"/>
        </w:rPr>
        <w:t xml:space="preserve"> and </w:t>
      </w:r>
      <w:r w:rsidR="00C747A7" w:rsidRPr="00391AC8">
        <w:rPr>
          <w:rFonts w:ascii="Times New Roman" w:hAnsi="Times New Roman"/>
        </w:rPr>
        <w:t>the most severe type</w:t>
      </w:r>
      <w:r w:rsidR="00C747A7">
        <w:rPr>
          <w:rFonts w:ascii="Times New Roman" w:hAnsi="Times New Roman"/>
        </w:rPr>
        <w:t xml:space="preserve">, </w:t>
      </w:r>
      <w:r w:rsidR="00391AC8">
        <w:rPr>
          <w:rFonts w:ascii="Times New Roman" w:hAnsi="Times New Roman"/>
        </w:rPr>
        <w:t xml:space="preserve">which </w:t>
      </w:r>
      <w:r w:rsidR="00AE338C">
        <w:rPr>
          <w:rFonts w:ascii="Times New Roman" w:hAnsi="Times New Roman"/>
        </w:rPr>
        <w:t>refers to the narrowing of the vaginal o</w:t>
      </w:r>
      <w:r w:rsidR="00C747A7">
        <w:rPr>
          <w:rFonts w:ascii="Times New Roman" w:hAnsi="Times New Roman"/>
        </w:rPr>
        <w:t>rifice</w:t>
      </w:r>
      <w:r w:rsidR="00AE338C">
        <w:rPr>
          <w:rFonts w:ascii="Times New Roman" w:hAnsi="Times New Roman"/>
        </w:rPr>
        <w:t xml:space="preserve"> through the creation of a covering seal formed by cutting and</w:t>
      </w:r>
      <w:r w:rsidR="00C747A7">
        <w:rPr>
          <w:rFonts w:ascii="Times New Roman" w:hAnsi="Times New Roman"/>
        </w:rPr>
        <w:t xml:space="preserve"> repositioning the labia </w:t>
      </w:r>
      <w:proofErr w:type="spellStart"/>
      <w:r w:rsidR="00C747A7">
        <w:rPr>
          <w:rFonts w:ascii="Times New Roman" w:hAnsi="Times New Roman"/>
        </w:rPr>
        <w:t>minora</w:t>
      </w:r>
      <w:proofErr w:type="spellEnd"/>
      <w:r w:rsidR="00C747A7">
        <w:rPr>
          <w:rFonts w:ascii="Times New Roman" w:hAnsi="Times New Roman"/>
        </w:rPr>
        <w:t xml:space="preserve"> and/</w:t>
      </w:r>
      <w:r w:rsidR="00AE338C">
        <w:rPr>
          <w:rFonts w:ascii="Times New Roman" w:hAnsi="Times New Roman"/>
        </w:rPr>
        <w:t xml:space="preserve">or labia </w:t>
      </w:r>
      <w:proofErr w:type="spellStart"/>
      <w:r w:rsidR="00AE338C">
        <w:rPr>
          <w:rFonts w:ascii="Times New Roman" w:hAnsi="Times New Roman"/>
        </w:rPr>
        <w:t>majora</w:t>
      </w:r>
      <w:proofErr w:type="spellEnd"/>
      <w:r w:rsidR="00AE338C">
        <w:rPr>
          <w:rFonts w:ascii="Times New Roman" w:hAnsi="Times New Roman"/>
        </w:rPr>
        <w:t>, sometimes through stitching, with or without removal of the clitoris (</w:t>
      </w:r>
      <w:proofErr w:type="spellStart"/>
      <w:r w:rsidR="00AE338C">
        <w:rPr>
          <w:rFonts w:ascii="Times New Roman" w:hAnsi="Times New Roman"/>
        </w:rPr>
        <w:t>clitoridectomy</w:t>
      </w:r>
      <w:proofErr w:type="spellEnd"/>
      <w:r w:rsidR="00AE338C">
        <w:rPr>
          <w:rFonts w:ascii="Times New Roman" w:hAnsi="Times New Roman"/>
        </w:rPr>
        <w:t>)</w:t>
      </w:r>
      <w:r>
        <w:rPr>
          <w:rFonts w:ascii="Times New Roman" w:hAnsi="Times New Roman"/>
        </w:rPr>
        <w:t>;</w:t>
      </w:r>
      <w:r w:rsidR="00CF69F2">
        <w:rPr>
          <w:rStyle w:val="FootnoteReference"/>
          <w:rFonts w:ascii="Times New Roman" w:hAnsi="Times New Roman"/>
        </w:rPr>
        <w:footnoteReference w:id="32"/>
      </w:r>
      <w:r>
        <w:rPr>
          <w:rFonts w:ascii="Times New Roman" w:hAnsi="Times New Roman"/>
        </w:rPr>
        <w:t xml:space="preserve"> and</w:t>
      </w:r>
    </w:p>
    <w:p w:rsidR="001127CE" w:rsidRDefault="001127CE" w:rsidP="00EF6216">
      <w:pPr>
        <w:pStyle w:val="ColorfulList-Accent11"/>
        <w:numPr>
          <w:ilvl w:val="1"/>
          <w:numId w:val="24"/>
        </w:numPr>
        <w:spacing w:before="120"/>
        <w:jc w:val="both"/>
        <w:rPr>
          <w:rFonts w:ascii="Times New Roman" w:hAnsi="Times New Roman"/>
        </w:rPr>
      </w:pPr>
      <w:proofErr w:type="spellStart"/>
      <w:r w:rsidRPr="009B4097">
        <w:rPr>
          <w:rFonts w:ascii="Times New Roman" w:hAnsi="Times New Roman"/>
          <w:b/>
          <w:i/>
        </w:rPr>
        <w:t>Deinfibulation</w:t>
      </w:r>
      <w:proofErr w:type="spellEnd"/>
      <w:r w:rsidRPr="001127CE">
        <w:rPr>
          <w:rFonts w:ascii="Times New Roman" w:hAnsi="Times New Roman"/>
        </w:rPr>
        <w:t xml:space="preserve"> refers to the practice of cutting open the sealed vaginal </w:t>
      </w:r>
      <w:r w:rsidR="00CF69F2">
        <w:rPr>
          <w:rFonts w:ascii="Times New Roman" w:hAnsi="Times New Roman"/>
        </w:rPr>
        <w:t>orifice</w:t>
      </w:r>
      <w:r w:rsidRPr="001127CE">
        <w:rPr>
          <w:rFonts w:ascii="Times New Roman" w:hAnsi="Times New Roman"/>
        </w:rPr>
        <w:t>, which is often necessary for improving health and well-being as well as to allow intercourse or to facilitate childbirth.</w:t>
      </w:r>
      <w:r>
        <w:rPr>
          <w:rStyle w:val="FootnoteReference"/>
          <w:rFonts w:ascii="Times New Roman" w:hAnsi="Times New Roman"/>
        </w:rPr>
        <w:footnoteReference w:id="33"/>
      </w:r>
    </w:p>
    <w:p w:rsidR="001127CE" w:rsidRPr="001127CE" w:rsidRDefault="001127CE" w:rsidP="00EF6216">
      <w:pPr>
        <w:pStyle w:val="ColorfulList-Accent11"/>
        <w:numPr>
          <w:ilvl w:val="1"/>
          <w:numId w:val="24"/>
        </w:numPr>
        <w:spacing w:before="120"/>
        <w:jc w:val="both"/>
        <w:rPr>
          <w:rFonts w:ascii="Times New Roman" w:hAnsi="Times New Roman"/>
        </w:rPr>
      </w:pPr>
      <w:r w:rsidRPr="009B4097">
        <w:rPr>
          <w:rFonts w:ascii="Times New Roman" w:hAnsi="Times New Roman"/>
          <w:b/>
          <w:i/>
        </w:rPr>
        <w:t>Re-infibulation</w:t>
      </w:r>
      <w:r w:rsidRPr="001127CE">
        <w:rPr>
          <w:rFonts w:ascii="Times New Roman" w:hAnsi="Times New Roman"/>
        </w:rPr>
        <w:t xml:space="preserve"> </w:t>
      </w:r>
      <w:r w:rsidR="00CF69F2">
        <w:rPr>
          <w:rFonts w:ascii="Times New Roman" w:hAnsi="Times New Roman"/>
        </w:rPr>
        <w:t>refers to the procedure to</w:t>
      </w:r>
      <w:r w:rsidRPr="001127CE">
        <w:rPr>
          <w:rFonts w:ascii="Times New Roman" w:hAnsi="Times New Roman"/>
        </w:rPr>
        <w:t xml:space="preserve"> narrow the vaginal </w:t>
      </w:r>
      <w:r w:rsidR="00CF69F2">
        <w:rPr>
          <w:rFonts w:ascii="Times New Roman" w:hAnsi="Times New Roman"/>
        </w:rPr>
        <w:t xml:space="preserve">orifice after </w:t>
      </w:r>
      <w:proofErr w:type="spellStart"/>
      <w:r w:rsidR="00CF69F2">
        <w:rPr>
          <w:rFonts w:ascii="Times New Roman" w:hAnsi="Times New Roman"/>
        </w:rPr>
        <w:t>deinfibulation</w:t>
      </w:r>
      <w:proofErr w:type="spellEnd"/>
      <w:r w:rsidR="00CF69F2">
        <w:rPr>
          <w:rFonts w:ascii="Times New Roman" w:hAnsi="Times New Roman"/>
        </w:rPr>
        <w:t>,</w:t>
      </w:r>
      <w:r w:rsidRPr="001127CE">
        <w:rPr>
          <w:rFonts w:ascii="Times New Roman" w:hAnsi="Times New Roman"/>
        </w:rPr>
        <w:t xml:space="preserve"> also known as re-suturing</w:t>
      </w:r>
      <w:r>
        <w:rPr>
          <w:rFonts w:ascii="Times New Roman" w:hAnsi="Times New Roman"/>
        </w:rPr>
        <w:t>.</w:t>
      </w:r>
      <w:r>
        <w:rPr>
          <w:rStyle w:val="FootnoteReference"/>
          <w:rFonts w:ascii="Times New Roman" w:hAnsi="Times New Roman"/>
        </w:rPr>
        <w:footnoteReference w:id="34"/>
      </w:r>
    </w:p>
    <w:p w:rsidR="00AE338C" w:rsidRDefault="00AE338C" w:rsidP="00EF6216">
      <w:pPr>
        <w:pStyle w:val="ColorfulList-Accent11"/>
        <w:numPr>
          <w:ilvl w:val="0"/>
          <w:numId w:val="24"/>
        </w:numPr>
        <w:spacing w:before="120"/>
        <w:jc w:val="both"/>
        <w:rPr>
          <w:rFonts w:ascii="Times New Roman" w:hAnsi="Times New Roman"/>
        </w:rPr>
      </w:pPr>
      <w:r w:rsidRPr="00AE338C">
        <w:rPr>
          <w:rFonts w:ascii="Times New Roman" w:hAnsi="Times New Roman"/>
          <w:b/>
        </w:rPr>
        <w:t>Type 4</w:t>
      </w:r>
      <w:r w:rsidR="00391AC8">
        <w:rPr>
          <w:rFonts w:ascii="Times New Roman" w:hAnsi="Times New Roman"/>
          <w:b/>
        </w:rPr>
        <w:t>:</w:t>
      </w:r>
      <w:r>
        <w:rPr>
          <w:rFonts w:ascii="Times New Roman" w:hAnsi="Times New Roman"/>
        </w:rPr>
        <w:t xml:space="preserve"> </w:t>
      </w:r>
      <w:r w:rsidR="00391AC8">
        <w:rPr>
          <w:rFonts w:ascii="Times New Roman" w:hAnsi="Times New Roman"/>
        </w:rPr>
        <w:t xml:space="preserve">which </w:t>
      </w:r>
      <w:r>
        <w:rPr>
          <w:rFonts w:ascii="Times New Roman" w:hAnsi="Times New Roman"/>
        </w:rPr>
        <w:t>includes all other harmful procedures to the female genitalia for non-medical purposes, such as cauterizing,</w:t>
      </w:r>
      <w:r w:rsidRPr="00AE338C">
        <w:rPr>
          <w:rFonts w:ascii="Times New Roman" w:hAnsi="Times New Roman"/>
        </w:rPr>
        <w:t xml:space="preserve"> </w:t>
      </w:r>
      <w:r>
        <w:rPr>
          <w:rFonts w:ascii="Times New Roman" w:hAnsi="Times New Roman"/>
        </w:rPr>
        <w:t>incising, piercing, pricking and scraping the genital area.</w:t>
      </w:r>
      <w:r w:rsidR="00A26D1B">
        <w:rPr>
          <w:rStyle w:val="FootnoteReference"/>
          <w:rFonts w:ascii="Times New Roman" w:hAnsi="Times New Roman"/>
        </w:rPr>
        <w:footnoteReference w:id="35"/>
      </w:r>
    </w:p>
    <w:p w:rsidR="009C0EE8" w:rsidRPr="00AE338C" w:rsidRDefault="009C0EE8" w:rsidP="009C0EE8">
      <w:pPr>
        <w:pStyle w:val="ColorfulList-Accent11"/>
        <w:spacing w:before="120"/>
        <w:jc w:val="both"/>
        <w:rPr>
          <w:rFonts w:ascii="Times New Roman" w:hAnsi="Times New Roman"/>
        </w:rPr>
      </w:pPr>
    </w:p>
    <w:p w:rsidR="004D636C" w:rsidRDefault="009C0EE8" w:rsidP="009C0EE8">
      <w:pPr>
        <w:pStyle w:val="ColorfulList-Accent11"/>
        <w:spacing w:line="480" w:lineRule="auto"/>
        <w:ind w:left="0"/>
        <w:jc w:val="both"/>
        <w:rPr>
          <w:rFonts w:ascii="Times New Roman" w:hAnsi="Times New Roman"/>
        </w:rPr>
      </w:pPr>
      <w:r>
        <w:rPr>
          <w:rFonts w:ascii="Times New Roman" w:hAnsi="Times New Roman"/>
        </w:rPr>
        <w:tab/>
      </w:r>
      <w:r w:rsidR="00F549F2">
        <w:rPr>
          <w:rFonts w:ascii="Times New Roman" w:hAnsi="Times New Roman"/>
        </w:rPr>
        <w:t xml:space="preserve">FGC has no health benefits, </w:t>
      </w:r>
      <w:r w:rsidR="00851B6C">
        <w:rPr>
          <w:rFonts w:ascii="Times New Roman" w:hAnsi="Times New Roman"/>
        </w:rPr>
        <w:t>and</w:t>
      </w:r>
      <w:r w:rsidR="00F549F2">
        <w:rPr>
          <w:rFonts w:ascii="Times New Roman" w:hAnsi="Times New Roman"/>
        </w:rPr>
        <w:t xml:space="preserve"> there are numerous immediate, short-term and long-term health complications that stem from the practice. </w:t>
      </w:r>
      <w:r w:rsidR="000B3902">
        <w:rPr>
          <w:rFonts w:ascii="Times New Roman" w:hAnsi="Times New Roman"/>
        </w:rPr>
        <w:t>FGC</w:t>
      </w:r>
      <w:r w:rsidR="008D4C37">
        <w:rPr>
          <w:rFonts w:ascii="Times New Roman" w:hAnsi="Times New Roman"/>
        </w:rPr>
        <w:t xml:space="preserve"> interferes with normal body functions</w:t>
      </w:r>
      <w:r w:rsidR="005541FD">
        <w:rPr>
          <w:rFonts w:ascii="Times New Roman" w:hAnsi="Times New Roman"/>
        </w:rPr>
        <w:t xml:space="preserve"> and can </w:t>
      </w:r>
      <w:r w:rsidR="000B3902">
        <w:rPr>
          <w:rFonts w:ascii="Times New Roman" w:hAnsi="Times New Roman"/>
        </w:rPr>
        <w:t>negatively affect</w:t>
      </w:r>
      <w:r w:rsidR="005541FD">
        <w:rPr>
          <w:rFonts w:ascii="Times New Roman" w:hAnsi="Times New Roman"/>
        </w:rPr>
        <w:t xml:space="preserve"> several aspects of a girl’s or woman’s life, including her physical, mental and sexual health</w:t>
      </w:r>
      <w:r w:rsidR="000B3902">
        <w:rPr>
          <w:rFonts w:ascii="Times New Roman" w:hAnsi="Times New Roman"/>
        </w:rPr>
        <w:t>, as well as</w:t>
      </w:r>
      <w:r w:rsidR="005541FD">
        <w:rPr>
          <w:rFonts w:ascii="Times New Roman" w:hAnsi="Times New Roman"/>
        </w:rPr>
        <w:t xml:space="preserve"> her relationship with her </w:t>
      </w:r>
      <w:r w:rsidR="000B3902">
        <w:rPr>
          <w:rFonts w:ascii="Times New Roman" w:hAnsi="Times New Roman"/>
        </w:rPr>
        <w:t>partner and other</w:t>
      </w:r>
      <w:r w:rsidR="005541FD">
        <w:rPr>
          <w:rFonts w:ascii="Times New Roman" w:hAnsi="Times New Roman"/>
        </w:rPr>
        <w:t xml:space="preserve"> family members.</w:t>
      </w:r>
      <w:r w:rsidR="005541FD">
        <w:rPr>
          <w:rStyle w:val="FootnoteReference"/>
          <w:rFonts w:ascii="Times New Roman" w:hAnsi="Times New Roman"/>
        </w:rPr>
        <w:footnoteReference w:id="36"/>
      </w:r>
      <w:r w:rsidR="00F549F2">
        <w:rPr>
          <w:rFonts w:ascii="Times New Roman" w:hAnsi="Times New Roman"/>
        </w:rPr>
        <w:t xml:space="preserve"> Further, a</w:t>
      </w:r>
      <w:r w:rsidR="001019FA">
        <w:rPr>
          <w:rFonts w:ascii="Times New Roman" w:hAnsi="Times New Roman"/>
        </w:rPr>
        <w:t>s an erogenous zone, t</w:t>
      </w:r>
      <w:r w:rsidR="004D2024">
        <w:rPr>
          <w:rFonts w:ascii="Times New Roman" w:hAnsi="Times New Roman"/>
        </w:rPr>
        <w:t>he clitoris and surrounding genital tissues have a dense nerve supply and are particularly sensitive.</w:t>
      </w:r>
      <w:r w:rsidR="001019FA">
        <w:rPr>
          <w:rStyle w:val="FootnoteReference"/>
          <w:rFonts w:ascii="Times New Roman" w:hAnsi="Times New Roman"/>
        </w:rPr>
        <w:footnoteReference w:id="37"/>
      </w:r>
      <w:r w:rsidR="004D2024">
        <w:rPr>
          <w:rFonts w:ascii="Times New Roman" w:hAnsi="Times New Roman"/>
        </w:rPr>
        <w:t xml:space="preserve"> </w:t>
      </w:r>
      <w:r w:rsidR="00F549F2">
        <w:rPr>
          <w:rFonts w:ascii="Times New Roman" w:hAnsi="Times New Roman"/>
        </w:rPr>
        <w:t xml:space="preserve">As </w:t>
      </w:r>
      <w:r w:rsidR="004D2024">
        <w:rPr>
          <w:rFonts w:ascii="Times New Roman" w:hAnsi="Times New Roman"/>
        </w:rPr>
        <w:t>FGC is often performed without anesthetic</w:t>
      </w:r>
      <w:r w:rsidR="00F549F2">
        <w:rPr>
          <w:rFonts w:ascii="Times New Roman" w:hAnsi="Times New Roman"/>
        </w:rPr>
        <w:t>, the practice is also know</w:t>
      </w:r>
      <w:r>
        <w:rPr>
          <w:rFonts w:ascii="Times New Roman" w:hAnsi="Times New Roman"/>
        </w:rPr>
        <w:t>n</w:t>
      </w:r>
      <w:r w:rsidR="00F549F2">
        <w:rPr>
          <w:rFonts w:ascii="Times New Roman" w:hAnsi="Times New Roman"/>
        </w:rPr>
        <w:t xml:space="preserve"> to </w:t>
      </w:r>
      <w:r w:rsidR="004D2024">
        <w:rPr>
          <w:rFonts w:ascii="Times New Roman" w:hAnsi="Times New Roman"/>
        </w:rPr>
        <w:t>cause severe and immediate pain.</w:t>
      </w:r>
      <w:r w:rsidR="001019FA">
        <w:rPr>
          <w:rStyle w:val="FootnoteReference"/>
          <w:rFonts w:ascii="Times New Roman" w:hAnsi="Times New Roman"/>
        </w:rPr>
        <w:footnoteReference w:id="38"/>
      </w:r>
      <w:r w:rsidR="00C34B25">
        <w:rPr>
          <w:rFonts w:ascii="Times New Roman" w:hAnsi="Times New Roman"/>
        </w:rPr>
        <w:t xml:space="preserve"> Other i</w:t>
      </w:r>
      <w:r w:rsidR="004D2024">
        <w:rPr>
          <w:rFonts w:ascii="Times New Roman" w:hAnsi="Times New Roman"/>
        </w:rPr>
        <w:t>mmediate and short-term physical health complications include:</w:t>
      </w:r>
    </w:p>
    <w:p w:rsidR="004D2024" w:rsidRDefault="004D2024" w:rsidP="009C0EE8">
      <w:pPr>
        <w:pStyle w:val="ColorfulList-Accent11"/>
        <w:numPr>
          <w:ilvl w:val="0"/>
          <w:numId w:val="25"/>
        </w:numPr>
        <w:spacing w:before="120"/>
        <w:jc w:val="both"/>
        <w:rPr>
          <w:rFonts w:ascii="Times New Roman" w:hAnsi="Times New Roman"/>
        </w:rPr>
      </w:pPr>
      <w:r w:rsidRPr="000853B5">
        <w:rPr>
          <w:rFonts w:ascii="Times New Roman" w:hAnsi="Times New Roman"/>
          <w:b/>
        </w:rPr>
        <w:t>Severe pain and injury to tissues</w:t>
      </w:r>
      <w:r>
        <w:rPr>
          <w:rFonts w:ascii="Times New Roman" w:hAnsi="Times New Roman"/>
        </w:rPr>
        <w:t>;</w:t>
      </w:r>
      <w:r w:rsidR="001019FA">
        <w:rPr>
          <w:rStyle w:val="FootnoteReference"/>
          <w:rFonts w:ascii="Times New Roman" w:hAnsi="Times New Roman"/>
        </w:rPr>
        <w:footnoteReference w:id="39"/>
      </w:r>
    </w:p>
    <w:p w:rsidR="004D2024" w:rsidRDefault="004D2024" w:rsidP="009C0EE8">
      <w:pPr>
        <w:pStyle w:val="ColorfulList-Accent11"/>
        <w:numPr>
          <w:ilvl w:val="0"/>
          <w:numId w:val="25"/>
        </w:numPr>
        <w:spacing w:before="120"/>
        <w:jc w:val="both"/>
        <w:rPr>
          <w:rFonts w:ascii="Times New Roman" w:hAnsi="Times New Roman"/>
        </w:rPr>
      </w:pPr>
      <w:r w:rsidRPr="000853B5">
        <w:rPr>
          <w:rFonts w:ascii="Times New Roman" w:hAnsi="Times New Roman"/>
          <w:b/>
        </w:rPr>
        <w:t>Hemorrhage</w:t>
      </w:r>
      <w:r>
        <w:rPr>
          <w:rFonts w:ascii="Times New Roman" w:hAnsi="Times New Roman"/>
        </w:rPr>
        <w:t xml:space="preserve"> (severe hemorrhage can lead to </w:t>
      </w:r>
      <w:r w:rsidRPr="009B4097">
        <w:rPr>
          <w:rFonts w:ascii="Times New Roman" w:hAnsi="Times New Roman"/>
          <w:b/>
          <w:i/>
        </w:rPr>
        <w:t>anemia</w:t>
      </w:r>
      <w:r>
        <w:rPr>
          <w:rFonts w:ascii="Times New Roman" w:hAnsi="Times New Roman"/>
        </w:rPr>
        <w:t>)</w:t>
      </w:r>
      <w:r w:rsidR="001019FA">
        <w:rPr>
          <w:rFonts w:ascii="Times New Roman" w:hAnsi="Times New Roman"/>
        </w:rPr>
        <w:t>, which is the most common and life-threatening complication of FGC</w:t>
      </w:r>
      <w:r>
        <w:rPr>
          <w:rFonts w:ascii="Times New Roman" w:hAnsi="Times New Roman"/>
        </w:rPr>
        <w:t>;</w:t>
      </w:r>
      <w:r w:rsidR="001019FA">
        <w:rPr>
          <w:rStyle w:val="FootnoteReference"/>
          <w:rFonts w:ascii="Times New Roman" w:hAnsi="Times New Roman"/>
        </w:rPr>
        <w:footnoteReference w:id="40"/>
      </w:r>
      <w:r>
        <w:rPr>
          <w:rFonts w:ascii="Times New Roman" w:hAnsi="Times New Roman"/>
        </w:rPr>
        <w:t xml:space="preserve"> </w:t>
      </w:r>
    </w:p>
    <w:p w:rsidR="004D2024" w:rsidRDefault="004D2024" w:rsidP="009C0EE8">
      <w:pPr>
        <w:pStyle w:val="ColorfulList-Accent11"/>
        <w:numPr>
          <w:ilvl w:val="0"/>
          <w:numId w:val="25"/>
        </w:numPr>
        <w:spacing w:before="120"/>
        <w:jc w:val="both"/>
        <w:rPr>
          <w:rFonts w:ascii="Times New Roman" w:hAnsi="Times New Roman"/>
        </w:rPr>
      </w:pPr>
      <w:r w:rsidRPr="000853B5">
        <w:rPr>
          <w:rFonts w:ascii="Times New Roman" w:hAnsi="Times New Roman"/>
          <w:b/>
        </w:rPr>
        <w:t>Hemorrhage shock</w:t>
      </w:r>
      <w:r w:rsidR="001019FA">
        <w:rPr>
          <w:rFonts w:ascii="Times New Roman" w:hAnsi="Times New Roman"/>
        </w:rPr>
        <w:t>, which can result in death within a relatively short time if the patient fails to receive adequate medical treatment</w:t>
      </w:r>
      <w:r>
        <w:rPr>
          <w:rFonts w:ascii="Times New Roman" w:hAnsi="Times New Roman"/>
        </w:rPr>
        <w:t>;</w:t>
      </w:r>
      <w:r w:rsidR="001019FA">
        <w:rPr>
          <w:rStyle w:val="FootnoteReference"/>
          <w:rFonts w:ascii="Times New Roman" w:hAnsi="Times New Roman"/>
        </w:rPr>
        <w:footnoteReference w:id="41"/>
      </w:r>
    </w:p>
    <w:p w:rsidR="004D2024" w:rsidRDefault="004D2024" w:rsidP="009C0EE8">
      <w:pPr>
        <w:pStyle w:val="ColorfulList-Accent11"/>
        <w:numPr>
          <w:ilvl w:val="0"/>
          <w:numId w:val="25"/>
        </w:numPr>
        <w:spacing w:before="120"/>
        <w:jc w:val="both"/>
        <w:rPr>
          <w:rFonts w:ascii="Times New Roman" w:hAnsi="Times New Roman"/>
        </w:rPr>
      </w:pPr>
      <w:r w:rsidRPr="000853B5">
        <w:rPr>
          <w:rFonts w:ascii="Times New Roman" w:hAnsi="Times New Roman"/>
          <w:b/>
        </w:rPr>
        <w:t>Infection and septicemia</w:t>
      </w:r>
      <w:r w:rsidR="006552E0">
        <w:rPr>
          <w:rFonts w:ascii="Times New Roman" w:hAnsi="Times New Roman"/>
        </w:rPr>
        <w:t>, which may occur when FGC is conducted in unhygienic surroundings and with dirty instruments, and if there is a lack of proper wound care following the procedure;</w:t>
      </w:r>
      <w:r w:rsidR="006552E0">
        <w:rPr>
          <w:rStyle w:val="FootnoteReference"/>
          <w:rFonts w:ascii="Times New Roman" w:hAnsi="Times New Roman"/>
        </w:rPr>
        <w:footnoteReference w:id="42"/>
      </w:r>
    </w:p>
    <w:p w:rsidR="004D2024" w:rsidRDefault="004D2024" w:rsidP="009C0EE8">
      <w:pPr>
        <w:pStyle w:val="ColorfulList-Accent11"/>
        <w:numPr>
          <w:ilvl w:val="0"/>
          <w:numId w:val="25"/>
        </w:numPr>
        <w:spacing w:before="120"/>
        <w:jc w:val="both"/>
        <w:rPr>
          <w:rFonts w:ascii="Times New Roman" w:hAnsi="Times New Roman"/>
        </w:rPr>
      </w:pPr>
      <w:r w:rsidRPr="000853B5">
        <w:rPr>
          <w:rFonts w:ascii="Times New Roman" w:hAnsi="Times New Roman"/>
          <w:b/>
        </w:rPr>
        <w:t>Genital tissue swelling</w:t>
      </w:r>
      <w:r w:rsidR="006552E0">
        <w:rPr>
          <w:rFonts w:ascii="Times New Roman" w:hAnsi="Times New Roman"/>
        </w:rPr>
        <w:t>, which is typically caused by cutting and damaging genital tissues but may also be caused by an acute local infection</w:t>
      </w:r>
      <w:r>
        <w:rPr>
          <w:rFonts w:ascii="Times New Roman" w:hAnsi="Times New Roman"/>
        </w:rPr>
        <w:t>;</w:t>
      </w:r>
      <w:r w:rsidR="00F84204">
        <w:rPr>
          <w:rStyle w:val="FootnoteReference"/>
          <w:rFonts w:ascii="Times New Roman" w:hAnsi="Times New Roman"/>
        </w:rPr>
        <w:footnoteReference w:id="43"/>
      </w:r>
      <w:r>
        <w:rPr>
          <w:rFonts w:ascii="Times New Roman" w:hAnsi="Times New Roman"/>
        </w:rPr>
        <w:t xml:space="preserve"> and</w:t>
      </w:r>
    </w:p>
    <w:p w:rsidR="004D2024" w:rsidRPr="004D2024" w:rsidRDefault="006552E0" w:rsidP="009C0EE8">
      <w:pPr>
        <w:pStyle w:val="ColorfulList-Accent11"/>
        <w:numPr>
          <w:ilvl w:val="0"/>
          <w:numId w:val="25"/>
        </w:numPr>
        <w:spacing w:before="120"/>
        <w:jc w:val="both"/>
        <w:rPr>
          <w:rFonts w:ascii="Times New Roman" w:hAnsi="Times New Roman"/>
        </w:rPr>
      </w:pPr>
      <w:r w:rsidRPr="000853B5">
        <w:rPr>
          <w:rFonts w:ascii="Times New Roman" w:hAnsi="Times New Roman"/>
          <w:b/>
        </w:rPr>
        <w:t>Acute urine retention</w:t>
      </w:r>
      <w:r>
        <w:rPr>
          <w:rFonts w:ascii="Times New Roman" w:hAnsi="Times New Roman"/>
        </w:rPr>
        <w:t xml:space="preserve">, which </w:t>
      </w:r>
      <w:r w:rsidR="00F84204">
        <w:rPr>
          <w:rFonts w:ascii="Times New Roman" w:hAnsi="Times New Roman"/>
        </w:rPr>
        <w:t>may be the result of injury, pain and a fear of urinating, or occlusion of the urethra during infibulation.</w:t>
      </w:r>
      <w:r w:rsidR="00F84204">
        <w:rPr>
          <w:rStyle w:val="FootnoteReference"/>
          <w:rFonts w:ascii="Times New Roman" w:hAnsi="Times New Roman"/>
        </w:rPr>
        <w:footnoteReference w:id="44"/>
      </w:r>
    </w:p>
    <w:p w:rsidR="00F60DA5" w:rsidRDefault="00C34B25" w:rsidP="00315FA8">
      <w:pPr>
        <w:pStyle w:val="ColorfulList-Accent11"/>
        <w:spacing w:before="360" w:line="480" w:lineRule="auto"/>
        <w:ind w:left="0" w:firstLine="720"/>
        <w:jc w:val="both"/>
        <w:rPr>
          <w:rFonts w:ascii="Times New Roman" w:hAnsi="Times New Roman"/>
        </w:rPr>
      </w:pPr>
      <w:r>
        <w:rPr>
          <w:rFonts w:ascii="Times New Roman" w:hAnsi="Times New Roman"/>
        </w:rPr>
        <w:t>Women and girls</w:t>
      </w:r>
      <w:r w:rsidR="00F60DA5">
        <w:rPr>
          <w:rFonts w:ascii="Times New Roman" w:hAnsi="Times New Roman"/>
        </w:rPr>
        <w:t xml:space="preserve"> who undergo FGC can also suffer health complications and conditions that surface months or even years following the procedure.</w:t>
      </w:r>
      <w:r w:rsidR="00F60DA5">
        <w:rPr>
          <w:rStyle w:val="FootnoteReference"/>
          <w:rFonts w:ascii="Times New Roman" w:hAnsi="Times New Roman"/>
        </w:rPr>
        <w:footnoteReference w:id="45"/>
      </w:r>
      <w:r w:rsidR="00FB1B21">
        <w:rPr>
          <w:rFonts w:ascii="Times New Roman" w:hAnsi="Times New Roman"/>
        </w:rPr>
        <w:t xml:space="preserve"> </w:t>
      </w:r>
      <w:r w:rsidR="00F60DA5">
        <w:rPr>
          <w:rFonts w:ascii="Times New Roman" w:hAnsi="Times New Roman"/>
        </w:rPr>
        <w:t>Long-term gynecological and</w:t>
      </w:r>
      <w:r w:rsidR="00F60DA5" w:rsidRPr="00F60DA5">
        <w:t xml:space="preserve"> </w:t>
      </w:r>
      <w:proofErr w:type="spellStart"/>
      <w:r w:rsidR="00FB1B21">
        <w:rPr>
          <w:rFonts w:ascii="Times New Roman" w:hAnsi="Times New Roman"/>
        </w:rPr>
        <w:t>urogyne</w:t>
      </w:r>
      <w:r w:rsidR="00F60DA5" w:rsidRPr="00F60DA5">
        <w:rPr>
          <w:rFonts w:ascii="Times New Roman" w:hAnsi="Times New Roman"/>
        </w:rPr>
        <w:t>cological</w:t>
      </w:r>
      <w:proofErr w:type="spellEnd"/>
      <w:r w:rsidR="00F60DA5">
        <w:rPr>
          <w:rFonts w:ascii="Times New Roman" w:hAnsi="Times New Roman"/>
        </w:rPr>
        <w:t xml:space="preserve"> health consequences stemming from FGC include:</w:t>
      </w:r>
    </w:p>
    <w:p w:rsidR="00FB1B21" w:rsidRDefault="00FB1B21" w:rsidP="009C0EE8">
      <w:pPr>
        <w:pStyle w:val="ColorfulList-Accent11"/>
        <w:numPr>
          <w:ilvl w:val="0"/>
          <w:numId w:val="26"/>
        </w:numPr>
        <w:jc w:val="both"/>
        <w:rPr>
          <w:rFonts w:ascii="Times New Roman" w:hAnsi="Times New Roman"/>
        </w:rPr>
      </w:pPr>
      <w:r w:rsidRPr="009B4097">
        <w:rPr>
          <w:rFonts w:ascii="Times New Roman" w:hAnsi="Times New Roman"/>
          <w:b/>
        </w:rPr>
        <w:t>Chronic vulvar pain</w:t>
      </w:r>
      <w:r w:rsidR="009B4097">
        <w:rPr>
          <w:rFonts w:ascii="Times New Roman" w:hAnsi="Times New Roman"/>
        </w:rPr>
        <w:t xml:space="preserve">, which often manifests during sexual intercourse but may arise during daily activities, and has been linked to mental health disorders, including </w:t>
      </w:r>
      <w:r w:rsidR="009B4097" w:rsidRPr="009B4097">
        <w:rPr>
          <w:rFonts w:ascii="Times New Roman" w:hAnsi="Times New Roman"/>
          <w:b/>
          <w:i/>
        </w:rPr>
        <w:t>anxiety</w:t>
      </w:r>
      <w:r w:rsidR="009B4097">
        <w:rPr>
          <w:rFonts w:ascii="Times New Roman" w:hAnsi="Times New Roman"/>
        </w:rPr>
        <w:t xml:space="preserve">, </w:t>
      </w:r>
      <w:r w:rsidR="009B4097" w:rsidRPr="009B4097">
        <w:rPr>
          <w:rFonts w:ascii="Times New Roman" w:hAnsi="Times New Roman"/>
          <w:b/>
          <w:i/>
        </w:rPr>
        <w:t>depression</w:t>
      </w:r>
      <w:r w:rsidR="009B4097">
        <w:rPr>
          <w:rFonts w:ascii="Times New Roman" w:hAnsi="Times New Roman"/>
        </w:rPr>
        <w:t xml:space="preserve"> and </w:t>
      </w:r>
      <w:r w:rsidR="009B4097" w:rsidRPr="009B4097">
        <w:rPr>
          <w:rFonts w:ascii="Times New Roman" w:hAnsi="Times New Roman"/>
          <w:b/>
          <w:i/>
        </w:rPr>
        <w:t>post-traumatic stress disorder</w:t>
      </w:r>
      <w:r>
        <w:rPr>
          <w:rFonts w:ascii="Times New Roman" w:hAnsi="Times New Roman"/>
        </w:rPr>
        <w:t>;</w:t>
      </w:r>
      <w:r w:rsidR="009B4097">
        <w:rPr>
          <w:rStyle w:val="FootnoteReference"/>
          <w:rFonts w:ascii="Times New Roman" w:hAnsi="Times New Roman"/>
        </w:rPr>
        <w:footnoteReference w:id="46"/>
      </w:r>
    </w:p>
    <w:p w:rsidR="00FB1B21" w:rsidRDefault="00FB1B21" w:rsidP="009C0EE8">
      <w:pPr>
        <w:pStyle w:val="ColorfulList-Accent11"/>
        <w:numPr>
          <w:ilvl w:val="0"/>
          <w:numId w:val="26"/>
        </w:numPr>
        <w:spacing w:before="120"/>
        <w:jc w:val="both"/>
        <w:rPr>
          <w:rFonts w:ascii="Times New Roman" w:hAnsi="Times New Roman"/>
        </w:rPr>
      </w:pPr>
      <w:r w:rsidRPr="00786DE5">
        <w:rPr>
          <w:rFonts w:ascii="Times New Roman" w:hAnsi="Times New Roman"/>
          <w:b/>
        </w:rPr>
        <w:t>Clitoral neuroma</w:t>
      </w:r>
      <w:r w:rsidR="00786DE5">
        <w:rPr>
          <w:rFonts w:ascii="Times New Roman" w:hAnsi="Times New Roman"/>
        </w:rPr>
        <w:t>, a benign tumor, resulting from the section or injury of a nerve, which can be asymptomatic or it may cause pain upon stimulation</w:t>
      </w:r>
      <w:r>
        <w:rPr>
          <w:rFonts w:ascii="Times New Roman" w:hAnsi="Times New Roman"/>
        </w:rPr>
        <w:t>;</w:t>
      </w:r>
      <w:r w:rsidR="00786DE5">
        <w:rPr>
          <w:rStyle w:val="FootnoteReference"/>
          <w:rFonts w:ascii="Times New Roman" w:hAnsi="Times New Roman"/>
        </w:rPr>
        <w:footnoteReference w:id="47"/>
      </w:r>
      <w:r>
        <w:rPr>
          <w:rFonts w:ascii="Times New Roman" w:hAnsi="Times New Roman"/>
        </w:rPr>
        <w:t xml:space="preserve"> </w:t>
      </w:r>
    </w:p>
    <w:p w:rsidR="00FB1B21" w:rsidRDefault="00FB1B21" w:rsidP="009C0EE8">
      <w:pPr>
        <w:pStyle w:val="ColorfulList-Accent11"/>
        <w:numPr>
          <w:ilvl w:val="0"/>
          <w:numId w:val="26"/>
        </w:numPr>
        <w:spacing w:before="120"/>
        <w:jc w:val="both"/>
        <w:rPr>
          <w:rFonts w:ascii="Times New Roman" w:hAnsi="Times New Roman"/>
        </w:rPr>
      </w:pPr>
      <w:r w:rsidRPr="00786DE5">
        <w:rPr>
          <w:rFonts w:ascii="Times New Roman" w:hAnsi="Times New Roman"/>
          <w:b/>
        </w:rPr>
        <w:t>Reproductive tract infections</w:t>
      </w:r>
      <w:r w:rsidR="00786DE5">
        <w:rPr>
          <w:rFonts w:ascii="Times New Roman" w:hAnsi="Times New Roman"/>
          <w:b/>
        </w:rPr>
        <w:t xml:space="preserve"> (RTIs)</w:t>
      </w:r>
      <w:r w:rsidR="00786DE5">
        <w:rPr>
          <w:rFonts w:ascii="Times New Roman" w:hAnsi="Times New Roman"/>
        </w:rPr>
        <w:t>, including bacterial vaginosis, RTIs can be painful, may be accompanied by abnormal vaginal discharge, can be recurrent and, if left untreated, may become persistent and lead to pelvic inflammatory disease</w:t>
      </w:r>
      <w:r>
        <w:rPr>
          <w:rFonts w:ascii="Times New Roman" w:hAnsi="Times New Roman"/>
        </w:rPr>
        <w:t>;</w:t>
      </w:r>
      <w:r w:rsidR="00786DE5">
        <w:rPr>
          <w:rStyle w:val="FootnoteReference"/>
          <w:rFonts w:ascii="Times New Roman" w:hAnsi="Times New Roman"/>
        </w:rPr>
        <w:footnoteReference w:id="48"/>
      </w:r>
    </w:p>
    <w:p w:rsidR="00FB1B21" w:rsidRDefault="00FB1B21" w:rsidP="009C0EE8">
      <w:pPr>
        <w:pStyle w:val="ColorfulList-Accent11"/>
        <w:numPr>
          <w:ilvl w:val="0"/>
          <w:numId w:val="26"/>
        </w:numPr>
        <w:spacing w:before="120"/>
        <w:jc w:val="both"/>
        <w:rPr>
          <w:rFonts w:ascii="Times New Roman" w:hAnsi="Times New Roman"/>
        </w:rPr>
      </w:pPr>
      <w:r w:rsidRPr="0026314F">
        <w:rPr>
          <w:rFonts w:ascii="Times New Roman" w:hAnsi="Times New Roman"/>
          <w:b/>
        </w:rPr>
        <w:t>Menstrual problems</w:t>
      </w:r>
      <w:r>
        <w:rPr>
          <w:rFonts w:ascii="Times New Roman" w:hAnsi="Times New Roman"/>
        </w:rPr>
        <w:t xml:space="preserve"> (such as dysmenorrhea, which is painful menstruation, and difficulty in passing menstrual blood)</w:t>
      </w:r>
      <w:r w:rsidR="0026314F">
        <w:rPr>
          <w:rFonts w:ascii="Times New Roman" w:hAnsi="Times New Roman"/>
        </w:rPr>
        <w:t>, which may be a result of tight infibulation or severe scarring leading to narrowing of the vaginal orifice, not allowing normal menstrual flow;</w:t>
      </w:r>
      <w:r w:rsidR="0026314F">
        <w:rPr>
          <w:rStyle w:val="FootnoteReference"/>
          <w:rFonts w:ascii="Times New Roman" w:hAnsi="Times New Roman"/>
        </w:rPr>
        <w:footnoteReference w:id="49"/>
      </w:r>
    </w:p>
    <w:p w:rsidR="00FB1B21" w:rsidRDefault="00FB1B21" w:rsidP="009C0EE8">
      <w:pPr>
        <w:pStyle w:val="ColorfulList-Accent11"/>
        <w:numPr>
          <w:ilvl w:val="0"/>
          <w:numId w:val="26"/>
        </w:numPr>
        <w:spacing w:before="120"/>
        <w:jc w:val="both"/>
        <w:rPr>
          <w:rFonts w:ascii="Times New Roman" w:hAnsi="Times New Roman"/>
        </w:rPr>
      </w:pPr>
      <w:r w:rsidRPr="00466104">
        <w:rPr>
          <w:rFonts w:ascii="Times New Roman" w:hAnsi="Times New Roman"/>
          <w:b/>
        </w:rPr>
        <w:t>Urinary tract infections</w:t>
      </w:r>
      <w:r w:rsidR="00AA41BB">
        <w:rPr>
          <w:rFonts w:ascii="Times New Roman" w:hAnsi="Times New Roman"/>
          <w:b/>
        </w:rPr>
        <w:t xml:space="preserve"> (UTIs)</w:t>
      </w:r>
      <w:r>
        <w:rPr>
          <w:rFonts w:ascii="Times New Roman" w:hAnsi="Times New Roman"/>
        </w:rPr>
        <w:t xml:space="preserve"> (often recurrent)</w:t>
      </w:r>
      <w:r w:rsidR="00466104">
        <w:rPr>
          <w:rFonts w:ascii="Times New Roman" w:hAnsi="Times New Roman"/>
        </w:rPr>
        <w:t xml:space="preserve">, </w:t>
      </w:r>
      <w:r w:rsidR="002C7745">
        <w:rPr>
          <w:rFonts w:ascii="Times New Roman" w:hAnsi="Times New Roman"/>
        </w:rPr>
        <w:t>mostly affecting women</w:t>
      </w:r>
      <w:r w:rsidR="00C34B25">
        <w:rPr>
          <w:rFonts w:ascii="Times New Roman" w:hAnsi="Times New Roman"/>
        </w:rPr>
        <w:t xml:space="preserve"> and girls</w:t>
      </w:r>
      <w:r w:rsidR="002C7745">
        <w:rPr>
          <w:rFonts w:ascii="Times New Roman" w:hAnsi="Times New Roman"/>
        </w:rPr>
        <w:t xml:space="preserve"> who have undergone infibulation, it may occur due to obstruction and stasis of urine or due to injury of the urethral opening, affecting the normal flow of urine, causing it to stagnate and making is susceptible to bacterial growth</w:t>
      </w:r>
      <w:r>
        <w:rPr>
          <w:rFonts w:ascii="Times New Roman" w:hAnsi="Times New Roman"/>
        </w:rPr>
        <w:t>;</w:t>
      </w:r>
      <w:r w:rsidR="002C7745">
        <w:rPr>
          <w:rStyle w:val="FootnoteReference"/>
          <w:rFonts w:ascii="Times New Roman" w:hAnsi="Times New Roman"/>
        </w:rPr>
        <w:footnoteReference w:id="50"/>
      </w:r>
    </w:p>
    <w:p w:rsidR="00AA41BB" w:rsidRDefault="00FB1B21" w:rsidP="009C0EE8">
      <w:pPr>
        <w:pStyle w:val="ColorfulList-Accent11"/>
        <w:numPr>
          <w:ilvl w:val="0"/>
          <w:numId w:val="26"/>
        </w:numPr>
        <w:spacing w:before="120"/>
        <w:jc w:val="both"/>
        <w:rPr>
          <w:rFonts w:ascii="Times New Roman" w:hAnsi="Times New Roman"/>
        </w:rPr>
      </w:pPr>
      <w:r w:rsidRPr="00AA41BB">
        <w:rPr>
          <w:rFonts w:ascii="Times New Roman" w:hAnsi="Times New Roman"/>
          <w:b/>
        </w:rPr>
        <w:t>Painful or difficult urination</w:t>
      </w:r>
      <w:r w:rsidR="00AA41BB">
        <w:rPr>
          <w:rFonts w:ascii="Times New Roman" w:hAnsi="Times New Roman"/>
        </w:rPr>
        <w:t>, possibly caused by a UTI, or difficulty passing urine due to damage to or partial obstruction of the urethral opening so that “urine can only exit drop by drop and will frequently continue leaking after urination has stopped</w:t>
      </w:r>
      <w:r>
        <w:rPr>
          <w:rFonts w:ascii="Times New Roman" w:hAnsi="Times New Roman"/>
        </w:rPr>
        <w:t>;</w:t>
      </w:r>
      <w:r w:rsidR="00AA41BB">
        <w:rPr>
          <w:rFonts w:ascii="Times New Roman" w:hAnsi="Times New Roman"/>
        </w:rPr>
        <w:t>”</w:t>
      </w:r>
      <w:r w:rsidR="00AA41BB">
        <w:rPr>
          <w:rStyle w:val="FootnoteReference"/>
          <w:rFonts w:ascii="Times New Roman" w:hAnsi="Times New Roman"/>
        </w:rPr>
        <w:footnoteReference w:id="51"/>
      </w:r>
      <w:r>
        <w:rPr>
          <w:rFonts w:ascii="Times New Roman" w:hAnsi="Times New Roman"/>
        </w:rPr>
        <w:t xml:space="preserve"> and</w:t>
      </w:r>
    </w:p>
    <w:p w:rsidR="00FB1B21" w:rsidRPr="00683C84" w:rsidRDefault="00FB1B21" w:rsidP="009C0EE8">
      <w:pPr>
        <w:pStyle w:val="ColorfulList-Accent11"/>
        <w:numPr>
          <w:ilvl w:val="0"/>
          <w:numId w:val="26"/>
        </w:numPr>
        <w:spacing w:before="120"/>
        <w:jc w:val="both"/>
        <w:rPr>
          <w:rFonts w:ascii="Times New Roman" w:hAnsi="Times New Roman"/>
        </w:rPr>
      </w:pPr>
      <w:r w:rsidRPr="00683C84">
        <w:rPr>
          <w:rFonts w:ascii="Times New Roman" w:hAnsi="Times New Roman"/>
          <w:b/>
        </w:rPr>
        <w:t>Epidermal inclusion cysts</w:t>
      </w:r>
      <w:r w:rsidR="00683C84">
        <w:rPr>
          <w:rFonts w:ascii="Times New Roman" w:hAnsi="Times New Roman"/>
        </w:rPr>
        <w:t xml:space="preserve"> and </w:t>
      </w:r>
      <w:r w:rsidR="00683C84" w:rsidRPr="00683C84">
        <w:rPr>
          <w:rFonts w:ascii="Times New Roman" w:hAnsi="Times New Roman"/>
          <w:b/>
        </w:rPr>
        <w:t>keloids</w:t>
      </w:r>
      <w:r w:rsidR="00683C84" w:rsidRPr="00683C84">
        <w:rPr>
          <w:rFonts w:ascii="Times New Roman" w:hAnsi="Times New Roman"/>
        </w:rPr>
        <w:t xml:space="preserve"> in the genital area, </w:t>
      </w:r>
      <w:r w:rsidR="00683C84">
        <w:rPr>
          <w:rFonts w:ascii="Times New Roman" w:hAnsi="Times New Roman"/>
        </w:rPr>
        <w:t xml:space="preserve">which can cause discomfort during sexual intercourse and possible obstruction of the vaginal opening during childbirth. </w:t>
      </w:r>
    </w:p>
    <w:p w:rsidR="009B4097" w:rsidRDefault="00315FA8" w:rsidP="00315FA8">
      <w:pPr>
        <w:pStyle w:val="ColorfulList-Accent11"/>
        <w:spacing w:before="240" w:line="480" w:lineRule="auto"/>
        <w:ind w:left="0" w:firstLine="720"/>
        <w:jc w:val="both"/>
        <w:rPr>
          <w:rFonts w:ascii="Times New Roman" w:hAnsi="Times New Roman"/>
        </w:rPr>
      </w:pPr>
      <w:r w:rsidRPr="00315FA8">
        <w:rPr>
          <w:rFonts w:ascii="Times New Roman" w:hAnsi="Times New Roman"/>
        </w:rPr>
        <w:t xml:space="preserve">Given the </w:t>
      </w:r>
      <w:r>
        <w:rPr>
          <w:rFonts w:ascii="Times New Roman" w:hAnsi="Times New Roman"/>
        </w:rPr>
        <w:t>numerous health complications that women</w:t>
      </w:r>
      <w:r w:rsidR="00C34B25">
        <w:rPr>
          <w:rFonts w:ascii="Times New Roman" w:hAnsi="Times New Roman"/>
        </w:rPr>
        <w:t xml:space="preserve"> and girls</w:t>
      </w:r>
      <w:r>
        <w:rPr>
          <w:rFonts w:ascii="Times New Roman" w:hAnsi="Times New Roman"/>
        </w:rPr>
        <w:t xml:space="preserve"> may suffer as a </w:t>
      </w:r>
      <w:r w:rsidR="006405F2">
        <w:rPr>
          <w:rFonts w:ascii="Times New Roman" w:hAnsi="Times New Roman"/>
        </w:rPr>
        <w:t xml:space="preserve">result </w:t>
      </w:r>
      <w:r>
        <w:rPr>
          <w:rFonts w:ascii="Times New Roman" w:hAnsi="Times New Roman"/>
        </w:rPr>
        <w:t xml:space="preserve">of having undergone FGC, </w:t>
      </w:r>
      <w:r w:rsidR="006405F2">
        <w:rPr>
          <w:rFonts w:ascii="Times New Roman" w:hAnsi="Times New Roman"/>
        </w:rPr>
        <w:t xml:space="preserve">there are also numerous </w:t>
      </w:r>
      <w:r w:rsidR="00496B76">
        <w:rPr>
          <w:rFonts w:ascii="Times New Roman" w:hAnsi="Times New Roman"/>
        </w:rPr>
        <w:t xml:space="preserve">sexual and </w:t>
      </w:r>
      <w:r w:rsidR="006405F2">
        <w:rPr>
          <w:rFonts w:ascii="Times New Roman" w:hAnsi="Times New Roman"/>
        </w:rPr>
        <w:t xml:space="preserve">reproductive health, family planning and psychological consequences of the procedure. </w:t>
      </w:r>
      <w:r w:rsidR="00496B76">
        <w:rPr>
          <w:rFonts w:ascii="Times New Roman" w:hAnsi="Times New Roman"/>
        </w:rPr>
        <w:t>With regard to sexual health, the removal of highly sensitive genital tissue, and the clitoris in particular, may affect sexual sensitivity and lead to sexual problems, including low sexual desire and pleasure, pain during sex, difficulty during penetration, little to no lubrication during intercourse, and reduced frequency or absence of orgasm.</w:t>
      </w:r>
      <w:r w:rsidR="00496B76">
        <w:rPr>
          <w:rStyle w:val="FootnoteReference"/>
          <w:rFonts w:ascii="Times New Roman" w:hAnsi="Times New Roman"/>
        </w:rPr>
        <w:footnoteReference w:id="52"/>
      </w:r>
      <w:r w:rsidR="00514B70">
        <w:rPr>
          <w:rFonts w:ascii="Times New Roman" w:hAnsi="Times New Roman"/>
        </w:rPr>
        <w:t xml:space="preserve"> Furthermore, FGC is associated with an increased risk of </w:t>
      </w:r>
      <w:r w:rsidR="009C0EE8">
        <w:rPr>
          <w:rFonts w:ascii="Times New Roman" w:hAnsi="Times New Roman"/>
        </w:rPr>
        <w:t>h</w:t>
      </w:r>
      <w:r w:rsidR="00514B70">
        <w:rPr>
          <w:rFonts w:ascii="Times New Roman" w:hAnsi="Times New Roman"/>
        </w:rPr>
        <w:t>uman immunodeficiency virus (HIV).</w:t>
      </w:r>
      <w:r w:rsidR="00514B70">
        <w:rPr>
          <w:rStyle w:val="FootnoteReference"/>
          <w:rFonts w:ascii="Times New Roman" w:hAnsi="Times New Roman"/>
        </w:rPr>
        <w:footnoteReference w:id="53"/>
      </w:r>
    </w:p>
    <w:p w:rsidR="00514B70" w:rsidRDefault="00514B70" w:rsidP="00514B70">
      <w:pPr>
        <w:pStyle w:val="ColorfulList-Accent11"/>
        <w:spacing w:line="480" w:lineRule="auto"/>
        <w:ind w:left="0" w:firstLine="720"/>
        <w:jc w:val="both"/>
        <w:rPr>
          <w:rFonts w:ascii="Times New Roman" w:hAnsi="Times New Roman"/>
        </w:rPr>
      </w:pPr>
      <w:r>
        <w:rPr>
          <w:rFonts w:ascii="Times New Roman" w:hAnsi="Times New Roman"/>
        </w:rPr>
        <w:t>FGC is also associated with a number of obstetric complications, including an increased risk of Caesarean section (C-section),</w:t>
      </w:r>
      <w:r w:rsidRPr="00514B70">
        <w:t xml:space="preserve"> </w:t>
      </w:r>
      <w:r w:rsidRPr="00514B70">
        <w:rPr>
          <w:rFonts w:ascii="Times New Roman" w:hAnsi="Times New Roman"/>
        </w:rPr>
        <w:t xml:space="preserve">post-partum hemorrhage, recourse to episiotomy, difficult labor, obstetric tears/lacerations, instrumental delivery, prolonged labor and </w:t>
      </w:r>
      <w:r>
        <w:rPr>
          <w:rFonts w:ascii="Times New Roman" w:hAnsi="Times New Roman"/>
        </w:rPr>
        <w:t xml:space="preserve">an </w:t>
      </w:r>
      <w:r w:rsidRPr="00514B70">
        <w:rPr>
          <w:rFonts w:ascii="Times New Roman" w:hAnsi="Times New Roman"/>
        </w:rPr>
        <w:t>extended maternal hospital stay</w:t>
      </w:r>
      <w:r>
        <w:rPr>
          <w:rFonts w:ascii="Times New Roman" w:hAnsi="Times New Roman"/>
        </w:rPr>
        <w:t>.</w:t>
      </w:r>
      <w:r>
        <w:rPr>
          <w:rStyle w:val="FootnoteReference"/>
          <w:rFonts w:ascii="Times New Roman" w:hAnsi="Times New Roman"/>
        </w:rPr>
        <w:footnoteReference w:id="54"/>
      </w:r>
      <w:r>
        <w:rPr>
          <w:rFonts w:ascii="Times New Roman" w:hAnsi="Times New Roman"/>
        </w:rPr>
        <w:t xml:space="preserve"> </w:t>
      </w:r>
      <w:r w:rsidR="00814156">
        <w:rPr>
          <w:rFonts w:ascii="Times New Roman" w:hAnsi="Times New Roman"/>
        </w:rPr>
        <w:t>Thought a direct association between FGC and obstetric fistula has not been established,</w:t>
      </w:r>
      <w:r>
        <w:rPr>
          <w:rFonts w:ascii="Times New Roman" w:hAnsi="Times New Roman"/>
        </w:rPr>
        <w:t xml:space="preserve"> the causal relationship between prolonged and obstructed labor an</w:t>
      </w:r>
      <w:r w:rsidR="00814156">
        <w:rPr>
          <w:rFonts w:ascii="Times New Roman" w:hAnsi="Times New Roman"/>
        </w:rPr>
        <w:t>d fistula indicates that both conditions could be linked in women who have undergone FGC</w:t>
      </w:r>
      <w:r>
        <w:rPr>
          <w:rFonts w:ascii="Times New Roman" w:hAnsi="Times New Roman"/>
        </w:rPr>
        <w:t>.</w:t>
      </w:r>
      <w:r w:rsidR="00814156">
        <w:rPr>
          <w:rStyle w:val="FootnoteReference"/>
          <w:rFonts w:ascii="Times New Roman" w:hAnsi="Times New Roman"/>
        </w:rPr>
        <w:footnoteReference w:id="55"/>
      </w:r>
      <w:r w:rsidR="00814156">
        <w:rPr>
          <w:rFonts w:ascii="Times New Roman" w:hAnsi="Times New Roman"/>
        </w:rPr>
        <w:t xml:space="preserve"> P</w:t>
      </w:r>
      <w:r>
        <w:rPr>
          <w:rFonts w:ascii="Times New Roman" w:hAnsi="Times New Roman"/>
        </w:rPr>
        <w:t>erinatal risks</w:t>
      </w:r>
      <w:r w:rsidR="00814156">
        <w:rPr>
          <w:rFonts w:ascii="Times New Roman" w:hAnsi="Times New Roman"/>
        </w:rPr>
        <w:t xml:space="preserve"> of FGC</w:t>
      </w:r>
      <w:r>
        <w:rPr>
          <w:rFonts w:ascii="Times New Roman" w:hAnsi="Times New Roman"/>
        </w:rPr>
        <w:t xml:space="preserve"> include</w:t>
      </w:r>
      <w:r w:rsidR="00814156">
        <w:rPr>
          <w:rFonts w:ascii="Times New Roman" w:hAnsi="Times New Roman"/>
        </w:rPr>
        <w:t xml:space="preserve"> a higher incidence of infant resuscitation at delivery and intrapartum stillbirth and neonatal death.</w:t>
      </w:r>
      <w:r w:rsidR="00814156">
        <w:rPr>
          <w:rStyle w:val="FootnoteReference"/>
          <w:rFonts w:ascii="Times New Roman" w:hAnsi="Times New Roman"/>
        </w:rPr>
        <w:footnoteReference w:id="56"/>
      </w:r>
    </w:p>
    <w:p w:rsidR="00814156" w:rsidRDefault="00814156" w:rsidP="00514B70">
      <w:pPr>
        <w:pStyle w:val="ColorfulList-Accent11"/>
        <w:spacing w:line="480" w:lineRule="auto"/>
        <w:ind w:left="0" w:firstLine="720"/>
        <w:jc w:val="both"/>
        <w:rPr>
          <w:rFonts w:ascii="Times New Roman" w:hAnsi="Times New Roman"/>
        </w:rPr>
      </w:pPr>
      <w:r>
        <w:rPr>
          <w:rFonts w:ascii="Times New Roman" w:hAnsi="Times New Roman"/>
        </w:rPr>
        <w:t>Last</w:t>
      </w:r>
      <w:r w:rsidR="002870BF">
        <w:rPr>
          <w:rFonts w:ascii="Times New Roman" w:hAnsi="Times New Roman"/>
        </w:rPr>
        <w:t>ly, as aforementioned, FGC procedures can be a traumatic experience, adversely affecting the survivor’s mental health. They physical and sexual health complications that may arise from FGC can also have negative psychological consequences</w:t>
      </w:r>
      <w:r w:rsidR="00F70FD2">
        <w:rPr>
          <w:rFonts w:ascii="Times New Roman" w:hAnsi="Times New Roman"/>
        </w:rPr>
        <w:t>, as can any follow-up medical procedures</w:t>
      </w:r>
      <w:r w:rsidR="002870BF">
        <w:rPr>
          <w:rFonts w:ascii="Times New Roman" w:hAnsi="Times New Roman"/>
        </w:rPr>
        <w:t>.</w:t>
      </w:r>
      <w:r w:rsidR="002870BF">
        <w:rPr>
          <w:rStyle w:val="FootnoteReference"/>
          <w:rFonts w:ascii="Times New Roman" w:hAnsi="Times New Roman"/>
        </w:rPr>
        <w:footnoteReference w:id="57"/>
      </w:r>
      <w:r w:rsidR="00F70FD2">
        <w:rPr>
          <w:rFonts w:ascii="Times New Roman" w:hAnsi="Times New Roman"/>
        </w:rPr>
        <w:t xml:space="preserve"> Undergoing FGC has been associated with a range of mental health problems, including:</w:t>
      </w:r>
    </w:p>
    <w:p w:rsidR="00F70FD2" w:rsidRDefault="00F70FD2" w:rsidP="00F70FD2">
      <w:pPr>
        <w:pStyle w:val="ColorfulList-Accent11"/>
        <w:numPr>
          <w:ilvl w:val="0"/>
          <w:numId w:val="27"/>
        </w:numPr>
        <w:jc w:val="both"/>
        <w:rPr>
          <w:rFonts w:ascii="Times New Roman" w:hAnsi="Times New Roman"/>
        </w:rPr>
      </w:pPr>
      <w:r w:rsidRPr="00F70FD2">
        <w:rPr>
          <w:rFonts w:ascii="Times New Roman" w:hAnsi="Times New Roman"/>
          <w:b/>
        </w:rPr>
        <w:t>Depression</w:t>
      </w:r>
      <w:r>
        <w:rPr>
          <w:rFonts w:ascii="Times New Roman" w:hAnsi="Times New Roman"/>
        </w:rPr>
        <w:t>;</w:t>
      </w:r>
    </w:p>
    <w:p w:rsidR="00F70FD2" w:rsidRDefault="00F70FD2" w:rsidP="00F70FD2">
      <w:pPr>
        <w:pStyle w:val="ColorfulList-Accent11"/>
        <w:numPr>
          <w:ilvl w:val="0"/>
          <w:numId w:val="27"/>
        </w:numPr>
        <w:spacing w:before="120"/>
        <w:jc w:val="both"/>
        <w:rPr>
          <w:rFonts w:ascii="Times New Roman" w:hAnsi="Times New Roman"/>
        </w:rPr>
      </w:pPr>
      <w:r w:rsidRPr="00F70FD2">
        <w:rPr>
          <w:rFonts w:ascii="Times New Roman" w:hAnsi="Times New Roman"/>
          <w:b/>
        </w:rPr>
        <w:t>Anxiety disorders</w:t>
      </w:r>
      <w:r>
        <w:rPr>
          <w:rFonts w:ascii="Times New Roman" w:hAnsi="Times New Roman"/>
        </w:rPr>
        <w:t>;</w:t>
      </w:r>
    </w:p>
    <w:p w:rsidR="00F70FD2" w:rsidRDefault="00F70FD2" w:rsidP="00F70FD2">
      <w:pPr>
        <w:pStyle w:val="ColorfulList-Accent11"/>
        <w:numPr>
          <w:ilvl w:val="0"/>
          <w:numId w:val="27"/>
        </w:numPr>
        <w:spacing w:before="120"/>
        <w:jc w:val="both"/>
        <w:rPr>
          <w:rFonts w:ascii="Times New Roman" w:hAnsi="Times New Roman"/>
        </w:rPr>
      </w:pPr>
      <w:r w:rsidRPr="00F70FD2">
        <w:rPr>
          <w:rFonts w:ascii="Times New Roman" w:hAnsi="Times New Roman"/>
          <w:b/>
        </w:rPr>
        <w:t>Post-traumatic stress disorder (PTSD)</w:t>
      </w:r>
      <w:r>
        <w:rPr>
          <w:rFonts w:ascii="Times New Roman" w:hAnsi="Times New Roman"/>
        </w:rPr>
        <w:t>; and</w:t>
      </w:r>
    </w:p>
    <w:p w:rsidR="00F70FD2" w:rsidRDefault="00F70FD2" w:rsidP="00F70FD2">
      <w:pPr>
        <w:pStyle w:val="ColorfulList-Accent11"/>
        <w:numPr>
          <w:ilvl w:val="0"/>
          <w:numId w:val="27"/>
        </w:numPr>
        <w:spacing w:before="120"/>
        <w:jc w:val="both"/>
        <w:rPr>
          <w:rFonts w:ascii="Times New Roman" w:hAnsi="Times New Roman"/>
        </w:rPr>
      </w:pPr>
      <w:r w:rsidRPr="00F70FD2">
        <w:rPr>
          <w:rFonts w:ascii="Times New Roman" w:hAnsi="Times New Roman"/>
          <w:b/>
        </w:rPr>
        <w:t>Somatic complaints</w:t>
      </w:r>
      <w:r>
        <w:rPr>
          <w:rFonts w:ascii="Times New Roman" w:hAnsi="Times New Roman"/>
        </w:rPr>
        <w:t>, which are physical p</w:t>
      </w:r>
      <w:r w:rsidR="001112C2">
        <w:rPr>
          <w:rFonts w:ascii="Times New Roman" w:hAnsi="Times New Roman"/>
        </w:rPr>
        <w:t>ains that lack an organic cause.</w:t>
      </w:r>
    </w:p>
    <w:p w:rsidR="00F70FD2" w:rsidRDefault="001112C2" w:rsidP="001112C2">
      <w:pPr>
        <w:pStyle w:val="ColorfulList-Accent11"/>
        <w:spacing w:before="360" w:line="480" w:lineRule="auto"/>
        <w:ind w:left="0"/>
        <w:jc w:val="both"/>
        <w:rPr>
          <w:rFonts w:ascii="Times New Roman" w:hAnsi="Times New Roman"/>
        </w:rPr>
      </w:pPr>
      <w:r>
        <w:rPr>
          <w:rFonts w:ascii="Times New Roman" w:hAnsi="Times New Roman"/>
        </w:rPr>
        <w:t>The impact of such psychological complications has not been widely researched, and not every girl or woman who undergoes FGC suffers from related mental health issues.</w:t>
      </w:r>
      <w:r>
        <w:rPr>
          <w:rStyle w:val="FootnoteReference"/>
          <w:rFonts w:ascii="Times New Roman" w:hAnsi="Times New Roman"/>
        </w:rPr>
        <w:footnoteReference w:id="58"/>
      </w:r>
      <w:r>
        <w:rPr>
          <w:rFonts w:ascii="Times New Roman" w:hAnsi="Times New Roman"/>
        </w:rPr>
        <w:t xml:space="preserve"> The mental health status can be affected by the individual’s </w:t>
      </w:r>
      <w:r w:rsidRPr="001112C2">
        <w:rPr>
          <w:rFonts w:ascii="Times New Roman" w:hAnsi="Times New Roman"/>
        </w:rPr>
        <w:t>sociodemographic characteristics</w:t>
      </w:r>
      <w:r>
        <w:rPr>
          <w:rFonts w:ascii="Times New Roman" w:hAnsi="Times New Roman"/>
        </w:rPr>
        <w:t>, such as culture, socioeconomic background, ethnicity, education and age; whether the individual resides in her community of origin or is a migrant; the rate of acceptance of the practice in the community and society in which she resides; the attitudes of health care providers; and the legality of FGC where she resides.</w:t>
      </w:r>
      <w:r>
        <w:rPr>
          <w:rStyle w:val="FootnoteReference"/>
          <w:rFonts w:ascii="Times New Roman" w:hAnsi="Times New Roman"/>
        </w:rPr>
        <w:footnoteReference w:id="59"/>
      </w:r>
    </w:p>
    <w:p w:rsidR="0068317F" w:rsidRDefault="00B957E4" w:rsidP="00416536">
      <w:pPr>
        <w:pStyle w:val="ColorfulList-Accent11"/>
        <w:spacing w:before="120" w:line="480" w:lineRule="auto"/>
        <w:ind w:left="0"/>
        <w:jc w:val="both"/>
        <w:rPr>
          <w:rFonts w:ascii="Times New Roman" w:hAnsi="Times New Roman"/>
          <w:b/>
          <w:smallCaps/>
        </w:rPr>
      </w:pPr>
      <w:r w:rsidRPr="00254BD0">
        <w:rPr>
          <w:rFonts w:ascii="Times New Roman" w:hAnsi="Times New Roman"/>
          <w:b/>
          <w:smallCaps/>
        </w:rPr>
        <w:t>IV.</w:t>
      </w:r>
      <w:r w:rsidRPr="00254BD0">
        <w:rPr>
          <w:rFonts w:ascii="Times New Roman" w:hAnsi="Times New Roman"/>
          <w:b/>
          <w:smallCaps/>
        </w:rPr>
        <w:tab/>
      </w:r>
      <w:r w:rsidR="00C52761">
        <w:rPr>
          <w:rFonts w:ascii="Times New Roman" w:hAnsi="Times New Roman"/>
          <w:b/>
          <w:smallCaps/>
        </w:rPr>
        <w:t xml:space="preserve">Proposed Int. No </w:t>
      </w:r>
      <w:r w:rsidR="00E715A0">
        <w:rPr>
          <w:rFonts w:ascii="Times New Roman" w:hAnsi="Times New Roman"/>
          <w:b/>
          <w:smallCaps/>
        </w:rPr>
        <w:t>1828-A</w:t>
      </w:r>
    </w:p>
    <w:p w:rsidR="009257DB" w:rsidRDefault="00AA1531" w:rsidP="00C52761">
      <w:pPr>
        <w:spacing w:line="480" w:lineRule="auto"/>
        <w:jc w:val="both"/>
      </w:pPr>
      <w:r>
        <w:tab/>
      </w:r>
      <w:r w:rsidR="00C52761">
        <w:t xml:space="preserve">Proposed Int. No. 1828-A would </w:t>
      </w:r>
      <w:r w:rsidR="00C52761" w:rsidRPr="00C52761">
        <w:t xml:space="preserve">establish an advisory committee on female genital mutilation and cutting (FGM/C) within the Mayor’s Office to End Domestic and Gender-Based Violence (ENDGBV). </w:t>
      </w:r>
      <w:r w:rsidR="00E715A0">
        <w:t>T</w:t>
      </w:r>
      <w:r w:rsidR="00C52761" w:rsidRPr="00C52761">
        <w:t xml:space="preserve">he </w:t>
      </w:r>
      <w:r w:rsidR="00E715A0">
        <w:t xml:space="preserve">advisory </w:t>
      </w:r>
      <w:r w:rsidR="00C52761" w:rsidRPr="00C52761">
        <w:t xml:space="preserve">committee, headed by the ENDGBV commissioner or their designee, would make recommendations to engage communities and agencies in decreasing, with the goal of eventually eliminating, the practice of female genital mutilation and cutting in the city, and would identify supportive community-based and culturally-responsive resources for people who have undergone female genital mutilation and cutting. </w:t>
      </w:r>
      <w:r w:rsidR="00E82BA6">
        <w:t>According to the legislation, the</w:t>
      </w:r>
      <w:r w:rsidR="00465C93">
        <w:t xml:space="preserve"> </w:t>
      </w:r>
      <w:r w:rsidR="00C52761" w:rsidRPr="00C52761">
        <w:t>mayor would appoint advisory committee members from various fields, including City government, healthcare, and non-profit organizations, among others</w:t>
      </w:r>
      <w:r w:rsidR="00E82BA6">
        <w:t>, t</w:t>
      </w:r>
      <w:r w:rsidR="00C52761" w:rsidRPr="00C52761">
        <w:t>he advisory committee would be required to meet a minimum of two times per year for two years, after which time ENDGBV would assess the continued need for such advisory committee</w:t>
      </w:r>
      <w:r w:rsidR="0088323F">
        <w:t xml:space="preserve">, and </w:t>
      </w:r>
      <w:r w:rsidR="00C52761" w:rsidRPr="00C52761">
        <w:t xml:space="preserve">ENDGBV would also be required to report on the advisory committee’s activities in its </w:t>
      </w:r>
      <w:r w:rsidR="00C52761" w:rsidRPr="0088323F">
        <w:t>annual report, or if the advisory committee were dissolved, continue to include a description of the office’s work in relation to FGM/C in its annual report.</w:t>
      </w:r>
      <w:r w:rsidR="006F314A">
        <w:t xml:space="preserve"> </w:t>
      </w:r>
    </w:p>
    <w:p w:rsidR="00C52761" w:rsidRPr="0088323F" w:rsidRDefault="006F314A" w:rsidP="004E59F2">
      <w:pPr>
        <w:spacing w:line="480" w:lineRule="auto"/>
        <w:ind w:firstLine="720"/>
        <w:jc w:val="both"/>
      </w:pPr>
      <w:r>
        <w:t xml:space="preserve">Since introduction, this bill was amended </w:t>
      </w:r>
      <w:r w:rsidR="00011D6C">
        <w:t xml:space="preserve">to clarify that the committee would be advisory in nature, </w:t>
      </w:r>
      <w:r w:rsidR="009257DB">
        <w:t xml:space="preserve">and that it </w:t>
      </w:r>
      <w:r w:rsidR="00011D6C">
        <w:t>would engage communities and focus on assisting with resources</w:t>
      </w:r>
      <w:r w:rsidR="009257DB">
        <w:t>. The legislation was also amended</w:t>
      </w:r>
      <w:r w:rsidR="00011D6C">
        <w:t xml:space="preserve"> to update the advisory committee</w:t>
      </w:r>
      <w:r w:rsidR="009257DB">
        <w:t>’</w:t>
      </w:r>
      <w:r w:rsidR="00011D6C">
        <w:t xml:space="preserve">s duties and further specify who would be involved with the advisory committee, </w:t>
      </w:r>
      <w:r w:rsidR="000F768C">
        <w:t xml:space="preserve">as well as </w:t>
      </w:r>
      <w:r w:rsidR="00011D6C">
        <w:t>to allow ENDGBV to evaluate whether the advisory committee is</w:t>
      </w:r>
      <w:r w:rsidR="000F768C">
        <w:t xml:space="preserve"> still</w:t>
      </w:r>
      <w:r w:rsidR="00011D6C">
        <w:t xml:space="preserve"> necessary after two years, and to clarify that the required reporting will done through ENDGBV’s annual report rather than through a separate report.</w:t>
      </w:r>
    </w:p>
    <w:p w:rsidR="00C52761" w:rsidRDefault="00C52761" w:rsidP="00416536">
      <w:pPr>
        <w:spacing w:line="480" w:lineRule="auto"/>
        <w:jc w:val="both"/>
      </w:pPr>
    </w:p>
    <w:p w:rsidR="0088323F" w:rsidRDefault="0088323F" w:rsidP="00416536">
      <w:pPr>
        <w:spacing w:line="480" w:lineRule="auto"/>
        <w:jc w:val="both"/>
      </w:pPr>
    </w:p>
    <w:p w:rsidR="0088323F" w:rsidRDefault="0088323F" w:rsidP="00416536">
      <w:pPr>
        <w:spacing w:line="480" w:lineRule="auto"/>
        <w:jc w:val="both"/>
      </w:pPr>
    </w:p>
    <w:p w:rsidR="0088323F" w:rsidRDefault="0088323F" w:rsidP="00416536">
      <w:pPr>
        <w:spacing w:line="480" w:lineRule="auto"/>
        <w:jc w:val="both"/>
      </w:pPr>
    </w:p>
    <w:p w:rsidR="00025002" w:rsidRDefault="00025002" w:rsidP="00C52761">
      <w:pPr>
        <w:pStyle w:val="NormalWeb"/>
        <w:suppressLineNumbers/>
        <w:shd w:val="clear" w:color="auto" w:fill="FFFFFF"/>
        <w:spacing w:before="0" w:beforeAutospacing="0" w:after="0" w:afterAutospacing="0" w:line="480" w:lineRule="auto"/>
        <w:jc w:val="both"/>
        <w:rPr>
          <w:shd w:val="clear" w:color="auto" w:fill="FFFFFF"/>
        </w:rPr>
      </w:pPr>
    </w:p>
    <w:p w:rsidR="00025002" w:rsidRDefault="00025002" w:rsidP="00025002">
      <w:pPr>
        <w:jc w:val="center"/>
      </w:pPr>
      <w:r w:rsidRPr="0088323F">
        <w:t>Proposed Int. No. 1828-A</w:t>
      </w:r>
    </w:p>
    <w:p w:rsidR="00025002" w:rsidRDefault="00025002" w:rsidP="00025002">
      <w:pPr>
        <w:jc w:val="center"/>
      </w:pPr>
    </w:p>
    <w:p w:rsidR="00025002" w:rsidRDefault="00025002" w:rsidP="00025002">
      <w:pPr>
        <w:jc w:val="both"/>
      </w:pPr>
      <w:r>
        <w:t>By Council Members Ampry-Samuel, Rosenthal, Cumbo, Chin, Koslowitz, Ayala, Louis, Kallos, Adams, Gjonaj and Rivera (by request of the Brooklyn Borough President)</w:t>
      </w:r>
    </w:p>
    <w:p w:rsidR="00025002" w:rsidRDefault="00025002" w:rsidP="00025002">
      <w:pPr>
        <w:pStyle w:val="BodyText"/>
        <w:spacing w:line="240" w:lineRule="auto"/>
        <w:ind w:firstLine="0"/>
      </w:pPr>
    </w:p>
    <w:p w:rsidR="00025002" w:rsidRPr="004C117C" w:rsidRDefault="00025002" w:rsidP="00025002">
      <w:pPr>
        <w:pStyle w:val="BodyText"/>
        <w:spacing w:line="240" w:lineRule="auto"/>
        <w:ind w:firstLine="0"/>
        <w:rPr>
          <w:vanish/>
        </w:rPr>
      </w:pPr>
      <w:r w:rsidRPr="004C117C">
        <w:rPr>
          <w:vanish/>
        </w:rPr>
        <w:t>..Title</w:t>
      </w:r>
    </w:p>
    <w:p w:rsidR="00025002" w:rsidRDefault="00025002" w:rsidP="00025002">
      <w:pPr>
        <w:pStyle w:val="BodyText"/>
        <w:spacing w:line="240" w:lineRule="auto"/>
        <w:ind w:firstLine="0"/>
      </w:pPr>
      <w:r>
        <w:t>A Local Law to amend the administrative code of the city of New York, in relation to establishing an advisory committee on female genital mutilation and cutting and making technical amendments in connection therewith</w:t>
      </w:r>
    </w:p>
    <w:p w:rsidR="00025002" w:rsidRPr="004C117C" w:rsidRDefault="00025002" w:rsidP="00025002">
      <w:pPr>
        <w:pStyle w:val="BodyText"/>
        <w:spacing w:line="240" w:lineRule="auto"/>
        <w:ind w:firstLine="0"/>
        <w:rPr>
          <w:vanish/>
        </w:rPr>
      </w:pPr>
      <w:r w:rsidRPr="004C117C">
        <w:rPr>
          <w:vanish/>
        </w:rPr>
        <w:t>..Body</w:t>
      </w:r>
    </w:p>
    <w:p w:rsidR="00025002" w:rsidRDefault="00025002" w:rsidP="00025002">
      <w:pPr>
        <w:pStyle w:val="BodyText"/>
        <w:spacing w:line="240" w:lineRule="auto"/>
        <w:ind w:firstLine="0"/>
        <w:rPr>
          <w:u w:val="single"/>
        </w:rPr>
      </w:pPr>
    </w:p>
    <w:p w:rsidR="00025002" w:rsidRDefault="00025002" w:rsidP="00025002">
      <w:pPr>
        <w:jc w:val="both"/>
      </w:pPr>
      <w:r>
        <w:rPr>
          <w:u w:val="single"/>
        </w:rPr>
        <w:t>Be it enacted by the Council as follows</w:t>
      </w:r>
      <w:r w:rsidRPr="005B5DE4">
        <w:rPr>
          <w:u w:val="single"/>
        </w:rPr>
        <w:t>:</w:t>
      </w:r>
    </w:p>
    <w:p w:rsidR="00025002" w:rsidRDefault="00025002" w:rsidP="00025002">
      <w:pPr>
        <w:jc w:val="both"/>
      </w:pPr>
    </w:p>
    <w:p w:rsidR="00025002" w:rsidRDefault="00025002" w:rsidP="00025002">
      <w:pPr>
        <w:spacing w:line="480" w:lineRule="auto"/>
        <w:jc w:val="both"/>
        <w:sectPr w:rsidR="00025002" w:rsidSect="00025002">
          <w:footerReference w:type="default" r:id="rId9"/>
          <w:footerReference w:type="first" r:id="rId10"/>
          <w:type w:val="continuous"/>
          <w:pgSz w:w="12240" w:h="15840"/>
          <w:pgMar w:top="1440" w:right="1440" w:bottom="1440" w:left="1440" w:header="720" w:footer="720" w:gutter="0"/>
          <w:cols w:space="720"/>
          <w:docGrid w:linePitch="360"/>
        </w:sectPr>
      </w:pPr>
    </w:p>
    <w:p w:rsidR="00025002" w:rsidRPr="009C5A74" w:rsidRDefault="00025002" w:rsidP="004E59F2">
      <w:pPr>
        <w:spacing w:line="480" w:lineRule="auto"/>
        <w:ind w:firstLine="720"/>
        <w:jc w:val="both"/>
      </w:pPr>
      <w:r>
        <w:t>Section 1. Subchapter 7 of chapter 1 of title 3 of the administrative code of the city of New York, as added by local law number 38 for the year 2019, is renumbered subchapter 8; sections 3-170, 3-171, 3-172 and 3-173 of such subchapter, as added by such local law number 38, are renumbered 3-180, 3-181, 3-182 and 3-183, respectively; and a new section 3-</w:t>
      </w:r>
      <w:r w:rsidRPr="009C5A74">
        <w:t>184 is added to such subchapter to read as follows:</w:t>
      </w:r>
    </w:p>
    <w:p w:rsidR="00025002" w:rsidRPr="00A461C8" w:rsidRDefault="00025002" w:rsidP="004E59F2">
      <w:pPr>
        <w:spacing w:line="480" w:lineRule="auto"/>
        <w:ind w:firstLine="720"/>
        <w:jc w:val="both"/>
        <w:rPr>
          <w:u w:val="single"/>
        </w:rPr>
      </w:pPr>
      <w:r w:rsidRPr="00A461C8">
        <w:rPr>
          <w:u w:val="single"/>
        </w:rPr>
        <w:t>§ 3-184 Advisory committee on female genital mutilation and cutting. a. Advisory committee established. There shall be an advisory committee on female genital mutilation and cutting established by the mayor or the mayor’s designee. The advisory committee shall make recommendations to engage communities and agencies in decreasing</w:t>
      </w:r>
      <w:r w:rsidRPr="00A2229D">
        <w:rPr>
          <w:u w:val="single"/>
        </w:rPr>
        <w:t>, with the goal of eventually eliminating,</w:t>
      </w:r>
      <w:r w:rsidRPr="00A461C8">
        <w:rPr>
          <w:u w:val="single"/>
        </w:rPr>
        <w:t xml:space="preserve"> the practice of female genital mutilation and cutting in the city and identify supportive community-based and culturally</w:t>
      </w:r>
      <w:r w:rsidRPr="00A2229D">
        <w:rPr>
          <w:u w:val="single"/>
        </w:rPr>
        <w:t>-</w:t>
      </w:r>
      <w:r w:rsidRPr="00A461C8">
        <w:rPr>
          <w:u w:val="single"/>
        </w:rPr>
        <w:t xml:space="preserve">responsive resources for people who have undergone female genital mutilation and cutting. </w:t>
      </w:r>
    </w:p>
    <w:p w:rsidR="00025002" w:rsidRPr="00A461C8" w:rsidRDefault="00025002" w:rsidP="004E59F2">
      <w:pPr>
        <w:spacing w:line="480" w:lineRule="auto"/>
        <w:ind w:firstLine="720"/>
        <w:jc w:val="both"/>
        <w:rPr>
          <w:u w:val="single"/>
        </w:rPr>
      </w:pPr>
      <w:r w:rsidRPr="00A461C8">
        <w:rPr>
          <w:u w:val="single"/>
        </w:rPr>
        <w:t xml:space="preserve">b. Duties. The advisory committee shall make recommendations to address, without limitation: </w:t>
      </w:r>
    </w:p>
    <w:p w:rsidR="00025002" w:rsidRPr="00A461C8" w:rsidRDefault="00025002" w:rsidP="004E59F2">
      <w:pPr>
        <w:spacing w:line="480" w:lineRule="auto"/>
        <w:ind w:firstLine="720"/>
        <w:jc w:val="both"/>
        <w:rPr>
          <w:u w:val="single"/>
        </w:rPr>
      </w:pPr>
      <w:r w:rsidRPr="00A461C8">
        <w:rPr>
          <w:u w:val="single"/>
        </w:rPr>
        <w:t xml:space="preserve">1. Enhancing access to guidelines and trainings for educators, non-profit organizations, law enforcement and healthcare providers to assist in (i) the identification and protection of individuals at risk of undergoing female genital mutilation and cutting, and (ii) reporting instances of female genital mutilation and cutting; </w:t>
      </w:r>
    </w:p>
    <w:p w:rsidR="00025002" w:rsidRPr="00A461C8" w:rsidRDefault="00025002" w:rsidP="004E59F2">
      <w:pPr>
        <w:spacing w:line="480" w:lineRule="auto"/>
        <w:ind w:firstLine="720"/>
        <w:jc w:val="both"/>
        <w:rPr>
          <w:u w:val="single"/>
        </w:rPr>
      </w:pPr>
      <w:r w:rsidRPr="00A461C8">
        <w:rPr>
          <w:u w:val="single"/>
        </w:rPr>
        <w:t xml:space="preserve">2. Preventing and responding to the practice of female genital mutilation and cutting, including through culturally-sensitive public information about female genital mutilation and cutting; </w:t>
      </w:r>
    </w:p>
    <w:p w:rsidR="00025002" w:rsidRPr="00A461C8" w:rsidRDefault="00025002" w:rsidP="004E59F2">
      <w:pPr>
        <w:spacing w:line="480" w:lineRule="auto"/>
        <w:ind w:firstLine="720"/>
        <w:jc w:val="both"/>
        <w:rPr>
          <w:u w:val="single"/>
        </w:rPr>
      </w:pPr>
      <w:r w:rsidRPr="00A461C8">
        <w:rPr>
          <w:u w:val="single"/>
        </w:rPr>
        <w:t>3. Improving the collection of data concerning the practice of female genital mutilation and cutting among individuals and communities in the city, to the extent allowed by law;</w:t>
      </w:r>
    </w:p>
    <w:p w:rsidR="00025002" w:rsidRPr="00A461C8" w:rsidRDefault="00025002" w:rsidP="004E59F2">
      <w:pPr>
        <w:spacing w:line="480" w:lineRule="auto"/>
        <w:ind w:firstLine="720"/>
        <w:jc w:val="both"/>
        <w:rPr>
          <w:u w:val="single"/>
        </w:rPr>
      </w:pPr>
      <w:r w:rsidRPr="00A461C8">
        <w:rPr>
          <w:u w:val="single"/>
        </w:rPr>
        <w:t xml:space="preserve">4. </w:t>
      </w:r>
      <w:r>
        <w:rPr>
          <w:u w:val="single"/>
        </w:rPr>
        <w:t>Improving</w:t>
      </w:r>
      <w:r w:rsidRPr="00A461C8">
        <w:rPr>
          <w:u w:val="single"/>
        </w:rPr>
        <w:t xml:space="preserve"> the coordination of systems and services for, as well as the response of agencies to, individuals and communities affected by the practice of female genital mutilation and cutting; and</w:t>
      </w:r>
    </w:p>
    <w:p w:rsidR="00025002" w:rsidRPr="00A461C8" w:rsidRDefault="00025002" w:rsidP="004E59F2">
      <w:pPr>
        <w:spacing w:line="480" w:lineRule="auto"/>
        <w:ind w:firstLine="720"/>
        <w:jc w:val="both"/>
        <w:rPr>
          <w:u w:val="single"/>
        </w:rPr>
      </w:pPr>
      <w:r w:rsidRPr="00A461C8">
        <w:rPr>
          <w:u w:val="single"/>
        </w:rPr>
        <w:t>5. Providing opportunities for input from, as well as soliciting and considering the recommendations of stakeholders including, but not limited to, community and faith-based groups, advocacy organizations, survivors of female genital mutilation and cutting and social service providers.</w:t>
      </w:r>
    </w:p>
    <w:p w:rsidR="00025002" w:rsidRPr="00A461C8" w:rsidRDefault="00025002" w:rsidP="004E59F2">
      <w:pPr>
        <w:spacing w:line="480" w:lineRule="auto"/>
        <w:ind w:firstLine="720"/>
        <w:jc w:val="both"/>
        <w:rPr>
          <w:u w:val="single"/>
        </w:rPr>
      </w:pPr>
      <w:r w:rsidRPr="00A461C8">
        <w:rPr>
          <w:u w:val="single"/>
        </w:rPr>
        <w:t>c. Membership. 1. To the extent practicable, the advisory committee shall include, but need not be limited to, the following members, provided that such members appointed by the mayor shall serve for a two-year term:</w:t>
      </w:r>
    </w:p>
    <w:p w:rsidR="00025002" w:rsidRPr="00A461C8" w:rsidRDefault="00025002" w:rsidP="004E59F2">
      <w:pPr>
        <w:spacing w:line="480" w:lineRule="auto"/>
        <w:ind w:firstLine="720"/>
        <w:jc w:val="both"/>
        <w:rPr>
          <w:u w:val="single"/>
        </w:rPr>
      </w:pPr>
      <w:r w:rsidRPr="00A461C8">
        <w:rPr>
          <w:u w:val="single"/>
        </w:rPr>
        <w:t xml:space="preserve">(a) The commissioner of the office or such commissioner’s designee, who shall serve as chair; </w:t>
      </w:r>
    </w:p>
    <w:p w:rsidR="00025002" w:rsidRPr="00A461C8" w:rsidRDefault="00025002" w:rsidP="004E59F2">
      <w:pPr>
        <w:spacing w:line="480" w:lineRule="auto"/>
        <w:ind w:firstLine="720"/>
        <w:jc w:val="both"/>
        <w:rPr>
          <w:u w:val="single"/>
        </w:rPr>
      </w:pPr>
      <w:r w:rsidRPr="00A461C8">
        <w:rPr>
          <w:u w:val="single"/>
        </w:rPr>
        <w:t xml:space="preserve">(b) The commissioner of children’s services or such commissioner’s designee; </w:t>
      </w:r>
    </w:p>
    <w:p w:rsidR="00025002" w:rsidRPr="00A461C8" w:rsidRDefault="00025002" w:rsidP="004E59F2">
      <w:pPr>
        <w:spacing w:line="480" w:lineRule="auto"/>
        <w:ind w:firstLine="720"/>
        <w:jc w:val="both"/>
        <w:rPr>
          <w:u w:val="single"/>
        </w:rPr>
      </w:pPr>
      <w:r w:rsidRPr="00A461C8">
        <w:rPr>
          <w:u w:val="single"/>
        </w:rPr>
        <w:t xml:space="preserve">(c) The commissioner of health and mental hygiene or such commissioner’s designee;  </w:t>
      </w:r>
    </w:p>
    <w:p w:rsidR="00025002" w:rsidRPr="00A461C8" w:rsidRDefault="00025002" w:rsidP="004E59F2">
      <w:pPr>
        <w:spacing w:line="480" w:lineRule="auto"/>
        <w:ind w:firstLine="720"/>
        <w:jc w:val="both"/>
        <w:rPr>
          <w:u w:val="single"/>
        </w:rPr>
      </w:pPr>
      <w:r w:rsidRPr="00A461C8">
        <w:rPr>
          <w:u w:val="single"/>
        </w:rPr>
        <w:t xml:space="preserve">(d) The director of the office of immigrant affairs or such director’s designee; </w:t>
      </w:r>
    </w:p>
    <w:p w:rsidR="00025002" w:rsidRPr="00A461C8" w:rsidRDefault="00025002" w:rsidP="004E59F2">
      <w:pPr>
        <w:spacing w:line="480" w:lineRule="auto"/>
        <w:ind w:firstLine="720"/>
        <w:jc w:val="both"/>
        <w:rPr>
          <w:u w:val="single"/>
        </w:rPr>
      </w:pPr>
      <w:r w:rsidRPr="00A461C8">
        <w:rPr>
          <w:u w:val="single"/>
        </w:rPr>
        <w:t xml:space="preserve">(e) The police commissioner or such commissioner’s designee; </w:t>
      </w:r>
    </w:p>
    <w:p w:rsidR="00025002" w:rsidRPr="00A461C8" w:rsidRDefault="00025002" w:rsidP="004E59F2">
      <w:pPr>
        <w:spacing w:line="480" w:lineRule="auto"/>
        <w:ind w:firstLine="720"/>
        <w:jc w:val="both"/>
        <w:rPr>
          <w:u w:val="single"/>
        </w:rPr>
      </w:pPr>
      <w:r w:rsidRPr="00A461C8">
        <w:rPr>
          <w:u w:val="single"/>
        </w:rPr>
        <w:t>(f) The executive director of the commission on gender equity or such executive director’s designee;</w:t>
      </w:r>
    </w:p>
    <w:p w:rsidR="00025002" w:rsidRPr="00A461C8" w:rsidRDefault="00025002" w:rsidP="004E59F2">
      <w:pPr>
        <w:spacing w:line="480" w:lineRule="auto"/>
        <w:ind w:firstLine="720"/>
        <w:jc w:val="both"/>
        <w:rPr>
          <w:u w:val="single"/>
        </w:rPr>
      </w:pPr>
      <w:r w:rsidRPr="00A461C8">
        <w:rPr>
          <w:u w:val="single"/>
        </w:rPr>
        <w:t xml:space="preserve">(g) The chancellor of the department of education or such chancellor’s designee; </w:t>
      </w:r>
    </w:p>
    <w:p w:rsidR="00025002" w:rsidRPr="00A461C8" w:rsidRDefault="00025002" w:rsidP="004E59F2">
      <w:pPr>
        <w:spacing w:line="480" w:lineRule="auto"/>
        <w:ind w:firstLine="720"/>
        <w:jc w:val="both"/>
        <w:rPr>
          <w:u w:val="single"/>
        </w:rPr>
      </w:pPr>
      <w:r w:rsidRPr="00A461C8">
        <w:rPr>
          <w:u w:val="single"/>
        </w:rPr>
        <w:t>(h) Each borough president or each such borough president’s designee;</w:t>
      </w:r>
    </w:p>
    <w:p w:rsidR="00025002" w:rsidRPr="00A461C8" w:rsidRDefault="00025002" w:rsidP="004E59F2">
      <w:pPr>
        <w:spacing w:line="480" w:lineRule="auto"/>
        <w:ind w:firstLine="720"/>
        <w:jc w:val="both"/>
        <w:rPr>
          <w:u w:val="single"/>
        </w:rPr>
      </w:pPr>
      <w:r w:rsidRPr="00A461C8">
        <w:rPr>
          <w:u w:val="single"/>
        </w:rPr>
        <w:t xml:space="preserve">(i) The chief executive officer of the New York city health and hospitals corporation or such chief executive’s designee; </w:t>
      </w:r>
    </w:p>
    <w:p w:rsidR="00025002" w:rsidRPr="00A461C8" w:rsidRDefault="00025002" w:rsidP="004E59F2">
      <w:pPr>
        <w:spacing w:line="480" w:lineRule="auto"/>
        <w:ind w:firstLine="720"/>
        <w:jc w:val="both"/>
        <w:rPr>
          <w:u w:val="single"/>
        </w:rPr>
      </w:pPr>
      <w:r w:rsidRPr="00A461C8">
        <w:rPr>
          <w:u w:val="single"/>
        </w:rPr>
        <w:t xml:space="preserve">(j) Three medical professionals, including two or more licensed physicians, appointed by the mayor who have extensive experience working with patients who have undergone female genital mutilation and cutting and training healthcare providers on related issues; </w:t>
      </w:r>
    </w:p>
    <w:p w:rsidR="00025002" w:rsidRPr="00A461C8" w:rsidRDefault="00025002" w:rsidP="004E59F2">
      <w:pPr>
        <w:spacing w:line="480" w:lineRule="auto"/>
        <w:ind w:firstLine="720"/>
        <w:jc w:val="both"/>
        <w:rPr>
          <w:u w:val="single"/>
        </w:rPr>
      </w:pPr>
      <w:r w:rsidRPr="00A461C8">
        <w:rPr>
          <w:u w:val="single"/>
        </w:rPr>
        <w:t xml:space="preserve">(k) Three representatives appointed by the mayor from non-profit organizations that work with individuals who have undergone or are at risk of undergoing female genital mutilation and cutting; </w:t>
      </w:r>
    </w:p>
    <w:p w:rsidR="00025002" w:rsidRPr="00A461C8" w:rsidRDefault="00025002" w:rsidP="004E59F2">
      <w:pPr>
        <w:spacing w:line="480" w:lineRule="auto"/>
        <w:ind w:firstLine="720"/>
        <w:jc w:val="both"/>
        <w:rPr>
          <w:u w:val="single"/>
        </w:rPr>
      </w:pPr>
      <w:r w:rsidRPr="00A461C8">
        <w:rPr>
          <w:u w:val="single"/>
        </w:rPr>
        <w:t>(l) An expert in the field of public health data collection and analysis appointed by the mayor who has relevant research experience and expertise; and</w:t>
      </w:r>
    </w:p>
    <w:p w:rsidR="00025002" w:rsidRPr="00A461C8" w:rsidRDefault="00025002" w:rsidP="004E59F2">
      <w:pPr>
        <w:spacing w:line="480" w:lineRule="auto"/>
        <w:ind w:firstLine="720"/>
        <w:jc w:val="both"/>
        <w:rPr>
          <w:u w:val="single"/>
        </w:rPr>
      </w:pPr>
      <w:r w:rsidRPr="00A461C8">
        <w:rPr>
          <w:u w:val="single"/>
        </w:rPr>
        <w:t>(m) Three individuals appointed by the mayor who have undergone female genital mutilation and cutting.</w:t>
      </w:r>
    </w:p>
    <w:p w:rsidR="00025002" w:rsidRPr="00A461C8" w:rsidRDefault="00025002" w:rsidP="004E59F2">
      <w:pPr>
        <w:spacing w:line="480" w:lineRule="auto"/>
        <w:ind w:firstLine="720"/>
        <w:jc w:val="both"/>
        <w:rPr>
          <w:u w:val="single"/>
        </w:rPr>
      </w:pPr>
      <w:r w:rsidRPr="00A461C8">
        <w:rPr>
          <w:u w:val="single"/>
        </w:rPr>
        <w:t>2. The mayor shall make all appointments required by this section no later than 90 days after the effective date of the local law that added this section.</w:t>
      </w:r>
    </w:p>
    <w:p w:rsidR="00025002" w:rsidRPr="00A461C8" w:rsidRDefault="00025002" w:rsidP="004E59F2">
      <w:pPr>
        <w:spacing w:line="480" w:lineRule="auto"/>
        <w:ind w:firstLine="720"/>
        <w:jc w:val="both"/>
        <w:rPr>
          <w:u w:val="single"/>
        </w:rPr>
      </w:pPr>
      <w:r w:rsidRPr="00A461C8">
        <w:rPr>
          <w:u w:val="single"/>
        </w:rPr>
        <w:t>3. Appointed members of the advisory committee shall serve without compensation.</w:t>
      </w:r>
    </w:p>
    <w:p w:rsidR="00025002" w:rsidRPr="00A461C8" w:rsidRDefault="00025002" w:rsidP="004E59F2">
      <w:pPr>
        <w:spacing w:line="480" w:lineRule="auto"/>
        <w:ind w:firstLine="720"/>
        <w:jc w:val="both"/>
        <w:rPr>
          <w:u w:val="single"/>
        </w:rPr>
      </w:pPr>
      <w:r w:rsidRPr="00A461C8">
        <w:rPr>
          <w:u w:val="single"/>
        </w:rPr>
        <w:t xml:space="preserve">d. Meetings. The advisory committee shall meet at least </w:t>
      </w:r>
      <w:r>
        <w:rPr>
          <w:u w:val="single"/>
        </w:rPr>
        <w:t>two</w:t>
      </w:r>
      <w:r w:rsidRPr="00A461C8">
        <w:rPr>
          <w:u w:val="single"/>
        </w:rPr>
        <w:t xml:space="preserve"> times per year. </w:t>
      </w:r>
    </w:p>
    <w:p w:rsidR="00025002" w:rsidRPr="00A461C8" w:rsidRDefault="00025002" w:rsidP="004E59F2">
      <w:pPr>
        <w:spacing w:line="480" w:lineRule="auto"/>
        <w:ind w:firstLine="720"/>
        <w:jc w:val="both"/>
        <w:rPr>
          <w:u w:val="single"/>
        </w:rPr>
      </w:pPr>
      <w:r w:rsidRPr="00A461C8">
        <w:rPr>
          <w:u w:val="single"/>
        </w:rPr>
        <w:t>e</w:t>
      </w:r>
      <w:r>
        <w:rPr>
          <w:u w:val="single"/>
        </w:rPr>
        <w:t>.</w:t>
      </w:r>
      <w:r w:rsidRPr="00A461C8">
        <w:rPr>
          <w:u w:val="single"/>
        </w:rPr>
        <w:t xml:space="preserve"> Assessment. No later than two years following the first meeting of the advisory committee, and </w:t>
      </w:r>
      <w:r>
        <w:rPr>
          <w:u w:val="single"/>
        </w:rPr>
        <w:t>every</w:t>
      </w:r>
      <w:r w:rsidRPr="00A461C8">
        <w:rPr>
          <w:u w:val="single"/>
        </w:rPr>
        <w:t xml:space="preserve"> two years thereafter, </w:t>
      </w:r>
      <w:r>
        <w:rPr>
          <w:u w:val="single"/>
        </w:rPr>
        <w:t>as</w:t>
      </w:r>
      <w:r w:rsidRPr="00A461C8">
        <w:rPr>
          <w:u w:val="single"/>
        </w:rPr>
        <w:t xml:space="preserve"> applicable, the office shall assess the need for the advisory committee. If such committee is deemed unnecessary, the advisory committee shall </w:t>
      </w:r>
      <w:r>
        <w:rPr>
          <w:u w:val="single"/>
        </w:rPr>
        <w:t>be dissolved following the submission of the subsequent report required pursuant to this section</w:t>
      </w:r>
      <w:r w:rsidRPr="00A461C8">
        <w:rPr>
          <w:u w:val="single"/>
        </w:rPr>
        <w:t>.</w:t>
      </w:r>
    </w:p>
    <w:p w:rsidR="00025002" w:rsidRDefault="00025002" w:rsidP="004E59F2">
      <w:pPr>
        <w:spacing w:line="480" w:lineRule="auto"/>
        <w:ind w:firstLine="720"/>
        <w:jc w:val="both"/>
        <w:rPr>
          <w:u w:val="single"/>
        </w:rPr>
      </w:pPr>
      <w:r>
        <w:rPr>
          <w:u w:val="single"/>
        </w:rPr>
        <w:t>f. Report. The commissioner of the office shall include each year in the annual report prepared and submitted in accordance with section 3-181 a description of the advisory committee’s activities and recommendations.</w:t>
      </w:r>
      <w:r w:rsidRPr="007C64DE">
        <w:rPr>
          <w:u w:val="single"/>
        </w:rPr>
        <w:t xml:space="preserve"> </w:t>
      </w:r>
      <w:r>
        <w:rPr>
          <w:u w:val="single"/>
        </w:rPr>
        <w:t>After dissolution of the advisory committee, if applicable, the commissioner of the office shall continue to include in such annual report a description of the office’s work in relation to female genital mutilation and cutting.</w:t>
      </w:r>
    </w:p>
    <w:p w:rsidR="00025002" w:rsidRDefault="00025002" w:rsidP="004E59F2">
      <w:pPr>
        <w:spacing w:line="480" w:lineRule="auto"/>
        <w:ind w:firstLine="720"/>
        <w:jc w:val="both"/>
        <w:rPr>
          <w:u w:val="single"/>
        </w:rPr>
      </w:pPr>
      <w:r>
        <w:t>§ 2. This local law takes effect 90 days after it becomes law.</w:t>
      </w:r>
      <w:r>
        <w:rPr>
          <w:u w:val="single"/>
        </w:rPr>
        <w:t xml:space="preserve"> </w:t>
      </w:r>
    </w:p>
    <w:p w:rsidR="00025002" w:rsidRDefault="00025002" w:rsidP="00025002">
      <w:pPr>
        <w:jc w:val="both"/>
        <w:rPr>
          <w:sz w:val="18"/>
          <w:szCs w:val="18"/>
        </w:rPr>
        <w:sectPr w:rsidR="00025002" w:rsidSect="002F6817">
          <w:type w:val="continuous"/>
          <w:pgSz w:w="12240" w:h="15840"/>
          <w:pgMar w:top="1440" w:right="1440" w:bottom="1440" w:left="1440" w:header="720" w:footer="720" w:gutter="0"/>
          <w:lnNumType w:countBy="1"/>
          <w:cols w:space="720"/>
          <w:titlePg/>
          <w:docGrid w:linePitch="360"/>
        </w:sectPr>
      </w:pPr>
    </w:p>
    <w:p w:rsidR="00025002" w:rsidRDefault="00025002" w:rsidP="00025002">
      <w:pPr>
        <w:jc w:val="both"/>
        <w:rPr>
          <w:sz w:val="18"/>
          <w:szCs w:val="18"/>
        </w:rPr>
      </w:pPr>
    </w:p>
    <w:p w:rsidR="00025002" w:rsidRDefault="00025002" w:rsidP="00025002">
      <w:pPr>
        <w:jc w:val="both"/>
        <w:rPr>
          <w:sz w:val="18"/>
          <w:szCs w:val="18"/>
        </w:rPr>
      </w:pPr>
      <w:r>
        <w:rPr>
          <w:sz w:val="18"/>
          <w:szCs w:val="18"/>
        </w:rPr>
        <w:t>SG / BM</w:t>
      </w:r>
    </w:p>
    <w:p w:rsidR="00025002" w:rsidRDefault="00025002" w:rsidP="00025002">
      <w:pPr>
        <w:jc w:val="both"/>
        <w:rPr>
          <w:sz w:val="18"/>
          <w:szCs w:val="18"/>
        </w:rPr>
      </w:pPr>
      <w:r>
        <w:rPr>
          <w:sz w:val="18"/>
          <w:szCs w:val="18"/>
        </w:rPr>
        <w:t>LS #9294/11623</w:t>
      </w:r>
    </w:p>
    <w:p w:rsidR="00025002" w:rsidRDefault="00025002" w:rsidP="00025002">
      <w:pPr>
        <w:rPr>
          <w:sz w:val="18"/>
          <w:szCs w:val="18"/>
        </w:rPr>
      </w:pPr>
      <w:r>
        <w:rPr>
          <w:sz w:val="18"/>
          <w:szCs w:val="18"/>
        </w:rPr>
        <w:t>9/1/2021 6:00 pm</w:t>
      </w:r>
    </w:p>
    <w:p w:rsidR="00025002" w:rsidRDefault="00025002" w:rsidP="00025002">
      <w:pPr>
        <w:rPr>
          <w:sz w:val="18"/>
          <w:szCs w:val="18"/>
        </w:rPr>
      </w:pPr>
    </w:p>
    <w:p w:rsidR="00025002" w:rsidRPr="0062236E" w:rsidRDefault="00025002" w:rsidP="00254BD0">
      <w:pPr>
        <w:pStyle w:val="NormalWeb"/>
        <w:suppressLineNumbers/>
        <w:shd w:val="clear" w:color="auto" w:fill="FFFFFF"/>
        <w:spacing w:before="0" w:beforeAutospacing="0" w:after="0" w:afterAutospacing="0" w:line="480" w:lineRule="auto"/>
        <w:ind w:firstLine="720"/>
        <w:jc w:val="both"/>
        <w:rPr>
          <w:color w:val="7F7F7F"/>
          <w:sz w:val="18"/>
          <w:szCs w:val="18"/>
        </w:rPr>
      </w:pPr>
    </w:p>
    <w:sectPr w:rsidR="00025002" w:rsidRPr="0062236E" w:rsidSect="001B3ECC">
      <w:footerReference w:type="even" r:id="rId11"/>
      <w:footerReference w:type="default" r:id="rId12"/>
      <w:footerReference w:type="first" r:id="rId13"/>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0DD" w:rsidRDefault="00F160DD">
      <w:r>
        <w:separator/>
      </w:r>
    </w:p>
  </w:endnote>
  <w:endnote w:type="continuationSeparator" w:id="0">
    <w:p w:rsidR="00F160DD" w:rsidRDefault="00F1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ヒラギノ角ゴ Pro W3">
    <w:altName w:val="MS Gothic"/>
    <w:charset w:val="80"/>
    <w:family w:val="swiss"/>
    <w:pitch w:val="variable"/>
    <w:sig w:usb0="E00002FF" w:usb1="7AC7FFFF" w:usb2="00000012" w:usb3="00000000" w:csb0="0002000D" w:csb1="00000000"/>
  </w:font>
  <w:font w:name="Arial Bold">
    <w:panose1 w:val="020B0704020202020204"/>
    <w:charset w:val="00"/>
    <w:family w:val="roman"/>
    <w:notTrueType/>
    <w:pitch w:val="default"/>
  </w:font>
  <w:font w:name="Times New Roman Bold">
    <w:altName w:val="Times New Roman"/>
    <w:panose1 w:val="02020803070505020304"/>
    <w:charset w:val="00"/>
    <w:family w:val="roman"/>
    <w:notTrueType/>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02" w:rsidRDefault="00025002">
    <w:pPr>
      <w:pStyle w:val="Footer"/>
      <w:jc w:val="center"/>
    </w:pPr>
    <w:r>
      <w:fldChar w:fldCharType="begin"/>
    </w:r>
    <w:r>
      <w:instrText xml:space="preserve"> PAGE   \* MERGEFORMAT </w:instrText>
    </w:r>
    <w:r>
      <w:fldChar w:fldCharType="separate"/>
    </w:r>
    <w:r w:rsidR="006224EC">
      <w:rPr>
        <w:noProof/>
      </w:rPr>
      <w:t>1</w:t>
    </w:r>
    <w:r>
      <w:rPr>
        <w:noProof/>
      </w:rPr>
      <w:fldChar w:fldCharType="end"/>
    </w:r>
  </w:p>
  <w:p w:rsidR="00025002" w:rsidRDefault="000250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02" w:rsidRDefault="00025002">
    <w:pPr>
      <w:pStyle w:val="Footer"/>
      <w:jc w:val="center"/>
    </w:pPr>
    <w:r>
      <w:fldChar w:fldCharType="begin"/>
    </w:r>
    <w:r>
      <w:instrText xml:space="preserve"> PAGE   \* MERGEFORMAT </w:instrText>
    </w:r>
    <w:r>
      <w:fldChar w:fldCharType="separate"/>
    </w:r>
    <w:r>
      <w:rPr>
        <w:noProof/>
      </w:rPr>
      <w:t>1</w:t>
    </w:r>
    <w:r>
      <w:rPr>
        <w:noProof/>
      </w:rPr>
      <w:fldChar w:fldCharType="end"/>
    </w:r>
  </w:p>
  <w:p w:rsidR="00025002" w:rsidRDefault="000250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D38" w:rsidRDefault="00A22D38">
    <w:pPr>
      <w:pStyle w:val="Footer1"/>
      <w:tabs>
        <w:tab w:val="clear" w:pos="9360"/>
        <w:tab w:val="right" w:pos="9340"/>
      </w:tabs>
      <w:jc w:val="center"/>
      <w:rPr>
        <w:rFonts w:ascii="Times New Roman" w:eastAsia="Times New Roman" w:hAnsi="Times New Roman"/>
        <w:color w:val="auto"/>
        <w:sz w:val="20"/>
        <w:lang w:bidi="x-none"/>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10</w:t>
    </w:r>
    <w:r>
      <w:rPr>
        <w:rFonts w:ascii="Times New Roman" w:hAns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D38" w:rsidRDefault="00A22D38">
    <w:pPr>
      <w:pStyle w:val="Footer1"/>
      <w:tabs>
        <w:tab w:val="clear" w:pos="9360"/>
        <w:tab w:val="right" w:pos="9340"/>
      </w:tabs>
      <w:jc w:val="center"/>
      <w:rPr>
        <w:rFonts w:ascii="Times New Roman" w:eastAsia="Times New Roman" w:hAnsi="Times New Roman"/>
        <w:color w:val="auto"/>
        <w:sz w:val="20"/>
        <w:lang w:bidi="x-none"/>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62236E">
      <w:rPr>
        <w:rFonts w:ascii="Times New Roman" w:hAnsi="Times New Roman"/>
        <w:noProof/>
      </w:rPr>
      <w:t>15</w:t>
    </w:r>
    <w:r>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D38" w:rsidRDefault="00A22D38">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0DD" w:rsidRDefault="00F160DD">
      <w:r>
        <w:separator/>
      </w:r>
    </w:p>
  </w:footnote>
  <w:footnote w:type="continuationSeparator" w:id="0">
    <w:p w:rsidR="00F160DD" w:rsidRDefault="00F160DD">
      <w:r>
        <w:continuationSeparator/>
      </w:r>
    </w:p>
  </w:footnote>
  <w:footnote w:id="1">
    <w:p w:rsidR="00A22D38" w:rsidRPr="0038539D" w:rsidRDefault="00A22D38" w:rsidP="00002824">
      <w:pPr>
        <w:pStyle w:val="FootnoteText"/>
      </w:pPr>
      <w:r>
        <w:rPr>
          <w:rStyle w:val="FootnoteReference"/>
        </w:rPr>
        <w:footnoteRef/>
      </w:r>
      <w:r>
        <w:t xml:space="preserve"> </w:t>
      </w:r>
      <w:r w:rsidRPr="00002824">
        <w:t xml:space="preserve">This </w:t>
      </w:r>
      <w:r w:rsidRPr="003E6230">
        <w:t xml:space="preserve">paper </w:t>
      </w:r>
      <w:r w:rsidRPr="00C91384">
        <w:t xml:space="preserve">utilizes </w:t>
      </w:r>
      <w:r w:rsidRPr="00F26001">
        <w:t xml:space="preserve">the term “female genital cutting,” </w:t>
      </w:r>
      <w:r w:rsidRPr="00002824">
        <w:t>rather than “female genital</w:t>
      </w:r>
      <w:r w:rsidRPr="003E6230">
        <w:t xml:space="preserve"> mutilation” to give</w:t>
      </w:r>
      <w:r w:rsidRPr="00C91384">
        <w:t xml:space="preserve"> </w:t>
      </w:r>
      <w:r w:rsidRPr="0038539D">
        <w:t>deference to the affected women and girls, often migrants, who live in the midst of a dominant discourse ca</w:t>
      </w:r>
      <w:r w:rsidRPr="00C412DC">
        <w:t>tegorizing them as “mutilated” and sexually disfigured. While</w:t>
      </w:r>
      <w:r w:rsidRPr="00002824">
        <w:t xml:space="preserve"> </w:t>
      </w:r>
      <w:r w:rsidRPr="00F26001">
        <w:t>“female circumcision”</w:t>
      </w:r>
      <w:r w:rsidRPr="00002824">
        <w:t xml:space="preserve"> is another common term, </w:t>
      </w:r>
      <w:r w:rsidRPr="003E6230">
        <w:t xml:space="preserve">“female genital mutilation” is </w:t>
      </w:r>
      <w:r w:rsidRPr="00C91384">
        <w:t xml:space="preserve">also </w:t>
      </w:r>
      <w:r w:rsidRPr="0038539D">
        <w:t>referenced in recognition of the fact that it is the most commonly used term, including in terms of usage in legislation</w:t>
      </w:r>
      <w:r w:rsidRPr="00C412DC">
        <w:t xml:space="preserve"> and treaties. </w:t>
      </w:r>
      <w:r w:rsidRPr="00002824">
        <w:t xml:space="preserve">Further, while this paper also utilizes the acronym FGC, FGM is also often shortened to FGM/C in recognition of updated and current language. </w:t>
      </w:r>
      <w:r w:rsidRPr="00002824">
        <w:rPr>
          <w:i/>
        </w:rPr>
        <w:t>See</w:t>
      </w:r>
      <w:r w:rsidRPr="00002824">
        <w:t xml:space="preserve"> S. </w:t>
      </w:r>
      <w:proofErr w:type="spellStart"/>
      <w:r w:rsidRPr="00002824">
        <w:t>Johnsdotter</w:t>
      </w:r>
      <w:proofErr w:type="spellEnd"/>
      <w:r w:rsidRPr="00002824">
        <w:t xml:space="preserve">, </w:t>
      </w:r>
      <w:r w:rsidRPr="00002824">
        <w:rPr>
          <w:i/>
        </w:rPr>
        <w:t>The Impact of Migration on Attitudes to Female Genital Cutting and Experiences of Sexual Dysfunction Among Migrant Women with FGC</w:t>
      </w:r>
      <w:r w:rsidRPr="00002824">
        <w:t xml:space="preserve">, 10(1) </w:t>
      </w:r>
      <w:r w:rsidRPr="00F26001">
        <w:rPr>
          <w:smallCaps/>
        </w:rPr>
        <w:t>Current Sexual Health Reports</w:t>
      </w:r>
      <w:r w:rsidRPr="00002824">
        <w:t xml:space="preserve"> 18-24 </w:t>
      </w:r>
      <w:r w:rsidRPr="00C91384">
        <w:t>(2018)</w:t>
      </w:r>
      <w:r w:rsidRPr="0038539D">
        <w:t xml:space="preserve">, </w:t>
      </w:r>
      <w:r w:rsidRPr="0038539D">
        <w:rPr>
          <w:i/>
        </w:rPr>
        <w:t>available at</w:t>
      </w:r>
      <w:r w:rsidRPr="0038539D">
        <w:t xml:space="preserve"> </w:t>
      </w:r>
      <w:r w:rsidRPr="00F26001">
        <w:t>https://www.ncbi.nlm.nih.gov/pmc/articles/PMC5840240/</w:t>
      </w:r>
      <w:r w:rsidRPr="00002824">
        <w:t xml:space="preserve">; S. Fried, A. Mahmoud </w:t>
      </w:r>
      <w:proofErr w:type="spellStart"/>
      <w:r w:rsidRPr="00002824">
        <w:t>Wars</w:t>
      </w:r>
      <w:r w:rsidRPr="003E6230">
        <w:t>ame</w:t>
      </w:r>
      <w:proofErr w:type="spellEnd"/>
      <w:r w:rsidRPr="003E6230">
        <w:t xml:space="preserve">, V. </w:t>
      </w:r>
      <w:r w:rsidRPr="00C91384">
        <w:t xml:space="preserve">Berggren, </w:t>
      </w:r>
      <w:r w:rsidRPr="0038539D">
        <w:t xml:space="preserve">E. </w:t>
      </w:r>
      <w:proofErr w:type="spellStart"/>
      <w:r w:rsidRPr="0038539D">
        <w:t>Isman</w:t>
      </w:r>
      <w:proofErr w:type="spellEnd"/>
      <w:r w:rsidRPr="0038539D">
        <w:t xml:space="preserve"> &amp; A. Johansson, </w:t>
      </w:r>
      <w:r w:rsidRPr="0038539D">
        <w:rPr>
          <w:i/>
        </w:rPr>
        <w:t>Outpatients’ Perspectives on Problems and Needs Related to Female Genital Mutilation/Cutting: a Qualitative Study from Somaliland</w:t>
      </w:r>
      <w:r w:rsidRPr="0038539D">
        <w:t xml:space="preserve">, </w:t>
      </w:r>
      <w:r w:rsidRPr="00C412DC">
        <w:t xml:space="preserve">2013(1) </w:t>
      </w:r>
      <w:proofErr w:type="spellStart"/>
      <w:r w:rsidRPr="00F26001">
        <w:rPr>
          <w:smallCaps/>
        </w:rPr>
        <w:t>Obst</w:t>
      </w:r>
      <w:proofErr w:type="spellEnd"/>
      <w:r w:rsidRPr="00F26001">
        <w:rPr>
          <w:smallCaps/>
        </w:rPr>
        <w:t>. and Gyn. Intl</w:t>
      </w:r>
      <w:r w:rsidRPr="00002824">
        <w:t xml:space="preserve"> (2013), </w:t>
      </w:r>
      <w:r w:rsidRPr="003E6230">
        <w:rPr>
          <w:i/>
        </w:rPr>
        <w:t>available at</w:t>
      </w:r>
      <w:r w:rsidRPr="003E6230">
        <w:t xml:space="preserve"> </w:t>
      </w:r>
      <w:r w:rsidRPr="00F26001">
        <w:t>https://www.ncbi.nlm.nih.gov/pmc/articles/PMC3784275/</w:t>
      </w:r>
      <w:r w:rsidRPr="00002824">
        <w:t xml:space="preserve">; U.S. Department of Health and Human Services, Office on Women’s Health, </w:t>
      </w:r>
      <w:r w:rsidRPr="00F26001">
        <w:rPr>
          <w:i/>
        </w:rPr>
        <w:t>Female Genital Mutilation or Cutting</w:t>
      </w:r>
      <w:r w:rsidRPr="00002824">
        <w:t xml:space="preserve"> (last visited Dec. 7, 2018), </w:t>
      </w:r>
      <w:r w:rsidRPr="00F26001">
        <w:rPr>
          <w:i/>
        </w:rPr>
        <w:t>available at</w:t>
      </w:r>
      <w:r w:rsidRPr="00002824">
        <w:t xml:space="preserve"> </w:t>
      </w:r>
      <w:r w:rsidRPr="00F26001">
        <w:t>https://www.womenshealth.gov/a-z-topics/female-genital-cutting</w:t>
      </w:r>
      <w:r w:rsidRPr="00002824">
        <w:t xml:space="preserve">; </w:t>
      </w:r>
      <w:r w:rsidRPr="003E6230">
        <w:t xml:space="preserve">New York Department of Health, </w:t>
      </w:r>
      <w:r w:rsidRPr="00F26001">
        <w:rPr>
          <w:i/>
        </w:rPr>
        <w:t>Female Genital Mutilation/Female Circumcision Reference Card for Health Care Providers</w:t>
      </w:r>
      <w:r w:rsidRPr="00002824">
        <w:t xml:space="preserve"> (last visited Dec. 7, 2018), </w:t>
      </w:r>
      <w:r w:rsidRPr="00F26001">
        <w:rPr>
          <w:i/>
        </w:rPr>
        <w:t>available at</w:t>
      </w:r>
      <w:r w:rsidRPr="00002824">
        <w:t xml:space="preserve"> </w:t>
      </w:r>
      <w:r w:rsidRPr="00F26001">
        <w:t>https://www.health.ny.gov/community/adults/women/female_circumcision/providers.htm</w:t>
      </w:r>
      <w:r w:rsidRPr="00002824">
        <w:t xml:space="preserve"> </w:t>
      </w:r>
      <w:r w:rsidRPr="003E6230">
        <w:t xml:space="preserve">(explaining why it is </w:t>
      </w:r>
      <w:r w:rsidRPr="00C91384">
        <w:t>“</w:t>
      </w:r>
      <w:r w:rsidRPr="0038539D">
        <w:t>more appropriate” to use FGC/FC than FGM).</w:t>
      </w:r>
    </w:p>
  </w:footnote>
  <w:footnote w:id="2">
    <w:p w:rsidR="00A22D38" w:rsidRPr="00002824" w:rsidRDefault="00A22D38" w:rsidP="003E6230">
      <w:pPr>
        <w:pStyle w:val="FootnoteText"/>
      </w:pPr>
      <w:r w:rsidRPr="00002824">
        <w:rPr>
          <w:rStyle w:val="FootnoteReference"/>
        </w:rPr>
        <w:footnoteRef/>
      </w:r>
      <w:r w:rsidRPr="00002824">
        <w:t xml:space="preserve"> World Health Org</w:t>
      </w:r>
      <w:r w:rsidRPr="003E6230">
        <w:t>anization (hereinafter WHO)</w:t>
      </w:r>
      <w:r w:rsidRPr="00C91384">
        <w:t xml:space="preserve">, </w:t>
      </w:r>
      <w:r w:rsidRPr="00F26001">
        <w:rPr>
          <w:i/>
        </w:rPr>
        <w:t xml:space="preserve">Female </w:t>
      </w:r>
      <w:r>
        <w:rPr>
          <w:i/>
        </w:rPr>
        <w:t>G</w:t>
      </w:r>
      <w:r w:rsidRPr="00F26001">
        <w:rPr>
          <w:i/>
        </w:rPr>
        <w:t xml:space="preserve">enital </w:t>
      </w:r>
      <w:r>
        <w:rPr>
          <w:i/>
        </w:rPr>
        <w:t>M</w:t>
      </w:r>
      <w:r w:rsidRPr="00F26001">
        <w:rPr>
          <w:i/>
        </w:rPr>
        <w:t xml:space="preserve">utilation: Key </w:t>
      </w:r>
      <w:r>
        <w:rPr>
          <w:i/>
        </w:rPr>
        <w:t>F</w:t>
      </w:r>
      <w:r w:rsidRPr="00F26001">
        <w:rPr>
          <w:i/>
        </w:rPr>
        <w:t>acts</w:t>
      </w:r>
      <w:r w:rsidRPr="00002824">
        <w:t xml:space="preserve"> (Jan. 31, 2018), </w:t>
      </w:r>
      <w:r w:rsidRPr="00002824">
        <w:rPr>
          <w:i/>
        </w:rPr>
        <w:t>available at</w:t>
      </w:r>
      <w:r w:rsidRPr="003E6230">
        <w:t xml:space="preserve"> </w:t>
      </w:r>
      <w:r w:rsidRPr="00F26001">
        <w:t>http://www.who.int/news-room/fact-sheets/detail/female-genital-mutilation</w:t>
      </w:r>
      <w:r w:rsidRPr="00002824">
        <w:t xml:space="preserve">. </w:t>
      </w:r>
    </w:p>
  </w:footnote>
  <w:footnote w:id="3">
    <w:p w:rsidR="00A22D38" w:rsidRPr="003E6230" w:rsidRDefault="00A22D38" w:rsidP="003E6230">
      <w:pPr>
        <w:pStyle w:val="FootnoteText"/>
      </w:pPr>
      <w:r w:rsidRPr="00002824">
        <w:rPr>
          <w:rStyle w:val="FootnoteReference"/>
        </w:rPr>
        <w:footnoteRef/>
      </w:r>
      <w:r w:rsidRPr="00002824">
        <w:t xml:space="preserve"> </w:t>
      </w:r>
      <w:r w:rsidRPr="003E6230">
        <w:t>The United Nations Children Fund report</w:t>
      </w:r>
      <w:r w:rsidRPr="00C91384">
        <w:t>s</w:t>
      </w:r>
      <w:r w:rsidRPr="0038539D">
        <w:t xml:space="preserve"> that FGC is found in countries beyond those listed in many guides and the 29 that the United Nations covers, and the total worldwide number is unknown. </w:t>
      </w:r>
      <w:r w:rsidRPr="00002824">
        <w:t>United Nations Children’s Fund</w:t>
      </w:r>
      <w:r w:rsidRPr="003E6230">
        <w:t xml:space="preserve"> (hereinafter UNICEF), </w:t>
      </w:r>
      <w:r w:rsidRPr="00F26001">
        <w:rPr>
          <w:i/>
        </w:rPr>
        <w:t>Female Genital Mutilation/Cutting: A Statistical Overview and Exploration of the Dynamics of Change</w:t>
      </w:r>
      <w:r w:rsidRPr="00002824" w:rsidDel="00996DD4">
        <w:t xml:space="preserve"> </w:t>
      </w:r>
      <w:r w:rsidRPr="00002824">
        <w:t xml:space="preserve">(2013), </w:t>
      </w:r>
      <w:r w:rsidRPr="00F26001">
        <w:rPr>
          <w:i/>
        </w:rPr>
        <w:t>available at</w:t>
      </w:r>
      <w:r w:rsidRPr="00002824">
        <w:t xml:space="preserve"> </w:t>
      </w:r>
      <w:r w:rsidRPr="00F26001">
        <w:t>https://data.unicef.org/resources/female-genital-mutilationcutting-statistical-overview-exploration-dynamics-change/</w:t>
      </w:r>
      <w:r w:rsidRPr="00002824">
        <w:t xml:space="preserve">; </w:t>
      </w:r>
      <w:r w:rsidRPr="003E6230">
        <w:t xml:space="preserve">WHO, </w:t>
      </w:r>
      <w:r>
        <w:rPr>
          <w:i/>
        </w:rPr>
        <w:t xml:space="preserve">Supra </w:t>
      </w:r>
      <w:r w:rsidRPr="00EF6216">
        <w:t>note 2</w:t>
      </w:r>
      <w:r w:rsidRPr="00002824">
        <w:t xml:space="preserve">; </w:t>
      </w:r>
      <w:r w:rsidRPr="00F26001">
        <w:rPr>
          <w:i/>
        </w:rPr>
        <w:t xml:space="preserve">See </w:t>
      </w:r>
      <w:proofErr w:type="spellStart"/>
      <w:r w:rsidRPr="00002824">
        <w:t>Owolabi</w:t>
      </w:r>
      <w:proofErr w:type="spellEnd"/>
      <w:r w:rsidRPr="00002824">
        <w:t xml:space="preserve"> </w:t>
      </w:r>
      <w:proofErr w:type="spellStart"/>
      <w:r w:rsidRPr="00002824">
        <w:t>Bjälkander</w:t>
      </w:r>
      <w:proofErr w:type="spellEnd"/>
      <w:r w:rsidRPr="00002824">
        <w:t xml:space="preserve">, Donald S. Grant, </w:t>
      </w:r>
      <w:proofErr w:type="spellStart"/>
      <w:r w:rsidRPr="00002824">
        <w:t>Vanja</w:t>
      </w:r>
      <w:proofErr w:type="spellEnd"/>
      <w:r w:rsidRPr="00002824">
        <w:t xml:space="preserve"> Berggren, </w:t>
      </w:r>
      <w:proofErr w:type="spellStart"/>
      <w:r w:rsidRPr="00002824">
        <w:t>Heli</w:t>
      </w:r>
      <w:proofErr w:type="spellEnd"/>
      <w:r w:rsidRPr="00002824">
        <w:t xml:space="preserve"> </w:t>
      </w:r>
      <w:proofErr w:type="spellStart"/>
      <w:r w:rsidRPr="00002824">
        <w:t>Bathija</w:t>
      </w:r>
      <w:proofErr w:type="spellEnd"/>
      <w:r w:rsidRPr="003E6230">
        <w:t xml:space="preserve"> &amp; Lars </w:t>
      </w:r>
      <w:proofErr w:type="spellStart"/>
      <w:r w:rsidRPr="003E6230">
        <w:t>Almroth</w:t>
      </w:r>
      <w:proofErr w:type="spellEnd"/>
      <w:r w:rsidRPr="003E6230">
        <w:t xml:space="preserve">, </w:t>
      </w:r>
      <w:r w:rsidRPr="003E6230">
        <w:rPr>
          <w:i/>
        </w:rPr>
        <w:t>Female Genital Mutilation in Sierra Leone: Forms, Reliability of Reported Status, and Accuracy of Relate</w:t>
      </w:r>
      <w:r w:rsidRPr="00C91384">
        <w:rPr>
          <w:i/>
        </w:rPr>
        <w:t>d Demographic and Health Survey Questions</w:t>
      </w:r>
      <w:r w:rsidRPr="0038539D">
        <w:t xml:space="preserve">, 2013(1) </w:t>
      </w:r>
      <w:r w:rsidRPr="0038539D">
        <w:rPr>
          <w:smallCaps/>
        </w:rPr>
        <w:t xml:space="preserve">Obstetrics and </w:t>
      </w:r>
      <w:proofErr w:type="spellStart"/>
      <w:r w:rsidRPr="0038539D">
        <w:rPr>
          <w:smallCaps/>
        </w:rPr>
        <w:t>Gyn</w:t>
      </w:r>
      <w:proofErr w:type="spellEnd"/>
      <w:r w:rsidRPr="0038539D">
        <w:rPr>
          <w:smallCaps/>
        </w:rPr>
        <w:t xml:space="preserve"> Intl</w:t>
      </w:r>
      <w:r w:rsidRPr="0038539D">
        <w:t xml:space="preserve"> 1–14 (2013), </w:t>
      </w:r>
      <w:r w:rsidRPr="0038539D">
        <w:rPr>
          <w:i/>
        </w:rPr>
        <w:t>available at</w:t>
      </w:r>
      <w:r w:rsidRPr="0038539D">
        <w:t xml:space="preserve"> </w:t>
      </w:r>
      <w:r w:rsidRPr="00F26001">
        <w:t>https://www.hindawi.com/journals/ogi/2013/680926/</w:t>
      </w:r>
      <w:r w:rsidRPr="00002824">
        <w:t>.</w:t>
      </w:r>
    </w:p>
  </w:footnote>
  <w:footnote w:id="4">
    <w:p w:rsidR="00A22D38" w:rsidRPr="003E6230" w:rsidRDefault="00A22D38" w:rsidP="00C91384">
      <w:pPr>
        <w:pStyle w:val="FootnoteText"/>
      </w:pPr>
      <w:r w:rsidRPr="00002824">
        <w:rPr>
          <w:rStyle w:val="FootnoteReference"/>
        </w:rPr>
        <w:footnoteRef/>
      </w:r>
      <w:r w:rsidRPr="00002824">
        <w:t xml:space="preserve"> </w:t>
      </w:r>
      <w:r w:rsidRPr="003E6230">
        <w:t>WHO</w:t>
      </w:r>
      <w:r w:rsidRPr="00C91384">
        <w:t>,</w:t>
      </w:r>
      <w:r w:rsidRPr="003E6230">
        <w:t xml:space="preserve"> </w:t>
      </w:r>
      <w:r>
        <w:rPr>
          <w:i/>
        </w:rPr>
        <w:t xml:space="preserve">Supra </w:t>
      </w:r>
      <w:r w:rsidRPr="00172EFE">
        <w:t>note 2</w:t>
      </w:r>
      <w:r w:rsidRPr="0038539D">
        <w:t xml:space="preserve">. </w:t>
      </w:r>
    </w:p>
  </w:footnote>
  <w:footnote w:id="5">
    <w:p w:rsidR="00A22D38" w:rsidRPr="00002824" w:rsidRDefault="00A22D38" w:rsidP="0038539D">
      <w:pPr>
        <w:pStyle w:val="FootnoteText"/>
      </w:pPr>
      <w:r w:rsidRPr="00002824">
        <w:rPr>
          <w:rStyle w:val="FootnoteReference"/>
        </w:rPr>
        <w:footnoteRef/>
      </w:r>
      <w:r w:rsidRPr="00002824">
        <w:t xml:space="preserve"> Population Reference Bureau</w:t>
      </w:r>
      <w:r w:rsidRPr="003E6230">
        <w:t xml:space="preserve"> (hereinafter PRB), </w:t>
      </w:r>
      <w:r w:rsidRPr="00F26001">
        <w:rPr>
          <w:i/>
        </w:rPr>
        <w:t>Female Genital Mutilation/Cutting: Data and Trends Update 2014 – Infographic</w:t>
      </w:r>
      <w:r w:rsidRPr="00002824">
        <w:t xml:space="preserve"> (2014), </w:t>
      </w:r>
      <w:r w:rsidRPr="00002824">
        <w:rPr>
          <w:i/>
        </w:rPr>
        <w:t>available at</w:t>
      </w:r>
      <w:r w:rsidRPr="003E6230">
        <w:t xml:space="preserve"> </w:t>
      </w:r>
      <w:r w:rsidRPr="00F26001">
        <w:t>https://www.prb.org/infographic-fgm/</w:t>
      </w:r>
      <w:r w:rsidRPr="00002824">
        <w:t xml:space="preserve">. </w:t>
      </w:r>
    </w:p>
  </w:footnote>
  <w:footnote w:id="6">
    <w:p w:rsidR="00A22D38" w:rsidRDefault="00A22D38" w:rsidP="0038539D">
      <w:pPr>
        <w:pStyle w:val="FootnoteText"/>
      </w:pPr>
      <w:r w:rsidRPr="00002824">
        <w:rPr>
          <w:rStyle w:val="FootnoteReference"/>
        </w:rPr>
        <w:footnoteRef/>
      </w:r>
      <w:r w:rsidRPr="00002824">
        <w:t xml:space="preserve"> </w:t>
      </w:r>
      <w:r w:rsidRPr="003E6230">
        <w:t>WHO</w:t>
      </w:r>
      <w:r w:rsidRPr="00C91384">
        <w:t xml:space="preserve">, </w:t>
      </w:r>
      <w:r w:rsidRPr="0038539D">
        <w:rPr>
          <w:i/>
        </w:rPr>
        <w:t xml:space="preserve">Care of Girls &amp; Women Living with Female Genital Mutilation: A Clinical Handbook </w:t>
      </w:r>
      <w:r w:rsidRPr="0038539D">
        <w:t xml:space="preserve">(2018), 16-7, </w:t>
      </w:r>
      <w:r w:rsidRPr="0038539D">
        <w:rPr>
          <w:i/>
        </w:rPr>
        <w:t>available at</w:t>
      </w:r>
      <w:r w:rsidRPr="0038539D">
        <w:t xml:space="preserve"> </w:t>
      </w:r>
      <w:r w:rsidRPr="00F26001">
        <w:t>http://apps.who.int/iris/bitstream/handle/10665/272429/9789241513913-eng.pdf?ua=1</w:t>
      </w:r>
      <w:r>
        <w:t>.</w:t>
      </w:r>
    </w:p>
  </w:footnote>
  <w:footnote w:id="7">
    <w:p w:rsidR="00A22D38" w:rsidRDefault="00A22D38">
      <w:pPr>
        <w:pStyle w:val="FootnoteText"/>
      </w:pPr>
      <w:r>
        <w:rPr>
          <w:rStyle w:val="FootnoteReference"/>
        </w:rPr>
        <w:footnoteRef/>
      </w:r>
      <w:r>
        <w:t xml:space="preserve"> </w:t>
      </w:r>
      <w:r w:rsidRPr="00F26001">
        <w:rPr>
          <w:i/>
        </w:rPr>
        <w:t xml:space="preserve">See, e.g., </w:t>
      </w:r>
      <w:r w:rsidRPr="0038539D">
        <w:t xml:space="preserve">Human Rights Watch, They took Me and Told Me Nothing: Female Genital Mutilation in Iraqi Kurdistan 1, 8 (2010), available at </w:t>
      </w:r>
      <w:r w:rsidRPr="00F26001">
        <w:t>https://www.lawschool.cornell.edu/womenandjustice/upload/They-Took-Me-and-Told-Me-Nothing.pdf</w:t>
      </w:r>
      <w:r>
        <w:t xml:space="preserve"> (describing several international treaties, including a </w:t>
      </w:r>
      <w:r w:rsidRPr="0038539D">
        <w:t xml:space="preserve">Convention of the Elimination </w:t>
      </w:r>
      <w:r>
        <w:t xml:space="preserve">of All Forms of Discrimination, or </w:t>
      </w:r>
      <w:r w:rsidRPr="0038539D">
        <w:t>CEDAW</w:t>
      </w:r>
      <w:r>
        <w:t>,</w:t>
      </w:r>
      <w:r w:rsidRPr="0038539D">
        <w:t xml:space="preserve"> Committee</w:t>
      </w:r>
      <w:r>
        <w:t xml:space="preserve"> decision in 1990 calling on all states to eradicate FGC).</w:t>
      </w:r>
    </w:p>
  </w:footnote>
  <w:footnote w:id="8">
    <w:p w:rsidR="00A22D38" w:rsidRDefault="00A22D38">
      <w:pPr>
        <w:pStyle w:val="FootnoteText"/>
      </w:pPr>
      <w:r>
        <w:rPr>
          <w:rStyle w:val="FootnoteReference"/>
        </w:rPr>
        <w:footnoteRef/>
      </w:r>
      <w:r>
        <w:t xml:space="preserve"> UNICEF, </w:t>
      </w:r>
      <w:r w:rsidRPr="009F2B49">
        <w:rPr>
          <w:i/>
        </w:rPr>
        <w:t>Female Genital Mutilation/Cutting: A Statistical Overview and Exploration of the Dynamics of Change</w:t>
      </w:r>
      <w:r w:rsidRPr="000F3B51" w:rsidDel="00996DD4">
        <w:t xml:space="preserve"> </w:t>
      </w:r>
      <w:r>
        <w:t xml:space="preserve">(2013), </w:t>
      </w:r>
      <w:r w:rsidRPr="009F2B49">
        <w:rPr>
          <w:i/>
        </w:rPr>
        <w:t>available at</w:t>
      </w:r>
      <w:r>
        <w:t xml:space="preserve"> </w:t>
      </w:r>
      <w:r w:rsidRPr="00F26001">
        <w:t>https://data.unicef.org/resources/female-genital-mutilationcutting-statistical-overview-exploration-dynamics-change/</w:t>
      </w:r>
      <w:r>
        <w:t xml:space="preserve">; WHO, </w:t>
      </w:r>
      <w:r>
        <w:rPr>
          <w:i/>
        </w:rPr>
        <w:t xml:space="preserve">Supra </w:t>
      </w:r>
      <w:r w:rsidRPr="00172EFE">
        <w:t>note 2</w:t>
      </w:r>
      <w:r>
        <w:t>.</w:t>
      </w:r>
    </w:p>
  </w:footnote>
  <w:footnote w:id="9">
    <w:p w:rsidR="00A22D38" w:rsidRDefault="00A22D38" w:rsidP="00596919">
      <w:pPr>
        <w:pStyle w:val="FootnoteText"/>
      </w:pPr>
      <w:r>
        <w:rPr>
          <w:rStyle w:val="FootnoteReference"/>
        </w:rPr>
        <w:footnoteRef/>
      </w:r>
      <w:r>
        <w:t xml:space="preserve"> WHO, </w:t>
      </w:r>
      <w:r>
        <w:rPr>
          <w:i/>
        </w:rPr>
        <w:t xml:space="preserve">Supra </w:t>
      </w:r>
      <w:r w:rsidRPr="00EF6216">
        <w:t>note 6.</w:t>
      </w:r>
    </w:p>
  </w:footnote>
  <w:footnote w:id="10">
    <w:p w:rsidR="00A22D38" w:rsidRDefault="00A22D38" w:rsidP="007C0D46">
      <w:pPr>
        <w:pStyle w:val="FootnoteText"/>
      </w:pPr>
      <w:r>
        <w:rPr>
          <w:rStyle w:val="FootnoteReference"/>
        </w:rPr>
        <w:footnoteRef/>
      </w:r>
      <w:r>
        <w:t xml:space="preserve"> WHO, </w:t>
      </w:r>
      <w:r>
        <w:rPr>
          <w:i/>
        </w:rPr>
        <w:t xml:space="preserve">Supra </w:t>
      </w:r>
      <w:r w:rsidRPr="00172EFE">
        <w:t>note 6.</w:t>
      </w:r>
    </w:p>
  </w:footnote>
  <w:footnote w:id="11">
    <w:p w:rsidR="00A22D38" w:rsidRDefault="00A22D38">
      <w:pPr>
        <w:pStyle w:val="FootnoteText"/>
      </w:pPr>
      <w:r>
        <w:rPr>
          <w:rStyle w:val="FootnoteReference"/>
        </w:rPr>
        <w:footnoteRef/>
      </w:r>
      <w:r>
        <w:t xml:space="preserve"> B.D. Williams-</w:t>
      </w:r>
      <w:proofErr w:type="spellStart"/>
      <w:r>
        <w:t>Breault</w:t>
      </w:r>
      <w:proofErr w:type="spellEnd"/>
      <w:r>
        <w:t xml:space="preserve">, </w:t>
      </w:r>
      <w:r w:rsidRPr="007C0D46">
        <w:rPr>
          <w:i/>
        </w:rPr>
        <w:t>Eradicating Female Genital Mutilation/Cutting: Human Rights-Based Approaches of Legislation, Education, and Community Empowerment</w:t>
      </w:r>
      <w:r>
        <w:t xml:space="preserve">, </w:t>
      </w:r>
      <w:r w:rsidRPr="00F26001">
        <w:rPr>
          <w:smallCaps/>
        </w:rPr>
        <w:t>Health and Human Rights Journal</w:t>
      </w:r>
      <w:r>
        <w:t xml:space="preserve"> (Aug. 2018), </w:t>
      </w:r>
      <w:r w:rsidRPr="007C0D46">
        <w:rPr>
          <w:i/>
        </w:rPr>
        <w:t>available at</w:t>
      </w:r>
      <w:r>
        <w:t xml:space="preserve"> </w:t>
      </w:r>
      <w:r w:rsidRPr="00F26001">
        <w:t>https://www.hhrjournal.org/2018/08/eradicating-female-genital-mutilation-cutting-human-rights-based-approaches-of-legislation-education-and-community-empowerment/#_edn49</w:t>
      </w:r>
      <w:r>
        <w:t xml:space="preserve">; Equality Now, </w:t>
      </w:r>
      <w:r w:rsidRPr="00F26001">
        <w:rPr>
          <w:i/>
        </w:rPr>
        <w:t>End FGM</w:t>
      </w:r>
      <w:r>
        <w:t xml:space="preserve"> (last visited Dec. 7, 2018), </w:t>
      </w:r>
      <w:r w:rsidRPr="00F26001">
        <w:rPr>
          <w:i/>
        </w:rPr>
        <w:t>available at</w:t>
      </w:r>
      <w:r>
        <w:t xml:space="preserve"> </w:t>
      </w:r>
      <w:r w:rsidRPr="00B65585">
        <w:t>https://www.equalitynow.org/end_fgm?locale=en</w:t>
      </w:r>
      <w:r>
        <w:t>.</w:t>
      </w:r>
    </w:p>
  </w:footnote>
  <w:footnote w:id="12">
    <w:p w:rsidR="00A22D38" w:rsidRDefault="00A22D38">
      <w:pPr>
        <w:pStyle w:val="FootnoteText"/>
      </w:pPr>
      <w:r>
        <w:rPr>
          <w:rStyle w:val="FootnoteReference"/>
        </w:rPr>
        <w:footnoteRef/>
      </w:r>
      <w:r>
        <w:t xml:space="preserve"> B.D. Williams-</w:t>
      </w:r>
      <w:proofErr w:type="spellStart"/>
      <w:r>
        <w:t>Breault</w:t>
      </w:r>
      <w:proofErr w:type="spellEnd"/>
      <w:r>
        <w:t xml:space="preserve">, </w:t>
      </w:r>
      <w:r>
        <w:rPr>
          <w:i/>
        </w:rPr>
        <w:t xml:space="preserve">Supra </w:t>
      </w:r>
      <w:r w:rsidRPr="00EF6216">
        <w:t>note 11.</w:t>
      </w:r>
      <w:r>
        <w:t xml:space="preserve"> </w:t>
      </w:r>
    </w:p>
  </w:footnote>
  <w:footnote w:id="13">
    <w:p w:rsidR="00A22D38" w:rsidRDefault="00A22D38" w:rsidP="00BB2D32">
      <w:pPr>
        <w:pStyle w:val="FootnoteText"/>
      </w:pPr>
      <w:r>
        <w:rPr>
          <w:rStyle w:val="FootnoteReference"/>
        </w:rPr>
        <w:footnoteRef/>
      </w:r>
      <w:r>
        <w:t xml:space="preserve"> </w:t>
      </w:r>
      <w:r w:rsidR="00BB4C73" w:rsidRPr="00EF6216">
        <w:rPr>
          <w:i/>
        </w:rPr>
        <w:t>Id</w:t>
      </w:r>
      <w:r w:rsidRPr="00EF6216">
        <w:rPr>
          <w:i/>
        </w:rPr>
        <w:t>.</w:t>
      </w:r>
    </w:p>
  </w:footnote>
  <w:footnote w:id="14">
    <w:p w:rsidR="00A22D38" w:rsidRDefault="00A22D38">
      <w:pPr>
        <w:pStyle w:val="FootnoteText"/>
      </w:pPr>
      <w:r>
        <w:rPr>
          <w:rStyle w:val="FootnoteReference"/>
        </w:rPr>
        <w:footnoteRef/>
      </w:r>
      <w:r>
        <w:t xml:space="preserve"> </w:t>
      </w:r>
      <w:r w:rsidR="002165CE">
        <w:t xml:space="preserve">The </w:t>
      </w:r>
      <w:r w:rsidR="002165CE" w:rsidRPr="002165CE">
        <w:t>United Nations Population Fund (</w:t>
      </w:r>
      <w:r w:rsidR="002165CE">
        <w:t xml:space="preserve">hereinafter </w:t>
      </w:r>
      <w:r w:rsidR="002165CE" w:rsidRPr="002165CE">
        <w:t>UNFPA)</w:t>
      </w:r>
      <w:r>
        <w:t xml:space="preserve">, </w:t>
      </w:r>
      <w:r w:rsidRPr="009F2B49">
        <w:rPr>
          <w:i/>
        </w:rPr>
        <w:t xml:space="preserve">Female </w:t>
      </w:r>
      <w:r w:rsidR="002165CE">
        <w:rPr>
          <w:i/>
        </w:rPr>
        <w:t>G</w:t>
      </w:r>
      <w:r w:rsidRPr="009F2B49">
        <w:rPr>
          <w:i/>
        </w:rPr>
        <w:t xml:space="preserve">enital </w:t>
      </w:r>
      <w:r w:rsidR="002165CE">
        <w:rPr>
          <w:i/>
        </w:rPr>
        <w:t>M</w:t>
      </w:r>
      <w:r w:rsidRPr="009F2B49">
        <w:rPr>
          <w:i/>
        </w:rPr>
        <w:t>utilation (FGM)</w:t>
      </w:r>
      <w:r w:rsidR="002165CE">
        <w:rPr>
          <w:i/>
        </w:rPr>
        <w:t xml:space="preserve"> -</w:t>
      </w:r>
      <w:r w:rsidRPr="009F2B49">
        <w:rPr>
          <w:i/>
        </w:rPr>
        <w:t xml:space="preserve"> </w:t>
      </w:r>
      <w:r w:rsidR="002165CE">
        <w:rPr>
          <w:i/>
        </w:rPr>
        <w:t>F</w:t>
      </w:r>
      <w:r w:rsidRPr="009F2B49">
        <w:rPr>
          <w:i/>
        </w:rPr>
        <w:t xml:space="preserve">requently </w:t>
      </w:r>
      <w:r w:rsidR="002165CE">
        <w:rPr>
          <w:i/>
        </w:rPr>
        <w:t>A</w:t>
      </w:r>
      <w:r w:rsidRPr="009F2B49">
        <w:rPr>
          <w:i/>
        </w:rPr>
        <w:t xml:space="preserve">sked </w:t>
      </w:r>
      <w:r w:rsidR="002165CE">
        <w:rPr>
          <w:i/>
        </w:rPr>
        <w:t>Q</w:t>
      </w:r>
      <w:r w:rsidRPr="009F2B49">
        <w:rPr>
          <w:i/>
        </w:rPr>
        <w:t>uestions</w:t>
      </w:r>
      <w:r>
        <w:t xml:space="preserve"> (Feb. 2018), </w:t>
      </w:r>
      <w:r w:rsidRPr="005F0931">
        <w:rPr>
          <w:i/>
        </w:rPr>
        <w:t>available at</w:t>
      </w:r>
      <w:r>
        <w:t xml:space="preserve"> </w:t>
      </w:r>
      <w:r w:rsidRPr="009F2B49">
        <w:t>https://www.unfpa.org/resources/female-genital-mutilation-fgm-frequently-asked-questions</w:t>
      </w:r>
      <w:r>
        <w:t>.</w:t>
      </w:r>
    </w:p>
  </w:footnote>
  <w:footnote w:id="15">
    <w:p w:rsidR="00A22D38" w:rsidRDefault="00A22D38" w:rsidP="00443DF3">
      <w:pPr>
        <w:pStyle w:val="FootnoteText"/>
      </w:pPr>
      <w:r>
        <w:rPr>
          <w:rStyle w:val="FootnoteReference"/>
        </w:rPr>
        <w:footnoteRef/>
      </w:r>
      <w:r>
        <w:t xml:space="preserve"> UNFPA, </w:t>
      </w:r>
      <w:r w:rsidRPr="00F26001">
        <w:rPr>
          <w:i/>
        </w:rPr>
        <w:t xml:space="preserve">UNFPA-UNICEF Joint </w:t>
      </w:r>
      <w:proofErr w:type="spellStart"/>
      <w:r w:rsidRPr="00F26001">
        <w:rPr>
          <w:i/>
        </w:rPr>
        <w:t>Programme</w:t>
      </w:r>
      <w:proofErr w:type="spellEnd"/>
      <w:r w:rsidRPr="00F26001">
        <w:rPr>
          <w:i/>
        </w:rPr>
        <w:t xml:space="preserve"> to Eliminate Female Genital Mutilation</w:t>
      </w:r>
      <w:r>
        <w:t xml:space="preserve"> (Feb. 6, 2018), </w:t>
      </w:r>
      <w:r w:rsidRPr="00B76B83">
        <w:rPr>
          <w:i/>
        </w:rPr>
        <w:t>available at</w:t>
      </w:r>
      <w:r>
        <w:t xml:space="preserve"> </w:t>
      </w:r>
      <w:r w:rsidRPr="00F26001">
        <w:t>https://www.unfpa.org/unfpa-unicef-joint-programme-eliminate-female-genital-mutilation</w:t>
      </w:r>
      <w:r>
        <w:t xml:space="preserve">. </w:t>
      </w:r>
    </w:p>
  </w:footnote>
  <w:footnote w:id="16">
    <w:p w:rsidR="00A22D38" w:rsidRDefault="00A22D38" w:rsidP="000A4852">
      <w:pPr>
        <w:pStyle w:val="FootnoteText"/>
      </w:pPr>
      <w:r>
        <w:rPr>
          <w:rStyle w:val="FootnoteReference"/>
        </w:rPr>
        <w:footnoteRef/>
      </w:r>
      <w:r>
        <w:t xml:space="preserve"> WHO, </w:t>
      </w:r>
      <w:r>
        <w:rPr>
          <w:i/>
        </w:rPr>
        <w:t xml:space="preserve">Supra </w:t>
      </w:r>
      <w:r w:rsidRPr="00172EFE">
        <w:t>note 6.</w:t>
      </w:r>
    </w:p>
  </w:footnote>
  <w:footnote w:id="17">
    <w:p w:rsidR="00A22D38" w:rsidRDefault="00A22D38" w:rsidP="00AB4BE4">
      <w:pPr>
        <w:pStyle w:val="FootnoteText"/>
      </w:pPr>
      <w:r>
        <w:rPr>
          <w:rStyle w:val="FootnoteReference"/>
        </w:rPr>
        <w:footnoteRef/>
      </w:r>
      <w:r>
        <w:t xml:space="preserve"> H. Goldberg, P. </w:t>
      </w:r>
      <w:proofErr w:type="spellStart"/>
      <w:r>
        <w:t>Stupp</w:t>
      </w:r>
      <w:proofErr w:type="spellEnd"/>
      <w:r>
        <w:t xml:space="preserve">, E. </w:t>
      </w:r>
      <w:proofErr w:type="spellStart"/>
      <w:r>
        <w:t>Okoroh</w:t>
      </w:r>
      <w:proofErr w:type="spellEnd"/>
      <w:r>
        <w:t xml:space="preserve">, G. </w:t>
      </w:r>
      <w:proofErr w:type="spellStart"/>
      <w:r>
        <w:t>Besera</w:t>
      </w:r>
      <w:proofErr w:type="spellEnd"/>
      <w:r>
        <w:t xml:space="preserve">, D. Goodman &amp; I. </w:t>
      </w:r>
      <w:proofErr w:type="spellStart"/>
      <w:r>
        <w:t>Danel</w:t>
      </w:r>
      <w:proofErr w:type="spellEnd"/>
      <w:r>
        <w:t xml:space="preserve">, </w:t>
      </w:r>
      <w:r w:rsidRPr="00B656DF">
        <w:rPr>
          <w:i/>
        </w:rPr>
        <w:t>Female Genital Mutilation/Cutting in the United States: Updated Estimates of Women and Girls at Risk, 2012</w:t>
      </w:r>
      <w:r>
        <w:t xml:space="preserve">, Public Health Reports, Vol. 131, (Mar.-Apr. 2016), 4, </w:t>
      </w:r>
      <w:r w:rsidRPr="00AB4BE4">
        <w:rPr>
          <w:i/>
        </w:rPr>
        <w:t>available at</w:t>
      </w:r>
      <w:r>
        <w:t xml:space="preserve"> </w:t>
      </w:r>
      <w:r w:rsidRPr="00F26001">
        <w:t>https://www.uscis.gov/sites/default/files/USCIS/Humanitarian/Special%20Situations/fgmutilation.pdf</w:t>
      </w:r>
      <w:r>
        <w:t xml:space="preserve">; PRB, </w:t>
      </w:r>
      <w:r w:rsidRPr="00F26001">
        <w:rPr>
          <w:i/>
        </w:rPr>
        <w:t>Summary of PRB Methods to Produce Estimates of Women and Girls Potentially at Risk of FGM/C in the United States</w:t>
      </w:r>
      <w:r>
        <w:t xml:space="preserve"> (last visited Dec. 7, 2018), </w:t>
      </w:r>
      <w:r w:rsidRPr="00F26001">
        <w:rPr>
          <w:i/>
        </w:rPr>
        <w:t>available at</w:t>
      </w:r>
      <w:r>
        <w:t xml:space="preserve"> </w:t>
      </w:r>
      <w:r w:rsidRPr="006C06EE">
        <w:t>https://assets.prb.org/pdf15/prb-unitedstates-fgmc-methodology.pdf</w:t>
      </w:r>
      <w:r>
        <w:t>.</w:t>
      </w:r>
    </w:p>
  </w:footnote>
  <w:footnote w:id="18">
    <w:p w:rsidR="00A22D38" w:rsidRPr="00B656DF" w:rsidRDefault="00A22D38" w:rsidP="00B656DF">
      <w:pPr>
        <w:pStyle w:val="FootnoteText"/>
      </w:pPr>
      <w:r>
        <w:rPr>
          <w:rStyle w:val="FootnoteReference"/>
        </w:rPr>
        <w:footnoteRef/>
      </w:r>
      <w:r>
        <w:t xml:space="preserve"> H. Goldberg, P. </w:t>
      </w:r>
      <w:proofErr w:type="spellStart"/>
      <w:r>
        <w:t>Stupp</w:t>
      </w:r>
      <w:proofErr w:type="spellEnd"/>
      <w:r>
        <w:t xml:space="preserve">, E. </w:t>
      </w:r>
      <w:proofErr w:type="spellStart"/>
      <w:r>
        <w:t>Okoroh</w:t>
      </w:r>
      <w:proofErr w:type="spellEnd"/>
      <w:r>
        <w:t xml:space="preserve">, G. </w:t>
      </w:r>
      <w:proofErr w:type="spellStart"/>
      <w:r>
        <w:t>Besera</w:t>
      </w:r>
      <w:proofErr w:type="spellEnd"/>
      <w:r>
        <w:t xml:space="preserve">, D. Goodman &amp; I. </w:t>
      </w:r>
      <w:proofErr w:type="spellStart"/>
      <w:r>
        <w:t>Danel</w:t>
      </w:r>
      <w:proofErr w:type="spellEnd"/>
      <w:r>
        <w:t xml:space="preserve">, </w:t>
      </w:r>
      <w:r w:rsidRPr="00B656DF">
        <w:rPr>
          <w:i/>
        </w:rPr>
        <w:t>Female Genital Mutilation/Cutting in the United States: Updated Estimates of Women and Girls at Risk, 2012</w:t>
      </w:r>
      <w:r>
        <w:t xml:space="preserve">, Public Health Reports, Vol. 131, (Mar.-Apr. 2016), 1, </w:t>
      </w:r>
      <w:r w:rsidRPr="00AB4BE4">
        <w:rPr>
          <w:i/>
        </w:rPr>
        <w:t>available at</w:t>
      </w:r>
      <w:r>
        <w:t xml:space="preserve"> </w:t>
      </w:r>
      <w:r w:rsidRPr="00F26001">
        <w:t>https://www.uscis.gov/sites/default/files/USCIS/Humanitarian/Special%20Situations/fgmutilation.pdf</w:t>
      </w:r>
      <w:r>
        <w:t xml:space="preserve">. </w:t>
      </w:r>
    </w:p>
  </w:footnote>
  <w:footnote w:id="19">
    <w:p w:rsidR="00A22D38" w:rsidRDefault="00A22D38">
      <w:pPr>
        <w:pStyle w:val="FootnoteText"/>
      </w:pPr>
      <w:r>
        <w:rPr>
          <w:rStyle w:val="FootnoteReference"/>
        </w:rPr>
        <w:footnoteRef/>
      </w:r>
      <w:r>
        <w:t xml:space="preserve"> Samantha Allen, </w:t>
      </w:r>
      <w:r w:rsidRPr="00F26001">
        <w:rPr>
          <w:i/>
        </w:rPr>
        <w:t>New York Cracks Down on Female Genital Mutilation</w:t>
      </w:r>
      <w:r>
        <w:t xml:space="preserve">, </w:t>
      </w:r>
      <w:r w:rsidRPr="00F26001">
        <w:rPr>
          <w:smallCaps/>
        </w:rPr>
        <w:t>The Daily Beast</w:t>
      </w:r>
      <w:r>
        <w:t xml:space="preserve"> (Dec. 2, 2015), </w:t>
      </w:r>
      <w:r w:rsidRPr="00F26001">
        <w:rPr>
          <w:i/>
        </w:rPr>
        <w:t>available at</w:t>
      </w:r>
      <w:r>
        <w:t xml:space="preserve"> </w:t>
      </w:r>
      <w:r w:rsidRPr="006C06EE">
        <w:t>https://www.thedailybeast.com/new-york-cracks-down-on-female-genital-mutilation?ref=scroll</w:t>
      </w:r>
      <w:r>
        <w:t>.</w:t>
      </w:r>
    </w:p>
  </w:footnote>
  <w:footnote w:id="20">
    <w:p w:rsidR="00A22D38" w:rsidRDefault="00A22D38">
      <w:pPr>
        <w:pStyle w:val="FootnoteText"/>
      </w:pPr>
      <w:r>
        <w:rPr>
          <w:rStyle w:val="FootnoteReference"/>
        </w:rPr>
        <w:footnoteRef/>
      </w:r>
      <w:r>
        <w:t xml:space="preserve"> </w:t>
      </w:r>
      <w:r w:rsidR="001D1A94" w:rsidRPr="00EF6216">
        <w:rPr>
          <w:i/>
        </w:rPr>
        <w:t>Id.</w:t>
      </w:r>
    </w:p>
  </w:footnote>
  <w:footnote w:id="21">
    <w:p w:rsidR="00A22D38" w:rsidRDefault="00A22D38">
      <w:pPr>
        <w:pStyle w:val="FootnoteText"/>
      </w:pPr>
      <w:r>
        <w:rPr>
          <w:rStyle w:val="FootnoteReference"/>
        </w:rPr>
        <w:footnoteRef/>
      </w:r>
      <w:r>
        <w:t xml:space="preserve"> PRB, </w:t>
      </w:r>
      <w:r w:rsidR="00405934">
        <w:rPr>
          <w:i/>
        </w:rPr>
        <w:t xml:space="preserve">Supra </w:t>
      </w:r>
      <w:r w:rsidR="00405934" w:rsidRPr="00EF6216">
        <w:t>note 17.</w:t>
      </w:r>
    </w:p>
  </w:footnote>
  <w:footnote w:id="22">
    <w:p w:rsidR="00A22D38" w:rsidRPr="00F23800" w:rsidRDefault="00A22D38" w:rsidP="00C61C0E">
      <w:pPr>
        <w:pStyle w:val="FootnoteText"/>
      </w:pPr>
      <w:r>
        <w:rPr>
          <w:rStyle w:val="FootnoteReference"/>
        </w:rPr>
        <w:footnoteRef/>
      </w:r>
      <w:r>
        <w:t xml:space="preserve"> </w:t>
      </w:r>
      <w:r>
        <w:rPr>
          <w:rFonts w:eastAsia="Calibri"/>
          <w:color w:val="000000"/>
        </w:rPr>
        <w:t xml:space="preserve">When </w:t>
      </w:r>
      <w:r w:rsidRPr="00F23800">
        <w:rPr>
          <w:rFonts w:eastAsia="Calibri"/>
          <w:color w:val="000000"/>
        </w:rPr>
        <w:t xml:space="preserve">considering New Jersey, 13 percent of all women and girls at risk of FGC live in the </w:t>
      </w:r>
      <w:r w:rsidR="00416536">
        <w:rPr>
          <w:rFonts w:eastAsia="Calibri"/>
          <w:color w:val="000000"/>
        </w:rPr>
        <w:t xml:space="preserve">NYC </w:t>
      </w:r>
      <w:r w:rsidRPr="00F23800">
        <w:rPr>
          <w:rFonts w:eastAsia="Calibri"/>
          <w:color w:val="000000"/>
        </w:rPr>
        <w:t xml:space="preserve">metropolitan area. </w:t>
      </w:r>
      <w:r w:rsidR="00405934" w:rsidRPr="00EF6216">
        <w:rPr>
          <w:i/>
        </w:rPr>
        <w:t>Id</w:t>
      </w:r>
      <w:r w:rsidR="00405934" w:rsidRPr="00405934">
        <w:rPr>
          <w:i/>
        </w:rPr>
        <w:t>.</w:t>
      </w:r>
      <w:r w:rsidRPr="00F23800">
        <w:t xml:space="preserve">; Samantha Allen, </w:t>
      </w:r>
      <w:r w:rsidRPr="00F23800">
        <w:rPr>
          <w:i/>
        </w:rPr>
        <w:t xml:space="preserve">Supra </w:t>
      </w:r>
      <w:r w:rsidRPr="00F23800">
        <w:t>note 19.</w:t>
      </w:r>
    </w:p>
  </w:footnote>
  <w:footnote w:id="23">
    <w:p w:rsidR="00A22D38" w:rsidRPr="00F26001" w:rsidRDefault="00A22D38" w:rsidP="00F26001">
      <w:pPr>
        <w:spacing w:after="100"/>
        <w:rPr>
          <w:sz w:val="20"/>
          <w:szCs w:val="20"/>
        </w:rPr>
      </w:pPr>
      <w:r w:rsidRPr="00F23800">
        <w:rPr>
          <w:rStyle w:val="FootnoteReference"/>
          <w:sz w:val="20"/>
          <w:szCs w:val="20"/>
        </w:rPr>
        <w:footnoteRef/>
      </w:r>
      <w:r w:rsidRPr="00F23800">
        <w:rPr>
          <w:sz w:val="20"/>
          <w:szCs w:val="20"/>
        </w:rPr>
        <w:t xml:space="preserve"> </w:t>
      </w:r>
      <w:r w:rsidRPr="00EF6216">
        <w:rPr>
          <w:sz w:val="20"/>
          <w:szCs w:val="20"/>
        </w:rPr>
        <w:t xml:space="preserve">Samantha Allen, </w:t>
      </w:r>
      <w:r w:rsidRPr="00EF6216">
        <w:rPr>
          <w:i/>
          <w:sz w:val="20"/>
          <w:szCs w:val="20"/>
        </w:rPr>
        <w:t xml:space="preserve">Supra </w:t>
      </w:r>
      <w:r w:rsidRPr="00EF6216">
        <w:rPr>
          <w:sz w:val="20"/>
          <w:szCs w:val="20"/>
        </w:rPr>
        <w:t>note 19.</w:t>
      </w:r>
      <w:r w:rsidRPr="00F23800">
        <w:rPr>
          <w:sz w:val="20"/>
          <w:szCs w:val="20"/>
        </w:rPr>
        <w:t xml:space="preserve">; </w:t>
      </w:r>
      <w:r w:rsidRPr="00F23800">
        <w:rPr>
          <w:rFonts w:eastAsia="MS Mincho"/>
          <w:sz w:val="20"/>
          <w:szCs w:val="20"/>
        </w:rPr>
        <w:t xml:space="preserve">Nina </w:t>
      </w:r>
      <w:proofErr w:type="spellStart"/>
      <w:r w:rsidRPr="00F23800">
        <w:rPr>
          <w:rFonts w:eastAsia="MS Mincho"/>
          <w:sz w:val="20"/>
          <w:szCs w:val="20"/>
        </w:rPr>
        <w:t>Strochlic</w:t>
      </w:r>
      <w:proofErr w:type="spellEnd"/>
      <w:r w:rsidRPr="00F23800">
        <w:rPr>
          <w:rFonts w:eastAsia="MS Mincho"/>
          <w:sz w:val="20"/>
          <w:szCs w:val="20"/>
        </w:rPr>
        <w:t xml:space="preserve">, </w:t>
      </w:r>
      <w:r w:rsidRPr="00F23800">
        <w:rPr>
          <w:rFonts w:eastAsia="MS Mincho"/>
          <w:i/>
          <w:iCs/>
          <w:sz w:val="20"/>
          <w:szCs w:val="20"/>
        </w:rPr>
        <w:t>The U.S. Female Genital Mutilation Crisis,</w:t>
      </w:r>
      <w:r w:rsidRPr="00F23800">
        <w:rPr>
          <w:smallCaps/>
          <w:sz w:val="20"/>
          <w:szCs w:val="20"/>
        </w:rPr>
        <w:t xml:space="preserve"> The Daily Beast</w:t>
      </w:r>
      <w:r w:rsidRPr="00F23800">
        <w:rPr>
          <w:sz w:val="20"/>
          <w:szCs w:val="20"/>
        </w:rPr>
        <w:t xml:space="preserve"> (Dec. 2, 2015), </w:t>
      </w:r>
      <w:r w:rsidRPr="00F23800">
        <w:rPr>
          <w:i/>
          <w:sz w:val="20"/>
          <w:szCs w:val="20"/>
        </w:rPr>
        <w:t>available at</w:t>
      </w:r>
      <w:r w:rsidRPr="00F23800">
        <w:rPr>
          <w:sz w:val="20"/>
          <w:szCs w:val="20"/>
        </w:rPr>
        <w:t xml:space="preserve"> https://www.thedailybeast.com/new-york-cracks-down-on-female-genital-mutilation?ref=scroll; Elise B. Johansen, Mai </w:t>
      </w:r>
      <w:proofErr w:type="spellStart"/>
      <w:r w:rsidRPr="00F23800">
        <w:rPr>
          <w:sz w:val="20"/>
          <w:szCs w:val="20"/>
        </w:rPr>
        <w:t>Ziyada</w:t>
      </w:r>
      <w:proofErr w:type="spellEnd"/>
      <w:r w:rsidRPr="00F23800">
        <w:rPr>
          <w:sz w:val="20"/>
          <w:szCs w:val="20"/>
        </w:rPr>
        <w:t xml:space="preserve">, Bettina Shell-Duncan, Adriana </w:t>
      </w:r>
      <w:proofErr w:type="spellStart"/>
      <w:r w:rsidRPr="00F23800">
        <w:rPr>
          <w:sz w:val="20"/>
          <w:szCs w:val="20"/>
        </w:rPr>
        <w:t>Marcusàn</w:t>
      </w:r>
      <w:proofErr w:type="spellEnd"/>
      <w:r w:rsidRPr="00F23800">
        <w:rPr>
          <w:sz w:val="20"/>
          <w:szCs w:val="20"/>
        </w:rPr>
        <w:t xml:space="preserve"> Kaplan, and </w:t>
      </w:r>
      <w:proofErr w:type="spellStart"/>
      <w:r w:rsidRPr="00F23800">
        <w:rPr>
          <w:sz w:val="20"/>
          <w:szCs w:val="20"/>
        </w:rPr>
        <w:t>Els</w:t>
      </w:r>
      <w:proofErr w:type="spellEnd"/>
      <w:r w:rsidRPr="00F23800">
        <w:rPr>
          <w:sz w:val="20"/>
          <w:szCs w:val="20"/>
        </w:rPr>
        <w:t xml:space="preserve"> </w:t>
      </w:r>
      <w:proofErr w:type="spellStart"/>
      <w:r w:rsidRPr="00F23800">
        <w:rPr>
          <w:sz w:val="20"/>
          <w:szCs w:val="20"/>
        </w:rPr>
        <w:t>Leye</w:t>
      </w:r>
      <w:proofErr w:type="spellEnd"/>
      <w:r w:rsidRPr="00F23800">
        <w:rPr>
          <w:sz w:val="20"/>
          <w:szCs w:val="20"/>
        </w:rPr>
        <w:t xml:space="preserve">, </w:t>
      </w:r>
      <w:r w:rsidRPr="00F23800">
        <w:rPr>
          <w:i/>
          <w:sz w:val="20"/>
          <w:szCs w:val="20"/>
        </w:rPr>
        <w:t>Health Sector Involvement in</w:t>
      </w:r>
      <w:r w:rsidRPr="00F26001">
        <w:rPr>
          <w:i/>
          <w:sz w:val="20"/>
          <w:szCs w:val="20"/>
        </w:rPr>
        <w:t xml:space="preserve"> the Management of Female Genital Mutilation/Cutting in 30 Countries</w:t>
      </w:r>
      <w:r>
        <w:rPr>
          <w:sz w:val="20"/>
          <w:szCs w:val="20"/>
        </w:rPr>
        <w:t xml:space="preserve">, 240(18) BMC Health Serv. Res. (2018), </w:t>
      </w:r>
      <w:r w:rsidRPr="00F26001">
        <w:rPr>
          <w:i/>
          <w:sz w:val="20"/>
          <w:szCs w:val="20"/>
        </w:rPr>
        <w:t>available at</w:t>
      </w:r>
      <w:r>
        <w:rPr>
          <w:sz w:val="20"/>
          <w:szCs w:val="20"/>
        </w:rPr>
        <w:t xml:space="preserve"> </w:t>
      </w:r>
      <w:r w:rsidRPr="0063780D">
        <w:rPr>
          <w:sz w:val="20"/>
          <w:szCs w:val="20"/>
        </w:rPr>
        <w:t>https://www.ncbi.nlm.nih.gov/pmc/articles/PMC5883890/</w:t>
      </w:r>
      <w:r>
        <w:rPr>
          <w:sz w:val="20"/>
          <w:szCs w:val="20"/>
        </w:rPr>
        <w:t>.</w:t>
      </w:r>
    </w:p>
  </w:footnote>
  <w:footnote w:id="24">
    <w:p w:rsidR="00A22D38" w:rsidRPr="00F26001" w:rsidRDefault="00A22D38" w:rsidP="004C27E8">
      <w:pPr>
        <w:pStyle w:val="FootnoteText"/>
        <w:rPr>
          <w:b/>
          <w:bCs/>
          <w:i/>
          <w:iCs/>
        </w:rPr>
      </w:pPr>
      <w:r w:rsidRPr="00A628B1">
        <w:rPr>
          <w:rStyle w:val="FootnoteReference"/>
        </w:rPr>
        <w:footnoteRef/>
      </w:r>
      <w:r w:rsidRPr="00A628B1">
        <w:t xml:space="preserve"> </w:t>
      </w:r>
      <w:r w:rsidRPr="004C27E8">
        <w:t>Pub. L. 104-208, § 645, 110 Stat. 3009-546 (1996)</w:t>
      </w:r>
      <w:r>
        <w:t>;</w:t>
      </w:r>
      <w:r w:rsidR="002165CE">
        <w:t xml:space="preserve"> </w:t>
      </w:r>
      <w:r w:rsidRPr="000F7D65">
        <w:rPr>
          <w:rFonts w:eastAsia="Calibri"/>
          <w:color w:val="000000"/>
        </w:rPr>
        <w:t>UNFPA</w:t>
      </w:r>
      <w:r w:rsidRPr="000F7D65">
        <w:t xml:space="preserve">, </w:t>
      </w:r>
      <w:r w:rsidR="002165CE">
        <w:rPr>
          <w:i/>
        </w:rPr>
        <w:t>Supra</w:t>
      </w:r>
      <w:r w:rsidR="002165CE" w:rsidRPr="00EF6216">
        <w:t xml:space="preserve"> note 14</w:t>
      </w:r>
      <w:r>
        <w:t xml:space="preserve">; </w:t>
      </w:r>
      <w:r w:rsidRPr="00DE10BA">
        <w:t xml:space="preserve">The Center for Reproductive Justice, </w:t>
      </w:r>
      <w:r w:rsidRPr="00F26001">
        <w:rPr>
          <w:i/>
        </w:rPr>
        <w:t>Female Genital Mutilation (FGM): Legal Prohibitions Worldwide</w:t>
      </w:r>
      <w:r w:rsidRPr="009F123D">
        <w:t xml:space="preserve"> </w:t>
      </w:r>
      <w:r w:rsidRPr="00DE10BA">
        <w:t xml:space="preserve">(Dec. 11, 2008), </w:t>
      </w:r>
      <w:r w:rsidRPr="00F26001">
        <w:rPr>
          <w:i/>
        </w:rPr>
        <w:t>available at</w:t>
      </w:r>
      <w:r w:rsidRPr="009F123D">
        <w:t xml:space="preserve"> </w:t>
      </w:r>
      <w:r w:rsidRPr="00F26001">
        <w:t>https://www.reproductiverights.org/sites/crr.civicactions.net/files/documents/Fact%20Sheet%20FGM%2002-2009.pdf</w:t>
      </w:r>
      <w:r w:rsidRPr="00C412DC">
        <w:t xml:space="preserve">; </w:t>
      </w:r>
      <w:proofErr w:type="spellStart"/>
      <w:r w:rsidRPr="00F26001">
        <w:rPr>
          <w:bCs/>
          <w:iCs/>
        </w:rPr>
        <w:t>Khama</w:t>
      </w:r>
      <w:proofErr w:type="spellEnd"/>
      <w:r w:rsidRPr="00F26001">
        <w:rPr>
          <w:bCs/>
          <w:iCs/>
        </w:rPr>
        <w:t xml:space="preserve"> </w:t>
      </w:r>
      <w:proofErr w:type="spellStart"/>
      <w:r w:rsidRPr="00F26001">
        <w:rPr>
          <w:bCs/>
          <w:iCs/>
        </w:rPr>
        <w:t>Rogo</w:t>
      </w:r>
      <w:proofErr w:type="spellEnd"/>
      <w:r w:rsidRPr="00F26001">
        <w:rPr>
          <w:bCs/>
          <w:iCs/>
        </w:rPr>
        <w:t xml:space="preserve">, </w:t>
      </w:r>
      <w:proofErr w:type="spellStart"/>
      <w:r w:rsidRPr="00F26001">
        <w:rPr>
          <w:bCs/>
          <w:iCs/>
        </w:rPr>
        <w:t>Tshiya</w:t>
      </w:r>
      <w:proofErr w:type="spellEnd"/>
      <w:r w:rsidRPr="00F26001">
        <w:rPr>
          <w:bCs/>
          <w:iCs/>
        </w:rPr>
        <w:t xml:space="preserve"> </w:t>
      </w:r>
      <w:proofErr w:type="spellStart"/>
      <w:r w:rsidRPr="00F26001">
        <w:rPr>
          <w:bCs/>
          <w:iCs/>
        </w:rPr>
        <w:t>Subayi</w:t>
      </w:r>
      <w:proofErr w:type="spellEnd"/>
      <w:r w:rsidRPr="00F26001">
        <w:rPr>
          <w:bCs/>
          <w:iCs/>
        </w:rPr>
        <w:t xml:space="preserve">, </w:t>
      </w:r>
      <w:proofErr w:type="spellStart"/>
      <w:r w:rsidRPr="00F26001">
        <w:rPr>
          <w:bCs/>
          <w:iCs/>
        </w:rPr>
        <w:t>Nahid</w:t>
      </w:r>
      <w:proofErr w:type="spellEnd"/>
      <w:r w:rsidRPr="00F26001">
        <w:rPr>
          <w:bCs/>
          <w:iCs/>
        </w:rPr>
        <w:t xml:space="preserve"> Toubia &amp; </w:t>
      </w:r>
      <w:proofErr w:type="spellStart"/>
      <w:r w:rsidRPr="00F26001">
        <w:rPr>
          <w:bCs/>
          <w:iCs/>
        </w:rPr>
        <w:t>Eiman</w:t>
      </w:r>
      <w:proofErr w:type="spellEnd"/>
      <w:r w:rsidRPr="00F26001">
        <w:rPr>
          <w:bCs/>
          <w:iCs/>
        </w:rPr>
        <w:t xml:space="preserve"> Hussein </w:t>
      </w:r>
      <w:proofErr w:type="spellStart"/>
      <w:r w:rsidRPr="00F26001">
        <w:rPr>
          <w:bCs/>
          <w:iCs/>
        </w:rPr>
        <w:t>Sharief</w:t>
      </w:r>
      <w:proofErr w:type="spellEnd"/>
      <w:r w:rsidRPr="00F26001">
        <w:rPr>
          <w:bCs/>
          <w:iCs/>
        </w:rPr>
        <w:t>,</w:t>
      </w:r>
      <w:r w:rsidRPr="00F26001">
        <w:rPr>
          <w:bCs/>
          <w:i/>
          <w:iCs/>
        </w:rPr>
        <w:t xml:space="preserve"> Female Genital Cutting, Women’s Health, and Development: The Role of the World Bank</w:t>
      </w:r>
      <w:r w:rsidRPr="00F26001">
        <w:rPr>
          <w:bCs/>
          <w:iCs/>
        </w:rPr>
        <w:t xml:space="preserve">, </w:t>
      </w:r>
      <w:r w:rsidRPr="00F26001">
        <w:rPr>
          <w:bCs/>
          <w:iCs/>
          <w:smallCaps/>
        </w:rPr>
        <w:t>The World Bank</w:t>
      </w:r>
      <w:r w:rsidRPr="00DE10BA">
        <w:rPr>
          <w:bCs/>
          <w:iCs/>
        </w:rPr>
        <w:t xml:space="preserve"> </w:t>
      </w:r>
      <w:r>
        <w:rPr>
          <w:bCs/>
          <w:iCs/>
        </w:rPr>
        <w:t xml:space="preserve">1, 15 </w:t>
      </w:r>
      <w:r w:rsidRPr="00F26001">
        <w:rPr>
          <w:bCs/>
          <w:iCs/>
        </w:rPr>
        <w:t xml:space="preserve">(Jul. 2007), </w:t>
      </w:r>
      <w:r w:rsidRPr="00F26001">
        <w:rPr>
          <w:bCs/>
          <w:i/>
          <w:iCs/>
        </w:rPr>
        <w:t>available at</w:t>
      </w:r>
      <w:r w:rsidRPr="00F26001">
        <w:rPr>
          <w:bCs/>
          <w:iCs/>
        </w:rPr>
        <w:t xml:space="preserve"> http://documents.worldbank.org/curated/en/743811468194329407/pdf/558320PUB0Wome1C0Disclosed071221101.pdf</w:t>
      </w:r>
      <w:r w:rsidRPr="00A628B1">
        <w:rPr>
          <w:bCs/>
          <w:iCs/>
        </w:rPr>
        <w:t xml:space="preserve">; </w:t>
      </w:r>
      <w:r>
        <w:rPr>
          <w:bCs/>
          <w:iCs/>
        </w:rPr>
        <w:t xml:space="preserve">The Center for Reproductive Rights, </w:t>
      </w:r>
      <w:r w:rsidRPr="00F26001">
        <w:rPr>
          <w:bCs/>
          <w:i/>
          <w:iCs/>
        </w:rPr>
        <w:t>Briefing Paper: Legislation on Female Genital Mutilation in the United States</w:t>
      </w:r>
      <w:r>
        <w:rPr>
          <w:bCs/>
          <w:iCs/>
        </w:rPr>
        <w:t xml:space="preserve"> (2004), </w:t>
      </w:r>
      <w:r w:rsidRPr="00F26001">
        <w:rPr>
          <w:bCs/>
          <w:i/>
          <w:iCs/>
        </w:rPr>
        <w:t>available at</w:t>
      </w:r>
      <w:r>
        <w:rPr>
          <w:bCs/>
          <w:iCs/>
        </w:rPr>
        <w:t xml:space="preserve"> </w:t>
      </w:r>
      <w:r w:rsidRPr="00A628B1">
        <w:rPr>
          <w:bCs/>
          <w:iCs/>
        </w:rPr>
        <w:t>https://www.reproductiverights.org/sites/default/files/documents/pub_bp_fgmlawsusa.pdf</w:t>
      </w:r>
      <w:r>
        <w:rPr>
          <w:bCs/>
          <w:iCs/>
        </w:rPr>
        <w:t>.</w:t>
      </w:r>
    </w:p>
  </w:footnote>
  <w:footnote w:id="25">
    <w:p w:rsidR="00A22D38" w:rsidRPr="008179B5" w:rsidRDefault="00A22D38" w:rsidP="00F26001">
      <w:pPr>
        <w:spacing w:after="100"/>
        <w:rPr>
          <w:sz w:val="20"/>
          <w:szCs w:val="20"/>
        </w:rPr>
      </w:pPr>
      <w:r w:rsidRPr="00F26001">
        <w:rPr>
          <w:rStyle w:val="FootnoteReference"/>
          <w:sz w:val="20"/>
          <w:szCs w:val="20"/>
        </w:rPr>
        <w:footnoteRef/>
      </w:r>
      <w:r w:rsidR="00416536">
        <w:rPr>
          <w:sz w:val="20"/>
          <w:szCs w:val="20"/>
        </w:rPr>
        <w:t xml:space="preserve"> FGC </w:t>
      </w:r>
      <w:r w:rsidRPr="00F26001">
        <w:rPr>
          <w:sz w:val="20"/>
          <w:szCs w:val="20"/>
        </w:rPr>
        <w:t xml:space="preserve">has been illegal </w:t>
      </w:r>
      <w:r>
        <w:rPr>
          <w:sz w:val="20"/>
          <w:szCs w:val="20"/>
        </w:rPr>
        <w:t xml:space="preserve">in the U.S. </w:t>
      </w:r>
      <w:r w:rsidRPr="00F26001">
        <w:rPr>
          <w:sz w:val="20"/>
          <w:szCs w:val="20"/>
        </w:rPr>
        <w:t>since 1996 and vacation cutting was criminalized by the 2013 passage of the Transport for Female Genital Mutilation Act.</w:t>
      </w:r>
      <w:r>
        <w:rPr>
          <w:sz w:val="20"/>
          <w:szCs w:val="20"/>
        </w:rPr>
        <w:t xml:space="preserve"> </w:t>
      </w:r>
      <w:r w:rsidRPr="00F26001">
        <w:rPr>
          <w:sz w:val="20"/>
          <w:szCs w:val="20"/>
        </w:rPr>
        <w:t>The 1996</w:t>
      </w:r>
      <w:r w:rsidRPr="009B4BC6">
        <w:rPr>
          <w:sz w:val="20"/>
          <w:szCs w:val="20"/>
        </w:rPr>
        <w:t xml:space="preserve"> provision criminalizing the practice </w:t>
      </w:r>
      <w:r w:rsidRPr="00F26001">
        <w:rPr>
          <w:sz w:val="20"/>
          <w:szCs w:val="20"/>
        </w:rPr>
        <w:t xml:space="preserve">was enacted by Congress </w:t>
      </w:r>
      <w:r w:rsidRPr="009B4BC6">
        <w:rPr>
          <w:sz w:val="20"/>
          <w:szCs w:val="20"/>
        </w:rPr>
        <w:t xml:space="preserve">as part of the </w:t>
      </w:r>
      <w:r w:rsidRPr="00F26001">
        <w:rPr>
          <w:i/>
          <w:sz w:val="20"/>
          <w:szCs w:val="20"/>
        </w:rPr>
        <w:t>Illegal Immigration Reform and Immigrant Responsibility Act of 1996</w:t>
      </w:r>
      <w:r w:rsidRPr="009B4BC6">
        <w:rPr>
          <w:sz w:val="20"/>
          <w:szCs w:val="20"/>
        </w:rPr>
        <w:t>, or Pub. L. 104-208, § 645, 110 Stat. 3009-546 (1996). The statute amends chapter 7, entitled “Assault,” of title 18 of the U.S. Code by adding a new section 116. (</w:t>
      </w:r>
      <w:r w:rsidRPr="009B4BC6">
        <w:rPr>
          <w:i/>
          <w:sz w:val="20"/>
          <w:szCs w:val="20"/>
        </w:rPr>
        <w:t>See</w:t>
      </w:r>
      <w:r w:rsidRPr="009B4BC6">
        <w:rPr>
          <w:sz w:val="20"/>
          <w:szCs w:val="20"/>
        </w:rPr>
        <w:t xml:space="preserve"> 18 U.S.C.A. § 116 (Supp. 1997)). With two exceptions, this legislation provides that “whoever knowingly circumcises, excises, or infibulates the whole or any part of the labia </w:t>
      </w:r>
      <w:proofErr w:type="spellStart"/>
      <w:r w:rsidRPr="009B4BC6">
        <w:rPr>
          <w:sz w:val="20"/>
          <w:szCs w:val="20"/>
        </w:rPr>
        <w:t>majora</w:t>
      </w:r>
      <w:proofErr w:type="spellEnd"/>
      <w:r w:rsidRPr="009B4BC6">
        <w:rPr>
          <w:sz w:val="20"/>
          <w:szCs w:val="20"/>
        </w:rPr>
        <w:t xml:space="preserve"> or labia </w:t>
      </w:r>
      <w:proofErr w:type="spellStart"/>
      <w:r w:rsidRPr="009B4BC6">
        <w:rPr>
          <w:sz w:val="20"/>
          <w:szCs w:val="20"/>
        </w:rPr>
        <w:t>minora</w:t>
      </w:r>
      <w:proofErr w:type="spellEnd"/>
      <w:r w:rsidRPr="009B4BC6">
        <w:rPr>
          <w:sz w:val="20"/>
          <w:szCs w:val="20"/>
        </w:rPr>
        <w:t xml:space="preserve"> or clitoris of another person who has not attained the age of 18 years shall be fined under this title or imprisoned not more than 5 years, or both.”</w:t>
      </w:r>
      <w:r w:rsidRPr="009203F1">
        <w:rPr>
          <w:sz w:val="20"/>
          <w:szCs w:val="20"/>
        </w:rPr>
        <w:t xml:space="preserve"> (18 U.S.C.A. at § 116(a)), although the statute exempts a surgical operation if such operation is “necessary to the health of the person on whom it is performed, and is performed by a </w:t>
      </w:r>
      <w:r w:rsidRPr="008179B5">
        <w:rPr>
          <w:sz w:val="20"/>
          <w:szCs w:val="20"/>
        </w:rPr>
        <w:t>person licensed in the place of its performance as a medical practitioner.” (18 U.S.C.A. at § 116(b)(1)). The statute states that “no account shall be taken of the effect on the person on whom the operation is to be performed of any belief on the part of that person, or any other person, that the operation is required as a matter of custom or ritual.” (18 U.S.C.A. at 116(c)). The statute also exempts an operation if it is “performed on a person in labor or who has just given birth and is performed for medical purposes connected with that labor or birth by a person licensed . . . as a medical practitioner, midwife, or person in training to become such a practitioner or midwife.”(Pub. L. No. 104-208, § 645(c), 110 Stat. 3009- 546, 709 (1996)). The law went into effect in 2007.</w:t>
      </w:r>
    </w:p>
  </w:footnote>
  <w:footnote w:id="26">
    <w:p w:rsidR="00A22D38" w:rsidRPr="0046656B" w:rsidRDefault="00A22D38" w:rsidP="00DC2441">
      <w:pPr>
        <w:pStyle w:val="FootnoteText"/>
      </w:pPr>
      <w:r>
        <w:rPr>
          <w:rStyle w:val="FootnoteReference"/>
        </w:rPr>
        <w:footnoteRef/>
      </w:r>
      <w:r>
        <w:t xml:space="preserve"> </w:t>
      </w:r>
      <w:r w:rsidRPr="00DC2441">
        <w:rPr>
          <w:i/>
        </w:rPr>
        <w:t>See</w:t>
      </w:r>
      <w:r w:rsidRPr="00DC2441">
        <w:t xml:space="preserve"> </w:t>
      </w:r>
      <w:r w:rsidRPr="0046656B">
        <w:t xml:space="preserve">U.S. v. </w:t>
      </w:r>
      <w:proofErr w:type="spellStart"/>
      <w:r w:rsidRPr="0046656B">
        <w:t>Nagarwala</w:t>
      </w:r>
      <w:proofErr w:type="spellEnd"/>
      <w:r w:rsidRPr="0046656B">
        <w:t xml:space="preserve">, U.S. District Court, Eastern District of Michigan, No. 17-20274 (2018), </w:t>
      </w:r>
      <w:r w:rsidRPr="0046656B">
        <w:rPr>
          <w:i/>
        </w:rPr>
        <w:t>available at</w:t>
      </w:r>
      <w:r w:rsidRPr="0046656B">
        <w:t xml:space="preserve"> https://content-static.detroitnews.com/pdf/2018/US-v-Nagarwala-dismissal-order-11-20-18.pdf.</w:t>
      </w:r>
    </w:p>
  </w:footnote>
  <w:footnote w:id="27">
    <w:p w:rsidR="0009202B" w:rsidRPr="00EF6216" w:rsidRDefault="0009202B" w:rsidP="0009202B">
      <w:pPr>
        <w:pStyle w:val="FootnoteText"/>
        <w:rPr>
          <w:shd w:val="clear" w:color="auto" w:fill="FFFFFF"/>
        </w:rPr>
      </w:pPr>
      <w:r w:rsidRPr="00DC2441">
        <w:rPr>
          <w:rStyle w:val="FootnoteReference"/>
        </w:rPr>
        <w:footnoteRef/>
      </w:r>
      <w:r w:rsidRPr="00DC2441">
        <w:t xml:space="preserve"> </w:t>
      </w:r>
      <w:r w:rsidRPr="00EF6216">
        <w:rPr>
          <w:shd w:val="clear" w:color="auto" w:fill="FFFFFF"/>
        </w:rPr>
        <w:t xml:space="preserve">As </w:t>
      </w:r>
      <w:r w:rsidR="00416536">
        <w:rPr>
          <w:shd w:val="clear" w:color="auto" w:fill="FFFFFF"/>
        </w:rPr>
        <w:t>of December 11, 2018</w:t>
      </w:r>
      <w:r w:rsidRPr="00EF6216">
        <w:rPr>
          <w:shd w:val="clear" w:color="auto" w:fill="FFFFFF"/>
        </w:rPr>
        <w:t>, it</w:t>
      </w:r>
      <w:r w:rsidR="00416536">
        <w:rPr>
          <w:shd w:val="clear" w:color="auto" w:fill="FFFFFF"/>
        </w:rPr>
        <w:t xml:space="preserve"> is</w:t>
      </w:r>
      <w:r w:rsidRPr="00EF6216">
        <w:rPr>
          <w:shd w:val="clear" w:color="auto" w:fill="FFFFFF"/>
        </w:rPr>
        <w:t xml:space="preserve"> unclear whether th</w:t>
      </w:r>
      <w:r w:rsidR="00416536">
        <w:rPr>
          <w:shd w:val="clear" w:color="auto" w:fill="FFFFFF"/>
        </w:rPr>
        <w:t>e</w:t>
      </w:r>
      <w:r w:rsidRPr="00EF6216">
        <w:rPr>
          <w:shd w:val="clear" w:color="auto" w:fill="FFFFFF"/>
        </w:rPr>
        <w:t xml:space="preserve"> “Michigan case” decision would be appealed</w:t>
      </w:r>
      <w:r w:rsidR="00416536">
        <w:rPr>
          <w:shd w:val="clear" w:color="auto" w:fill="FFFFFF"/>
        </w:rPr>
        <w:t xml:space="preserve">, and the state of New York </w:t>
      </w:r>
      <w:r w:rsidRPr="00EF6216">
        <w:rPr>
          <w:shd w:val="clear" w:color="auto" w:fill="FFFFFF"/>
        </w:rPr>
        <w:t>continue</w:t>
      </w:r>
      <w:r w:rsidR="00416536">
        <w:rPr>
          <w:shd w:val="clear" w:color="auto" w:fill="FFFFFF"/>
        </w:rPr>
        <w:t>s</w:t>
      </w:r>
      <w:r w:rsidRPr="00EF6216">
        <w:rPr>
          <w:shd w:val="clear" w:color="auto" w:fill="FFFFFF"/>
        </w:rPr>
        <w:t xml:space="preserve"> to reference to the federal </w:t>
      </w:r>
      <w:r>
        <w:rPr>
          <w:shd w:val="clear" w:color="auto" w:fill="FFFFFF"/>
        </w:rPr>
        <w:t xml:space="preserve">legislation </w:t>
      </w:r>
      <w:r w:rsidRPr="00EF6216">
        <w:rPr>
          <w:shd w:val="clear" w:color="auto" w:fill="FFFFFF"/>
        </w:rPr>
        <w:t>in providing guidance</w:t>
      </w:r>
      <w:r>
        <w:rPr>
          <w:shd w:val="clear" w:color="auto" w:fill="FFFFFF"/>
        </w:rPr>
        <w:t xml:space="preserve"> on protections</w:t>
      </w:r>
      <w:r w:rsidRPr="00EF6216">
        <w:rPr>
          <w:shd w:val="clear" w:color="auto" w:fill="FFFFFF"/>
        </w:rPr>
        <w:t xml:space="preserve">. </w:t>
      </w:r>
      <w:r w:rsidRPr="00EF6216">
        <w:rPr>
          <w:i/>
          <w:shd w:val="clear" w:color="auto" w:fill="FFFFFF"/>
        </w:rPr>
        <w:t>See</w:t>
      </w:r>
      <w:r w:rsidRPr="00EF6216">
        <w:rPr>
          <w:shd w:val="clear" w:color="auto" w:fill="FFFFFF"/>
        </w:rPr>
        <w:t xml:space="preserve"> New York State Department of Health, </w:t>
      </w:r>
      <w:r w:rsidRPr="00EF6216">
        <w:rPr>
          <w:i/>
          <w:shd w:val="clear" w:color="auto" w:fill="FFFFFF"/>
        </w:rPr>
        <w:t>Supra</w:t>
      </w:r>
      <w:r>
        <w:rPr>
          <w:shd w:val="clear" w:color="auto" w:fill="FFFFFF"/>
        </w:rPr>
        <w:t xml:space="preserve"> note 1</w:t>
      </w:r>
      <w:r w:rsidRPr="00EF6216">
        <w:rPr>
          <w:shd w:val="clear" w:color="auto" w:fill="FFFFFF"/>
        </w:rPr>
        <w:t xml:space="preserve">; Jonathan </w:t>
      </w:r>
      <w:proofErr w:type="spellStart"/>
      <w:r w:rsidRPr="00EF6216">
        <w:rPr>
          <w:shd w:val="clear" w:color="auto" w:fill="FFFFFF"/>
        </w:rPr>
        <w:t>Stempel</w:t>
      </w:r>
      <w:proofErr w:type="spellEnd"/>
      <w:r w:rsidRPr="00EF6216">
        <w:rPr>
          <w:shd w:val="clear" w:color="auto" w:fill="FFFFFF"/>
        </w:rPr>
        <w:t xml:space="preserve">, </w:t>
      </w:r>
      <w:r w:rsidRPr="00EF6216">
        <w:rPr>
          <w:i/>
          <w:shd w:val="clear" w:color="auto" w:fill="FFFFFF"/>
        </w:rPr>
        <w:t>Judge voids U.S. Female Genital Mutilation Law,</w:t>
      </w:r>
      <w:r w:rsidRPr="00EF6216">
        <w:rPr>
          <w:shd w:val="clear" w:color="auto" w:fill="FFFFFF"/>
        </w:rPr>
        <w:t xml:space="preserve"> Reuters (Nov. 20, 2018), </w:t>
      </w:r>
      <w:r w:rsidRPr="00EF6216">
        <w:rPr>
          <w:i/>
          <w:shd w:val="clear" w:color="auto" w:fill="FFFFFF"/>
        </w:rPr>
        <w:t>available at</w:t>
      </w:r>
      <w:r w:rsidRPr="00EF6216">
        <w:rPr>
          <w:shd w:val="clear" w:color="auto" w:fill="FFFFFF"/>
        </w:rPr>
        <w:t xml:space="preserve"> </w:t>
      </w:r>
      <w:r w:rsidRPr="00EF6216">
        <w:t>https://www.reuters.com/article/us-usa-crime-genital-mutilation/judge-voids-u-s-female-genital-mutilation-law-idUSKCN1NP2OR</w:t>
      </w:r>
      <w:r w:rsidRPr="00EF6216">
        <w:rPr>
          <w:shd w:val="clear" w:color="auto" w:fill="FFFFFF"/>
        </w:rPr>
        <w:t xml:space="preserve">; </w:t>
      </w:r>
      <w:r w:rsidRPr="00DC2441">
        <w:t xml:space="preserve">Pam </w:t>
      </w:r>
      <w:proofErr w:type="spellStart"/>
      <w:r w:rsidRPr="00DC2441">
        <w:t>Belluck</w:t>
      </w:r>
      <w:proofErr w:type="spellEnd"/>
      <w:r w:rsidRPr="00DC2441">
        <w:t xml:space="preserve">, </w:t>
      </w:r>
      <w:r w:rsidRPr="00DC2441">
        <w:rPr>
          <w:bCs/>
          <w:i/>
          <w:iCs/>
        </w:rPr>
        <w:t>Federal Ban on Female Genital Mutilati</w:t>
      </w:r>
      <w:r w:rsidRPr="0046656B">
        <w:rPr>
          <w:bCs/>
          <w:i/>
          <w:iCs/>
        </w:rPr>
        <w:t>on Ruled Unconstitutional by Judge</w:t>
      </w:r>
      <w:r w:rsidRPr="0046656B">
        <w:t xml:space="preserve">, </w:t>
      </w:r>
      <w:r w:rsidRPr="0046656B">
        <w:rPr>
          <w:smallCaps/>
        </w:rPr>
        <w:t>New York Times</w:t>
      </w:r>
      <w:r w:rsidRPr="0046656B">
        <w:t xml:space="preserve"> (Nov. 21, 2018), </w:t>
      </w:r>
      <w:r w:rsidRPr="0046656B">
        <w:rPr>
          <w:i/>
        </w:rPr>
        <w:t>available</w:t>
      </w:r>
      <w:r w:rsidRPr="0046656B">
        <w:t xml:space="preserve"> at</w:t>
      </w:r>
      <w:r w:rsidRPr="0046656B">
        <w:rPr>
          <w:b/>
          <w:i/>
        </w:rPr>
        <w:t xml:space="preserve"> </w:t>
      </w:r>
      <w:r w:rsidRPr="0046656B">
        <w:t xml:space="preserve">https://www.nytimes.com/2018/11/21/health/fgm-female-genital-mutilation-law.html; Stephen </w:t>
      </w:r>
      <w:proofErr w:type="spellStart"/>
      <w:r w:rsidRPr="0046656B">
        <w:t>Loiaconi</w:t>
      </w:r>
      <w:proofErr w:type="spellEnd"/>
      <w:r w:rsidRPr="0046656B">
        <w:t xml:space="preserve">, </w:t>
      </w:r>
      <w:r w:rsidRPr="0046656B">
        <w:rPr>
          <w:i/>
        </w:rPr>
        <w:t>Michigan Case Presents First Test of Federal Law Against Female Genital Mutilation</w:t>
      </w:r>
      <w:r w:rsidRPr="0046656B">
        <w:t xml:space="preserve">, </w:t>
      </w:r>
      <w:r w:rsidRPr="0046656B">
        <w:rPr>
          <w:smallCaps/>
        </w:rPr>
        <w:t>WJLA</w:t>
      </w:r>
      <w:r w:rsidRPr="0046656B">
        <w:t xml:space="preserve"> (last visited Dec. 7, 2018), </w:t>
      </w:r>
      <w:r w:rsidRPr="0046656B">
        <w:rPr>
          <w:i/>
        </w:rPr>
        <w:t>available at</w:t>
      </w:r>
      <w:r w:rsidRPr="0046656B">
        <w:t xml:space="preserve"> https://wjla.com/news/nation-world/michigan-case-presents-first-test-of-federal-law-against-female-genital-mutilation.</w:t>
      </w:r>
    </w:p>
  </w:footnote>
  <w:footnote w:id="28">
    <w:p w:rsidR="00A22D38" w:rsidRPr="0046656B" w:rsidRDefault="00A22D38" w:rsidP="009203F1">
      <w:pPr>
        <w:pStyle w:val="FootnoteText"/>
      </w:pPr>
      <w:r w:rsidRPr="00DC2441">
        <w:rPr>
          <w:rStyle w:val="FootnoteReference"/>
        </w:rPr>
        <w:footnoteRef/>
      </w:r>
      <w:r w:rsidRPr="00DC2441">
        <w:t xml:space="preserve"> </w:t>
      </w:r>
      <w:r>
        <w:t xml:space="preserve">Samantha Allen, </w:t>
      </w:r>
      <w:r>
        <w:rPr>
          <w:i/>
        </w:rPr>
        <w:t xml:space="preserve">Supra </w:t>
      </w:r>
      <w:r>
        <w:t>note 19</w:t>
      </w:r>
      <w:r w:rsidRPr="0046656B">
        <w:t>.</w:t>
      </w:r>
    </w:p>
  </w:footnote>
  <w:footnote w:id="29">
    <w:p w:rsidR="00A22D38" w:rsidRDefault="00A22D38">
      <w:pPr>
        <w:pStyle w:val="FootnoteText"/>
      </w:pPr>
      <w:r w:rsidRPr="00DC2441">
        <w:rPr>
          <w:rStyle w:val="FootnoteReference"/>
        </w:rPr>
        <w:footnoteRef/>
      </w:r>
      <w:r w:rsidR="00416536">
        <w:t xml:space="preserve"> The</w:t>
      </w:r>
      <w:r w:rsidRPr="0046656B">
        <w:t xml:space="preserve"> New York State Prohibition of Female Genital Mutilation Act </w:t>
      </w:r>
      <w:r w:rsidR="00416536">
        <w:t>of</w:t>
      </w:r>
      <w:r w:rsidR="00AC0B54">
        <w:t xml:space="preserve"> 1997</w:t>
      </w:r>
      <w:r w:rsidR="00416536">
        <w:t>, added</w:t>
      </w:r>
      <w:r w:rsidRPr="0046656B">
        <w:t xml:space="preserve"> section 130.85 to </w:t>
      </w:r>
      <w:r w:rsidR="00416536">
        <w:t>the</w:t>
      </w:r>
      <w:r w:rsidRPr="0046656B">
        <w:t xml:space="preserve"> Penal Code. (</w:t>
      </w:r>
      <w:r w:rsidRPr="0046656B">
        <w:rPr>
          <w:i/>
        </w:rPr>
        <w:t>see</w:t>
      </w:r>
      <w:r w:rsidRPr="0046656B">
        <w:t xml:space="preserve"> N.Y. Adv. Legis. Serv. 618, § 2 (1997)). The Act states that a person is guilty of FG</w:t>
      </w:r>
      <w:r w:rsidR="00416536">
        <w:t xml:space="preserve">C </w:t>
      </w:r>
      <w:r w:rsidRPr="0046656B">
        <w:t xml:space="preserve">when he or she “knowingly circumcises, excises, or infibulates, the whole or any part of the labia </w:t>
      </w:r>
      <w:proofErr w:type="spellStart"/>
      <w:r w:rsidRPr="0046656B">
        <w:t>majora</w:t>
      </w:r>
      <w:proofErr w:type="spellEnd"/>
      <w:r w:rsidRPr="0046656B">
        <w:t xml:space="preserve">, labia </w:t>
      </w:r>
      <w:proofErr w:type="spellStart"/>
      <w:r w:rsidRPr="0046656B">
        <w:t>minora</w:t>
      </w:r>
      <w:proofErr w:type="spellEnd"/>
      <w:r w:rsidRPr="0046656B">
        <w:t>, or clitoris of another person who has not reached eighteen years of age.”</w:t>
      </w:r>
      <w:r w:rsidRPr="00DC2441">
        <w:rPr>
          <w:rStyle w:val="FootnoteReference"/>
        </w:rPr>
        <w:footnoteRef/>
      </w:r>
      <w:r w:rsidRPr="00DC2441">
        <w:t xml:space="preserve"> In addition, “a parent, guardian, or other person legally responsible and charged with the care and custody of a child less than eighteen years old, [who] knowingly consents to the circumcision, excision or infibulation of whole or part </w:t>
      </w:r>
      <w:r>
        <w:t xml:space="preserve">of such child’s labia </w:t>
      </w:r>
      <w:proofErr w:type="spellStart"/>
      <w:r>
        <w:t>minora</w:t>
      </w:r>
      <w:proofErr w:type="spellEnd"/>
      <w:r>
        <w:t xml:space="preserve"> or labia </w:t>
      </w:r>
      <w:proofErr w:type="spellStart"/>
      <w:r>
        <w:t>majora</w:t>
      </w:r>
      <w:proofErr w:type="spellEnd"/>
      <w:r>
        <w:t xml:space="preserve"> or clitoris” is also guilty of FG</w:t>
      </w:r>
      <w:r w:rsidR="00416536">
        <w:t>C</w:t>
      </w:r>
      <w:r>
        <w:t>.</w:t>
      </w:r>
      <w:r w:rsidR="00416536">
        <w:t xml:space="preserve"> </w:t>
      </w:r>
      <w:r>
        <w:t>(</w:t>
      </w:r>
      <w:r w:rsidRPr="00000499">
        <w:t xml:space="preserve"> </w:t>
      </w:r>
      <w:r>
        <w:t>N.Y. Pe</w:t>
      </w:r>
      <w:r w:rsidR="00416536">
        <w:t>nal Law at § 130.85 (1)(b)). FGV</w:t>
      </w:r>
      <w:r>
        <w:t xml:space="preserve"> is classified as a class E felony, which is punishable by up to four years’ imprisonment.</w:t>
      </w:r>
      <w:r w:rsidRPr="00000499">
        <w:t xml:space="preserve"> </w:t>
      </w:r>
      <w:r>
        <w:t>(N.Y. Penal Law at § 130.85 (3)). The law exempts from this prohibition circumcision, excision, or infibulation that is “necessary to the health of the person on whom it is performed, and is performed by a person licensed in the place of its performance</w:t>
      </w:r>
      <w:r w:rsidR="00416536">
        <w:t xml:space="preserve"> as a medical practitioner.” FGC</w:t>
      </w:r>
      <w:r>
        <w:t xml:space="preserve"> is also permissible when it is “performed on a person in labor or who has just given birth and is performed for medical purposes connected with that labor or birth by a person licensed in the place it is performed as a medical practitioner, midwife, or person in training to become such a practitioner or midwife.” However, the law does not permit any account to be taken of “the effect on the person on whom such a procedure is to be performed of any belief on the part of that or any other person that such procedure is required as a matter of custom or ritual.” </w:t>
      </w:r>
      <w:r w:rsidR="00AC0B54" w:rsidRPr="00EF6216">
        <w:rPr>
          <w:i/>
        </w:rPr>
        <w:t xml:space="preserve">See </w:t>
      </w:r>
      <w:r w:rsidR="00AC0B54" w:rsidRPr="00DC2441">
        <w:t>N.Y. Penal Law § 130.85 (1997)</w:t>
      </w:r>
      <w:r w:rsidR="00AC0B54">
        <w:t>.</w:t>
      </w:r>
    </w:p>
  </w:footnote>
  <w:footnote w:id="30">
    <w:p w:rsidR="00A22D38" w:rsidRDefault="00A22D38">
      <w:pPr>
        <w:pStyle w:val="FootnoteText"/>
      </w:pPr>
      <w:r>
        <w:rPr>
          <w:rStyle w:val="FootnoteReference"/>
        </w:rPr>
        <w:footnoteRef/>
      </w:r>
      <w:r>
        <w:t xml:space="preserve"> </w:t>
      </w:r>
      <w:r w:rsidRPr="00A45999">
        <w:t xml:space="preserve">N.Y. Pub. Health Law §207(1)(k); The Office of Assemblywoman Amy Paulin, </w:t>
      </w:r>
      <w:r w:rsidRPr="00F26001">
        <w:rPr>
          <w:i/>
        </w:rPr>
        <w:t>Amy Paulin’s Legislation Regarding Female Genital Mutilation Approved by Assembly and Senate</w:t>
      </w:r>
      <w:r w:rsidRPr="00A45999">
        <w:t xml:space="preserve"> (Jun. 17, 2015), </w:t>
      </w:r>
      <w:r w:rsidRPr="00F26001">
        <w:rPr>
          <w:i/>
        </w:rPr>
        <w:t>available at</w:t>
      </w:r>
      <w:r w:rsidRPr="00A45999">
        <w:t xml:space="preserve"> https://nyassembly.gov/mem/Amy-Paulin/story/64339/; New York State Assembly, </w:t>
      </w:r>
      <w:r w:rsidRPr="00F26001">
        <w:rPr>
          <w:i/>
        </w:rPr>
        <w:t>A00134 Memo</w:t>
      </w:r>
      <w:r w:rsidRPr="00A45999">
        <w:t xml:space="preserve"> (last visited Dec. 7, 2018), </w:t>
      </w:r>
      <w:r w:rsidRPr="00F26001">
        <w:rPr>
          <w:i/>
        </w:rPr>
        <w:t>available at</w:t>
      </w:r>
      <w:r w:rsidRPr="00A45999">
        <w:t xml:space="preserve"> https://assembly.state.ny.us/leg/?default_fld=&amp;bn=A134&amp;term=2015&amp;Memo=Y; </w:t>
      </w:r>
      <w:r>
        <w:t xml:space="preserve">Samantha Allen, </w:t>
      </w:r>
      <w:r>
        <w:rPr>
          <w:i/>
        </w:rPr>
        <w:t xml:space="preserve">Supra </w:t>
      </w:r>
      <w:r w:rsidRPr="00172EFE">
        <w:t>note 19.</w:t>
      </w:r>
    </w:p>
  </w:footnote>
  <w:footnote w:id="31">
    <w:p w:rsidR="00A22D38" w:rsidRDefault="00A22D38" w:rsidP="005F0931">
      <w:pPr>
        <w:pStyle w:val="FootnoteText"/>
      </w:pPr>
      <w:r>
        <w:rPr>
          <w:rStyle w:val="FootnoteReference"/>
        </w:rPr>
        <w:footnoteRef/>
      </w:r>
      <w:r>
        <w:t xml:space="preserve"> WHO, </w:t>
      </w:r>
      <w:r>
        <w:rPr>
          <w:i/>
        </w:rPr>
        <w:t xml:space="preserve">Supra </w:t>
      </w:r>
      <w:r w:rsidRPr="00172EFE">
        <w:t>note 2</w:t>
      </w:r>
      <w:r>
        <w:t>.</w:t>
      </w:r>
    </w:p>
  </w:footnote>
  <w:footnote w:id="32">
    <w:p w:rsidR="00A22D38" w:rsidRDefault="00A22D38">
      <w:pPr>
        <w:pStyle w:val="FootnoteText"/>
      </w:pPr>
      <w:r>
        <w:rPr>
          <w:rStyle w:val="FootnoteReference"/>
        </w:rPr>
        <w:footnoteRef/>
      </w:r>
      <w:r>
        <w:t xml:space="preserve"> </w:t>
      </w:r>
      <w:r w:rsidR="00BB4C73">
        <w:t>B.D. Williams-</w:t>
      </w:r>
      <w:proofErr w:type="spellStart"/>
      <w:r w:rsidR="00BB4C73">
        <w:t>Breault</w:t>
      </w:r>
      <w:proofErr w:type="spellEnd"/>
      <w:r w:rsidR="00BB4C73">
        <w:t xml:space="preserve">, </w:t>
      </w:r>
      <w:r w:rsidR="00BB4C73">
        <w:rPr>
          <w:i/>
        </w:rPr>
        <w:t xml:space="preserve">Supra </w:t>
      </w:r>
      <w:r w:rsidR="00BB4C73" w:rsidRPr="00172EFE">
        <w:t>note 11.</w:t>
      </w:r>
      <w:r w:rsidR="00BB4C73">
        <w:t xml:space="preserve"> </w:t>
      </w:r>
    </w:p>
  </w:footnote>
  <w:footnote w:id="33">
    <w:p w:rsidR="00A22D38" w:rsidRDefault="00A22D38" w:rsidP="001127CE">
      <w:pPr>
        <w:pStyle w:val="FootnoteText"/>
      </w:pPr>
      <w:r>
        <w:rPr>
          <w:rStyle w:val="FootnoteReference"/>
        </w:rPr>
        <w:footnoteRef/>
      </w:r>
      <w:r>
        <w:t xml:space="preserve"> WHO, </w:t>
      </w:r>
      <w:r>
        <w:rPr>
          <w:i/>
        </w:rPr>
        <w:t xml:space="preserve">Supra </w:t>
      </w:r>
      <w:r w:rsidRPr="00172EFE">
        <w:t>note 2</w:t>
      </w:r>
      <w:r>
        <w:t>.</w:t>
      </w:r>
    </w:p>
  </w:footnote>
  <w:footnote w:id="34">
    <w:p w:rsidR="00A22D38" w:rsidRDefault="00A22D38" w:rsidP="001127CE">
      <w:pPr>
        <w:pStyle w:val="FootnoteText"/>
      </w:pPr>
      <w:r>
        <w:rPr>
          <w:rStyle w:val="FootnoteReference"/>
        </w:rPr>
        <w:footnoteRef/>
      </w:r>
      <w:r>
        <w:t xml:space="preserve"> </w:t>
      </w:r>
      <w:r w:rsidR="00BB4C73">
        <w:t>B.D. Williams-</w:t>
      </w:r>
      <w:proofErr w:type="spellStart"/>
      <w:r w:rsidR="00BB4C73">
        <w:t>Breault</w:t>
      </w:r>
      <w:proofErr w:type="spellEnd"/>
      <w:r w:rsidR="00BB4C73">
        <w:t xml:space="preserve">, </w:t>
      </w:r>
      <w:r w:rsidR="00BB4C73">
        <w:rPr>
          <w:i/>
        </w:rPr>
        <w:t xml:space="preserve">Supra </w:t>
      </w:r>
      <w:r w:rsidR="00BB4C73" w:rsidRPr="00172EFE">
        <w:t>note 11.</w:t>
      </w:r>
      <w:r w:rsidR="00BB4C73">
        <w:t xml:space="preserve"> </w:t>
      </w:r>
    </w:p>
  </w:footnote>
  <w:footnote w:id="35">
    <w:p w:rsidR="00A22D38" w:rsidRDefault="00A22D38" w:rsidP="005F0931">
      <w:pPr>
        <w:pStyle w:val="FootnoteText"/>
      </w:pPr>
      <w:r>
        <w:rPr>
          <w:rStyle w:val="FootnoteReference"/>
        </w:rPr>
        <w:footnoteRef/>
      </w:r>
      <w:r>
        <w:t xml:space="preserve"> WHO, </w:t>
      </w:r>
      <w:r>
        <w:rPr>
          <w:i/>
        </w:rPr>
        <w:t xml:space="preserve">Supra </w:t>
      </w:r>
      <w:r w:rsidRPr="0046656B">
        <w:rPr>
          <w:i/>
        </w:rPr>
        <w:t>note 2.</w:t>
      </w:r>
    </w:p>
  </w:footnote>
  <w:footnote w:id="36">
    <w:p w:rsidR="00A22D38" w:rsidRDefault="00A22D38" w:rsidP="005F0931">
      <w:pPr>
        <w:pStyle w:val="FootnoteText"/>
      </w:pPr>
      <w:r>
        <w:rPr>
          <w:rStyle w:val="FootnoteReference"/>
        </w:rPr>
        <w:footnoteRef/>
      </w:r>
      <w:r>
        <w:t xml:space="preserve"> WHO, </w:t>
      </w:r>
      <w:r>
        <w:rPr>
          <w:i/>
        </w:rPr>
        <w:t xml:space="preserve">Supra </w:t>
      </w:r>
      <w:r w:rsidRPr="00172EFE">
        <w:t>note 6.</w:t>
      </w:r>
    </w:p>
  </w:footnote>
  <w:footnote w:id="37">
    <w:p w:rsidR="00A22D38" w:rsidRDefault="00A22D38">
      <w:pPr>
        <w:pStyle w:val="FootnoteText"/>
      </w:pPr>
      <w:r>
        <w:rPr>
          <w:rStyle w:val="FootnoteReference"/>
        </w:rPr>
        <w:footnoteRef/>
      </w:r>
      <w:r>
        <w:t xml:space="preserve"> </w:t>
      </w:r>
      <w:r w:rsidRPr="00EF6216">
        <w:rPr>
          <w:i/>
        </w:rPr>
        <w:t>Id.</w:t>
      </w:r>
      <w:r>
        <w:t xml:space="preserve"> at 94.</w:t>
      </w:r>
    </w:p>
  </w:footnote>
  <w:footnote w:id="38">
    <w:p w:rsidR="00A22D38" w:rsidRDefault="00A22D38">
      <w:pPr>
        <w:pStyle w:val="FootnoteText"/>
      </w:pPr>
      <w:r>
        <w:rPr>
          <w:rStyle w:val="FootnoteReference"/>
        </w:rPr>
        <w:footnoteRef/>
      </w:r>
      <w:r>
        <w:t xml:space="preserve"> </w:t>
      </w:r>
      <w:r w:rsidRPr="00172EFE">
        <w:rPr>
          <w:i/>
        </w:rPr>
        <w:t>Id.</w:t>
      </w:r>
      <w:r>
        <w:t xml:space="preserve"> </w:t>
      </w:r>
    </w:p>
  </w:footnote>
  <w:footnote w:id="39">
    <w:p w:rsidR="00A22D38" w:rsidRDefault="00A22D38">
      <w:pPr>
        <w:pStyle w:val="FootnoteText"/>
      </w:pPr>
      <w:r>
        <w:rPr>
          <w:rStyle w:val="FootnoteReference"/>
        </w:rPr>
        <w:footnoteRef/>
      </w:r>
      <w:r>
        <w:t xml:space="preserve"> </w:t>
      </w:r>
      <w:r w:rsidRPr="00172EFE">
        <w:rPr>
          <w:i/>
        </w:rPr>
        <w:t>Id.</w:t>
      </w:r>
      <w:r>
        <w:t xml:space="preserve"> at </w:t>
      </w:r>
      <w:r w:rsidRPr="00F26001">
        <w:t>87</w:t>
      </w:r>
      <w:r>
        <w:t>.</w:t>
      </w:r>
      <w:r w:rsidRPr="00F26001">
        <w:t xml:space="preserve"> </w:t>
      </w:r>
    </w:p>
  </w:footnote>
  <w:footnote w:id="40">
    <w:p w:rsidR="00A22D38" w:rsidRDefault="00A22D38">
      <w:pPr>
        <w:pStyle w:val="FootnoteText"/>
      </w:pPr>
      <w:r>
        <w:rPr>
          <w:rStyle w:val="FootnoteReference"/>
        </w:rPr>
        <w:footnoteRef/>
      </w:r>
      <w:r>
        <w:t xml:space="preserve"> </w:t>
      </w:r>
      <w:r w:rsidRPr="00172EFE">
        <w:rPr>
          <w:i/>
        </w:rPr>
        <w:t>Id.</w:t>
      </w:r>
      <w:r>
        <w:t xml:space="preserve"> at 99. </w:t>
      </w:r>
    </w:p>
  </w:footnote>
  <w:footnote w:id="41">
    <w:p w:rsidR="00A22D38" w:rsidRDefault="00A22D38">
      <w:pPr>
        <w:pStyle w:val="FootnoteText"/>
      </w:pPr>
      <w:r>
        <w:rPr>
          <w:rStyle w:val="FootnoteReference"/>
        </w:rPr>
        <w:footnoteRef/>
      </w:r>
      <w:r>
        <w:t xml:space="preserve"> </w:t>
      </w:r>
      <w:r w:rsidRPr="00172EFE">
        <w:rPr>
          <w:i/>
        </w:rPr>
        <w:t>Id.</w:t>
      </w:r>
      <w:r>
        <w:t xml:space="preserve"> at</w:t>
      </w:r>
      <w:r w:rsidRPr="00A07ABC">
        <w:rPr>
          <w:i/>
        </w:rPr>
        <w:t xml:space="preserve"> </w:t>
      </w:r>
      <w:r>
        <w:t xml:space="preserve">100. </w:t>
      </w:r>
    </w:p>
  </w:footnote>
  <w:footnote w:id="42">
    <w:p w:rsidR="00A22D38" w:rsidRDefault="00A22D38">
      <w:pPr>
        <w:pStyle w:val="FootnoteText"/>
      </w:pPr>
      <w:r>
        <w:rPr>
          <w:rStyle w:val="FootnoteReference"/>
        </w:rPr>
        <w:footnoteRef/>
      </w:r>
      <w:r>
        <w:t xml:space="preserve"> </w:t>
      </w:r>
      <w:r w:rsidRPr="00172EFE">
        <w:rPr>
          <w:i/>
        </w:rPr>
        <w:t>Id.</w:t>
      </w:r>
      <w:r>
        <w:t xml:space="preserve"> at 102. </w:t>
      </w:r>
    </w:p>
  </w:footnote>
  <w:footnote w:id="43">
    <w:p w:rsidR="00A22D38" w:rsidRDefault="00A22D38">
      <w:pPr>
        <w:pStyle w:val="FootnoteText"/>
      </w:pPr>
      <w:r>
        <w:rPr>
          <w:rStyle w:val="FootnoteReference"/>
        </w:rPr>
        <w:footnoteRef/>
      </w:r>
      <w:r>
        <w:t xml:space="preserve"> </w:t>
      </w:r>
      <w:r w:rsidRPr="00172EFE">
        <w:rPr>
          <w:i/>
        </w:rPr>
        <w:t>Id.</w:t>
      </w:r>
      <w:r>
        <w:t xml:space="preserve"> at 104. </w:t>
      </w:r>
    </w:p>
  </w:footnote>
  <w:footnote w:id="44">
    <w:p w:rsidR="00A22D38" w:rsidRDefault="00A22D38">
      <w:pPr>
        <w:pStyle w:val="FootnoteText"/>
      </w:pPr>
      <w:r>
        <w:rPr>
          <w:rStyle w:val="FootnoteReference"/>
        </w:rPr>
        <w:footnoteRef/>
      </w:r>
      <w:r>
        <w:t xml:space="preserve"> </w:t>
      </w:r>
      <w:r w:rsidRPr="00172EFE">
        <w:rPr>
          <w:i/>
        </w:rPr>
        <w:t>Id.</w:t>
      </w:r>
      <w:r>
        <w:t xml:space="preserve"> </w:t>
      </w:r>
    </w:p>
  </w:footnote>
  <w:footnote w:id="45">
    <w:p w:rsidR="00A22D38" w:rsidRDefault="00A22D38">
      <w:pPr>
        <w:pStyle w:val="FootnoteText"/>
      </w:pPr>
      <w:r>
        <w:rPr>
          <w:rStyle w:val="FootnoteReference"/>
        </w:rPr>
        <w:footnoteRef/>
      </w:r>
      <w:r>
        <w:t xml:space="preserve"> </w:t>
      </w:r>
      <w:r w:rsidRPr="00172EFE">
        <w:rPr>
          <w:i/>
        </w:rPr>
        <w:t>Id.</w:t>
      </w:r>
      <w:r>
        <w:t xml:space="preserve"> at 114. </w:t>
      </w:r>
    </w:p>
  </w:footnote>
  <w:footnote w:id="46">
    <w:p w:rsidR="00A22D38" w:rsidRDefault="00A22D38">
      <w:pPr>
        <w:pStyle w:val="FootnoteText"/>
      </w:pPr>
      <w:r>
        <w:rPr>
          <w:rStyle w:val="FootnoteReference"/>
        </w:rPr>
        <w:footnoteRef/>
      </w:r>
      <w:r>
        <w:t xml:space="preserve"> </w:t>
      </w:r>
      <w:r w:rsidRPr="00172EFE">
        <w:rPr>
          <w:i/>
        </w:rPr>
        <w:t>Id.</w:t>
      </w:r>
      <w:r>
        <w:t xml:space="preserve"> at 122.</w:t>
      </w:r>
    </w:p>
  </w:footnote>
  <w:footnote w:id="47">
    <w:p w:rsidR="00A22D38" w:rsidRDefault="00A22D38">
      <w:pPr>
        <w:pStyle w:val="FootnoteText"/>
      </w:pPr>
      <w:r>
        <w:rPr>
          <w:rStyle w:val="FootnoteReference"/>
        </w:rPr>
        <w:footnoteRef/>
      </w:r>
      <w:r>
        <w:t xml:space="preserve"> </w:t>
      </w:r>
      <w:r w:rsidRPr="00172EFE">
        <w:rPr>
          <w:i/>
        </w:rPr>
        <w:t>Id.</w:t>
      </w:r>
      <w:r>
        <w:t xml:space="preserve"> at 124.</w:t>
      </w:r>
    </w:p>
  </w:footnote>
  <w:footnote w:id="48">
    <w:p w:rsidR="00A22D38" w:rsidRDefault="00A22D38">
      <w:pPr>
        <w:pStyle w:val="FootnoteText"/>
      </w:pPr>
      <w:r>
        <w:rPr>
          <w:rStyle w:val="FootnoteReference"/>
        </w:rPr>
        <w:footnoteRef/>
      </w:r>
      <w:r>
        <w:t xml:space="preserve"> </w:t>
      </w:r>
      <w:r w:rsidRPr="00172EFE">
        <w:rPr>
          <w:i/>
        </w:rPr>
        <w:t>Id.</w:t>
      </w:r>
      <w:r>
        <w:t xml:space="preserve"> at 126. </w:t>
      </w:r>
    </w:p>
  </w:footnote>
  <w:footnote w:id="49">
    <w:p w:rsidR="00A22D38" w:rsidRDefault="00A22D38">
      <w:pPr>
        <w:pStyle w:val="FootnoteText"/>
      </w:pPr>
      <w:r>
        <w:rPr>
          <w:rStyle w:val="FootnoteReference"/>
        </w:rPr>
        <w:footnoteRef/>
      </w:r>
      <w:r>
        <w:t xml:space="preserve"> </w:t>
      </w:r>
      <w:r w:rsidRPr="00172EFE">
        <w:rPr>
          <w:i/>
        </w:rPr>
        <w:t>Id.</w:t>
      </w:r>
      <w:r>
        <w:t xml:space="preserve"> at 130. </w:t>
      </w:r>
    </w:p>
  </w:footnote>
  <w:footnote w:id="50">
    <w:p w:rsidR="00A22D38" w:rsidRDefault="00A22D38">
      <w:pPr>
        <w:pStyle w:val="FootnoteText"/>
      </w:pPr>
      <w:r>
        <w:rPr>
          <w:rStyle w:val="FootnoteReference"/>
        </w:rPr>
        <w:footnoteRef/>
      </w:r>
      <w:r>
        <w:t xml:space="preserve"> </w:t>
      </w:r>
      <w:r w:rsidRPr="00172EFE">
        <w:rPr>
          <w:i/>
        </w:rPr>
        <w:t>Id.</w:t>
      </w:r>
      <w:r>
        <w:t xml:space="preserve"> at 132. </w:t>
      </w:r>
    </w:p>
  </w:footnote>
  <w:footnote w:id="51">
    <w:p w:rsidR="00A22D38" w:rsidRDefault="00A22D38">
      <w:pPr>
        <w:pStyle w:val="FootnoteText"/>
      </w:pPr>
      <w:r>
        <w:rPr>
          <w:rStyle w:val="FootnoteReference"/>
        </w:rPr>
        <w:footnoteRef/>
      </w:r>
      <w:r>
        <w:t xml:space="preserve"> </w:t>
      </w:r>
      <w:r w:rsidRPr="00172EFE">
        <w:rPr>
          <w:i/>
        </w:rPr>
        <w:t>Id.</w:t>
      </w:r>
      <w:r>
        <w:t xml:space="preserve"> at 136. </w:t>
      </w:r>
    </w:p>
  </w:footnote>
  <w:footnote w:id="52">
    <w:p w:rsidR="00A22D38" w:rsidRDefault="00A22D38">
      <w:pPr>
        <w:pStyle w:val="FootnoteText"/>
      </w:pPr>
      <w:r>
        <w:rPr>
          <w:rStyle w:val="FootnoteReference"/>
        </w:rPr>
        <w:footnoteRef/>
      </w:r>
      <w:r>
        <w:t xml:space="preserve"> WHO, </w:t>
      </w:r>
      <w:r w:rsidRPr="00F26001">
        <w:rPr>
          <w:i/>
        </w:rPr>
        <w:t>Sexual and Reproductive Health: Health Risks of Female Genital Mutilation (FGM)</w:t>
      </w:r>
      <w:r>
        <w:t xml:space="preserve"> (last visited Dec. 7, 2018), </w:t>
      </w:r>
      <w:r w:rsidRPr="00514B70">
        <w:rPr>
          <w:i/>
        </w:rPr>
        <w:t>available at</w:t>
      </w:r>
      <w:r>
        <w:t xml:space="preserve"> </w:t>
      </w:r>
      <w:r w:rsidRPr="00F26001">
        <w:t>https://www.who.int/reproductivehealth/topics/fgm/health_consequences_fgm/en/</w:t>
      </w:r>
      <w:r>
        <w:t xml:space="preserve">. </w:t>
      </w:r>
    </w:p>
  </w:footnote>
  <w:footnote w:id="53">
    <w:p w:rsidR="00A22D38" w:rsidRDefault="00A22D38" w:rsidP="00514B70">
      <w:pPr>
        <w:pStyle w:val="FootnoteText"/>
      </w:pPr>
      <w:r>
        <w:rPr>
          <w:rStyle w:val="FootnoteReference"/>
        </w:rPr>
        <w:footnoteRef/>
      </w:r>
      <w:r>
        <w:t xml:space="preserve"> </w:t>
      </w:r>
      <w:r w:rsidRPr="00172EFE">
        <w:rPr>
          <w:i/>
        </w:rPr>
        <w:t>Id.</w:t>
      </w:r>
      <w:r>
        <w:t xml:space="preserve"> </w:t>
      </w:r>
    </w:p>
  </w:footnote>
  <w:footnote w:id="54">
    <w:p w:rsidR="00A22D38" w:rsidRDefault="00A22D38">
      <w:pPr>
        <w:pStyle w:val="FootnoteText"/>
      </w:pPr>
      <w:r>
        <w:rPr>
          <w:rStyle w:val="FootnoteReference"/>
        </w:rPr>
        <w:footnoteRef/>
      </w:r>
      <w:r>
        <w:t xml:space="preserve"> </w:t>
      </w:r>
      <w:r w:rsidRPr="00172EFE">
        <w:rPr>
          <w:i/>
        </w:rPr>
        <w:t>Id.</w:t>
      </w:r>
      <w:r>
        <w:t xml:space="preserve"> </w:t>
      </w:r>
    </w:p>
  </w:footnote>
  <w:footnote w:id="55">
    <w:p w:rsidR="00A22D38" w:rsidRDefault="00A22D38">
      <w:pPr>
        <w:pStyle w:val="FootnoteText"/>
      </w:pPr>
      <w:r>
        <w:rPr>
          <w:rStyle w:val="FootnoteReference"/>
        </w:rPr>
        <w:footnoteRef/>
      </w:r>
      <w:r>
        <w:t xml:space="preserve"> </w:t>
      </w:r>
      <w:r w:rsidRPr="00172EFE">
        <w:rPr>
          <w:i/>
        </w:rPr>
        <w:t>Id.</w:t>
      </w:r>
      <w:r>
        <w:t xml:space="preserve"> </w:t>
      </w:r>
    </w:p>
  </w:footnote>
  <w:footnote w:id="56">
    <w:p w:rsidR="00A22D38" w:rsidRDefault="00A22D38">
      <w:pPr>
        <w:pStyle w:val="FootnoteText"/>
      </w:pPr>
      <w:r>
        <w:rPr>
          <w:rStyle w:val="FootnoteReference"/>
        </w:rPr>
        <w:footnoteRef/>
      </w:r>
      <w:r>
        <w:t xml:space="preserve"> </w:t>
      </w:r>
      <w:r w:rsidRPr="00172EFE">
        <w:rPr>
          <w:i/>
        </w:rPr>
        <w:t>Id.</w:t>
      </w:r>
      <w:r>
        <w:t xml:space="preserve"> </w:t>
      </w:r>
    </w:p>
  </w:footnote>
  <w:footnote w:id="57">
    <w:p w:rsidR="00A22D38" w:rsidRDefault="00A22D38">
      <w:pPr>
        <w:pStyle w:val="FootnoteText"/>
      </w:pPr>
      <w:r>
        <w:rPr>
          <w:rStyle w:val="FootnoteReference"/>
        </w:rPr>
        <w:footnoteRef/>
      </w:r>
      <w:r>
        <w:t xml:space="preserve"> </w:t>
      </w:r>
      <w:r>
        <w:rPr>
          <w:i/>
        </w:rPr>
        <w:t>Supra</w:t>
      </w:r>
      <w:r>
        <w:t xml:space="preserve"> note 6 at</w:t>
      </w:r>
      <w:r w:rsidRPr="00A07ABC">
        <w:rPr>
          <w:i/>
        </w:rPr>
        <w:t xml:space="preserve"> </w:t>
      </w:r>
      <w:r>
        <w:t>239.</w:t>
      </w:r>
    </w:p>
  </w:footnote>
  <w:footnote w:id="58">
    <w:p w:rsidR="00A22D38" w:rsidRDefault="00A22D38">
      <w:pPr>
        <w:pStyle w:val="FootnoteText"/>
      </w:pPr>
      <w:r>
        <w:rPr>
          <w:rStyle w:val="FootnoteReference"/>
        </w:rPr>
        <w:footnoteRef/>
      </w:r>
      <w:r>
        <w:t xml:space="preserve"> </w:t>
      </w:r>
      <w:r w:rsidRPr="00172EFE">
        <w:rPr>
          <w:i/>
        </w:rPr>
        <w:t>Id.</w:t>
      </w:r>
    </w:p>
  </w:footnote>
  <w:footnote w:id="59">
    <w:p w:rsidR="00A22D38" w:rsidRDefault="00A22D38">
      <w:pPr>
        <w:pStyle w:val="FootnoteText"/>
      </w:pPr>
      <w:r>
        <w:rPr>
          <w:rStyle w:val="FootnoteReference"/>
        </w:rPr>
        <w:footnoteRef/>
      </w:r>
      <w:r>
        <w:t xml:space="preserve"> </w:t>
      </w:r>
      <w:r w:rsidRPr="00172EFE">
        <w:rPr>
          <w:i/>
        </w:rPr>
        <w:t>Id.</w:t>
      </w:r>
      <w:r>
        <w:t xml:space="preserve"> at 240.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upperRoman"/>
      <w:lvlText w:val="%1."/>
      <w:lvlJc w:val="left"/>
      <w:pPr>
        <w:tabs>
          <w:tab w:val="num" w:pos="720"/>
        </w:tabs>
        <w:ind w:left="720"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1" w15:restartNumberingAfterBreak="0">
    <w:nsid w:val="0B2406CC"/>
    <w:multiLevelType w:val="hybridMultilevel"/>
    <w:tmpl w:val="C158C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F4458A"/>
    <w:multiLevelType w:val="hybridMultilevel"/>
    <w:tmpl w:val="F8940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17C54"/>
    <w:multiLevelType w:val="hybridMultilevel"/>
    <w:tmpl w:val="02583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580B77"/>
    <w:multiLevelType w:val="hybridMultilevel"/>
    <w:tmpl w:val="AFB4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96D0F"/>
    <w:multiLevelType w:val="hybridMultilevel"/>
    <w:tmpl w:val="12D28708"/>
    <w:lvl w:ilvl="0" w:tplc="AD8C5C66">
      <w:start w:val="1"/>
      <w:numFmt w:val="upperLetter"/>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939EC"/>
    <w:multiLevelType w:val="hybridMultilevel"/>
    <w:tmpl w:val="061251FC"/>
    <w:numStyleLink w:val="ImportedStyle1"/>
  </w:abstractNum>
  <w:abstractNum w:abstractNumId="7" w15:restartNumberingAfterBreak="0">
    <w:nsid w:val="2C417919"/>
    <w:multiLevelType w:val="multilevel"/>
    <w:tmpl w:val="1A7A13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3A37A7"/>
    <w:multiLevelType w:val="multilevel"/>
    <w:tmpl w:val="890A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5450A0"/>
    <w:multiLevelType w:val="hybridMultilevel"/>
    <w:tmpl w:val="CB6A4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F282A"/>
    <w:multiLevelType w:val="multilevel"/>
    <w:tmpl w:val="00980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7E4161"/>
    <w:multiLevelType w:val="hybridMultilevel"/>
    <w:tmpl w:val="F266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C2271"/>
    <w:multiLevelType w:val="hybridMultilevel"/>
    <w:tmpl w:val="28A24438"/>
    <w:styleLink w:val="ImportedStyle2"/>
    <w:lvl w:ilvl="0" w:tplc="A32A32DE">
      <w:start w:val="1"/>
      <w:numFmt w:val="lowerLetter"/>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rPr>
    </w:lvl>
    <w:lvl w:ilvl="1" w:tplc="E1400A68">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rPr>
    </w:lvl>
    <w:lvl w:ilvl="2" w:tplc="BA8C3DA6">
      <w:start w:val="1"/>
      <w:numFmt w:val="lowerRoman"/>
      <w:lvlText w:val="%3."/>
      <w:lvlJc w:val="left"/>
      <w:pPr>
        <w:ind w:left="2160" w:hanging="300"/>
      </w:pPr>
      <w:rPr>
        <w:rFonts w:hAnsi="Arial Unicode MS"/>
        <w:i/>
        <w:iCs/>
        <w:caps w:val="0"/>
        <w:smallCaps w:val="0"/>
        <w:strike w:val="0"/>
        <w:dstrike w:val="0"/>
        <w:color w:val="000000"/>
        <w:spacing w:val="0"/>
        <w:w w:val="100"/>
        <w:kern w:val="0"/>
        <w:position w:val="0"/>
        <w:highlight w:val="none"/>
        <w:vertAlign w:val="baseline"/>
      </w:rPr>
    </w:lvl>
    <w:lvl w:ilvl="3" w:tplc="721AD764">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rPr>
    </w:lvl>
    <w:lvl w:ilvl="4" w:tplc="C36C7A36">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rPr>
    </w:lvl>
    <w:lvl w:ilvl="5" w:tplc="ED80C8CA">
      <w:start w:val="1"/>
      <w:numFmt w:val="lowerRoman"/>
      <w:lvlText w:val="%6."/>
      <w:lvlJc w:val="left"/>
      <w:pPr>
        <w:ind w:left="4320" w:hanging="300"/>
      </w:pPr>
      <w:rPr>
        <w:rFonts w:hAnsi="Arial Unicode MS"/>
        <w:i/>
        <w:iCs/>
        <w:caps w:val="0"/>
        <w:smallCaps w:val="0"/>
        <w:strike w:val="0"/>
        <w:dstrike w:val="0"/>
        <w:color w:val="000000"/>
        <w:spacing w:val="0"/>
        <w:w w:val="100"/>
        <w:kern w:val="0"/>
        <w:position w:val="0"/>
        <w:highlight w:val="none"/>
        <w:vertAlign w:val="baseline"/>
      </w:rPr>
    </w:lvl>
    <w:lvl w:ilvl="6" w:tplc="99664C48">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rPr>
    </w:lvl>
    <w:lvl w:ilvl="7" w:tplc="F4B21C34">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rPr>
    </w:lvl>
    <w:lvl w:ilvl="8" w:tplc="787EE5B0">
      <w:start w:val="1"/>
      <w:numFmt w:val="lowerRoman"/>
      <w:lvlText w:val="%9."/>
      <w:lvlJc w:val="left"/>
      <w:pPr>
        <w:ind w:left="6480" w:hanging="300"/>
      </w:pPr>
      <w:rPr>
        <w:rFonts w:hAnsi="Arial Unicode MS"/>
        <w:i/>
        <w:iCs/>
        <w:caps w:val="0"/>
        <w:smallCaps w:val="0"/>
        <w:strike w:val="0"/>
        <w:dstrike w:val="0"/>
        <w:color w:val="000000"/>
        <w:spacing w:val="0"/>
        <w:w w:val="100"/>
        <w:kern w:val="0"/>
        <w:position w:val="0"/>
        <w:highlight w:val="none"/>
        <w:vertAlign w:val="baseline"/>
      </w:rPr>
    </w:lvl>
  </w:abstractNum>
  <w:abstractNum w:abstractNumId="13" w15:restartNumberingAfterBreak="0">
    <w:nsid w:val="41120521"/>
    <w:multiLevelType w:val="multilevel"/>
    <w:tmpl w:val="CC4E4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BE1980"/>
    <w:multiLevelType w:val="hybridMultilevel"/>
    <w:tmpl w:val="E79E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D7183"/>
    <w:multiLevelType w:val="hybridMultilevel"/>
    <w:tmpl w:val="061251FC"/>
    <w:styleLink w:val="ImportedStyle1"/>
    <w:lvl w:ilvl="0" w:tplc="94F4F6F6">
      <w:start w:val="1"/>
      <w:numFmt w:val="upperLetter"/>
      <w:lvlText w:val="%1."/>
      <w:lvlJc w:val="left"/>
      <w:pPr>
        <w:ind w:left="810" w:hanging="360"/>
      </w:pPr>
      <w:rPr>
        <w:rFonts w:hAnsi="Arial Unicode MS"/>
        <w:i/>
        <w:iCs/>
        <w:caps w:val="0"/>
        <w:smallCaps w:val="0"/>
        <w:strike w:val="0"/>
        <w:dstrike w:val="0"/>
        <w:color w:val="000000"/>
        <w:spacing w:val="0"/>
        <w:w w:val="100"/>
        <w:kern w:val="0"/>
        <w:position w:val="0"/>
        <w:highlight w:val="none"/>
        <w:vertAlign w:val="baseline"/>
      </w:rPr>
    </w:lvl>
    <w:lvl w:ilvl="1" w:tplc="DE529CF4">
      <w:start w:val="1"/>
      <w:numFmt w:val="lowerLetter"/>
      <w:lvlText w:val="%2."/>
      <w:lvlJc w:val="left"/>
      <w:pPr>
        <w:ind w:left="1530" w:hanging="360"/>
      </w:pPr>
      <w:rPr>
        <w:rFonts w:hAnsi="Arial Unicode MS"/>
        <w:i/>
        <w:iCs/>
        <w:caps w:val="0"/>
        <w:smallCaps w:val="0"/>
        <w:strike w:val="0"/>
        <w:dstrike w:val="0"/>
        <w:color w:val="000000"/>
        <w:spacing w:val="0"/>
        <w:w w:val="100"/>
        <w:kern w:val="0"/>
        <w:position w:val="0"/>
        <w:highlight w:val="none"/>
        <w:vertAlign w:val="baseline"/>
      </w:rPr>
    </w:lvl>
    <w:lvl w:ilvl="2" w:tplc="A3FEBD8C">
      <w:start w:val="1"/>
      <w:numFmt w:val="lowerRoman"/>
      <w:lvlText w:val="%3."/>
      <w:lvlJc w:val="left"/>
      <w:pPr>
        <w:ind w:left="2250" w:hanging="300"/>
      </w:pPr>
      <w:rPr>
        <w:rFonts w:hAnsi="Arial Unicode MS"/>
        <w:i/>
        <w:iCs/>
        <w:caps w:val="0"/>
        <w:smallCaps w:val="0"/>
        <w:strike w:val="0"/>
        <w:dstrike w:val="0"/>
        <w:color w:val="000000"/>
        <w:spacing w:val="0"/>
        <w:w w:val="100"/>
        <w:kern w:val="0"/>
        <w:position w:val="0"/>
        <w:highlight w:val="none"/>
        <w:vertAlign w:val="baseline"/>
      </w:rPr>
    </w:lvl>
    <w:lvl w:ilvl="3" w:tplc="4CA2327A">
      <w:start w:val="1"/>
      <w:numFmt w:val="decimal"/>
      <w:lvlText w:val="%4."/>
      <w:lvlJc w:val="left"/>
      <w:pPr>
        <w:ind w:left="2970" w:hanging="360"/>
      </w:pPr>
      <w:rPr>
        <w:rFonts w:hAnsi="Arial Unicode MS"/>
        <w:i/>
        <w:iCs/>
        <w:caps w:val="0"/>
        <w:smallCaps w:val="0"/>
        <w:strike w:val="0"/>
        <w:dstrike w:val="0"/>
        <w:color w:val="000000"/>
        <w:spacing w:val="0"/>
        <w:w w:val="100"/>
        <w:kern w:val="0"/>
        <w:position w:val="0"/>
        <w:highlight w:val="none"/>
        <w:vertAlign w:val="baseline"/>
      </w:rPr>
    </w:lvl>
    <w:lvl w:ilvl="4" w:tplc="D8B4F9F4">
      <w:start w:val="1"/>
      <w:numFmt w:val="lowerLetter"/>
      <w:lvlText w:val="%5."/>
      <w:lvlJc w:val="left"/>
      <w:pPr>
        <w:ind w:left="3690" w:hanging="360"/>
      </w:pPr>
      <w:rPr>
        <w:rFonts w:hAnsi="Arial Unicode MS"/>
        <w:i/>
        <w:iCs/>
        <w:caps w:val="0"/>
        <w:smallCaps w:val="0"/>
        <w:strike w:val="0"/>
        <w:dstrike w:val="0"/>
        <w:color w:val="000000"/>
        <w:spacing w:val="0"/>
        <w:w w:val="100"/>
        <w:kern w:val="0"/>
        <w:position w:val="0"/>
        <w:highlight w:val="none"/>
        <w:vertAlign w:val="baseline"/>
      </w:rPr>
    </w:lvl>
    <w:lvl w:ilvl="5" w:tplc="B7000458">
      <w:start w:val="1"/>
      <w:numFmt w:val="lowerRoman"/>
      <w:lvlText w:val="%6."/>
      <w:lvlJc w:val="left"/>
      <w:pPr>
        <w:ind w:left="4410" w:hanging="300"/>
      </w:pPr>
      <w:rPr>
        <w:rFonts w:hAnsi="Arial Unicode MS"/>
        <w:i/>
        <w:iCs/>
        <w:caps w:val="0"/>
        <w:smallCaps w:val="0"/>
        <w:strike w:val="0"/>
        <w:dstrike w:val="0"/>
        <w:color w:val="000000"/>
        <w:spacing w:val="0"/>
        <w:w w:val="100"/>
        <w:kern w:val="0"/>
        <w:position w:val="0"/>
        <w:highlight w:val="none"/>
        <w:vertAlign w:val="baseline"/>
      </w:rPr>
    </w:lvl>
    <w:lvl w:ilvl="6" w:tplc="10BA049A">
      <w:start w:val="1"/>
      <w:numFmt w:val="decimal"/>
      <w:lvlText w:val="%7."/>
      <w:lvlJc w:val="left"/>
      <w:pPr>
        <w:ind w:left="5130" w:hanging="360"/>
      </w:pPr>
      <w:rPr>
        <w:rFonts w:hAnsi="Arial Unicode MS"/>
        <w:i/>
        <w:iCs/>
        <w:caps w:val="0"/>
        <w:smallCaps w:val="0"/>
        <w:strike w:val="0"/>
        <w:dstrike w:val="0"/>
        <w:color w:val="000000"/>
        <w:spacing w:val="0"/>
        <w:w w:val="100"/>
        <w:kern w:val="0"/>
        <w:position w:val="0"/>
        <w:highlight w:val="none"/>
        <w:vertAlign w:val="baseline"/>
      </w:rPr>
    </w:lvl>
    <w:lvl w:ilvl="7" w:tplc="0924E3DA">
      <w:start w:val="1"/>
      <w:numFmt w:val="lowerLetter"/>
      <w:lvlText w:val="%8."/>
      <w:lvlJc w:val="left"/>
      <w:pPr>
        <w:ind w:left="5850" w:hanging="360"/>
      </w:pPr>
      <w:rPr>
        <w:rFonts w:hAnsi="Arial Unicode MS"/>
        <w:i/>
        <w:iCs/>
        <w:caps w:val="0"/>
        <w:smallCaps w:val="0"/>
        <w:strike w:val="0"/>
        <w:dstrike w:val="0"/>
        <w:color w:val="000000"/>
        <w:spacing w:val="0"/>
        <w:w w:val="100"/>
        <w:kern w:val="0"/>
        <w:position w:val="0"/>
        <w:highlight w:val="none"/>
        <w:vertAlign w:val="baseline"/>
      </w:rPr>
    </w:lvl>
    <w:lvl w:ilvl="8" w:tplc="C3FC5816">
      <w:start w:val="1"/>
      <w:numFmt w:val="lowerRoman"/>
      <w:lvlText w:val="%9."/>
      <w:lvlJc w:val="left"/>
      <w:pPr>
        <w:ind w:left="6570" w:hanging="300"/>
      </w:pPr>
      <w:rPr>
        <w:rFonts w:hAnsi="Arial Unicode MS"/>
        <w:i/>
        <w:iCs/>
        <w:caps w:val="0"/>
        <w:smallCaps w:val="0"/>
        <w:strike w:val="0"/>
        <w:dstrike w:val="0"/>
        <w:color w:val="000000"/>
        <w:spacing w:val="0"/>
        <w:w w:val="100"/>
        <w:kern w:val="0"/>
        <w:position w:val="0"/>
        <w:highlight w:val="none"/>
        <w:vertAlign w:val="baseline"/>
      </w:rPr>
    </w:lvl>
  </w:abstractNum>
  <w:abstractNum w:abstractNumId="16" w15:restartNumberingAfterBreak="0">
    <w:nsid w:val="4ABC5AF2"/>
    <w:multiLevelType w:val="hybridMultilevel"/>
    <w:tmpl w:val="9914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86391"/>
    <w:multiLevelType w:val="hybridMultilevel"/>
    <w:tmpl w:val="28A24438"/>
    <w:numStyleLink w:val="ImportedStyle2"/>
  </w:abstractNum>
  <w:abstractNum w:abstractNumId="18" w15:restartNumberingAfterBreak="0">
    <w:nsid w:val="60A42D6F"/>
    <w:multiLevelType w:val="hybridMultilevel"/>
    <w:tmpl w:val="87DC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E3BC4"/>
    <w:multiLevelType w:val="multilevel"/>
    <w:tmpl w:val="0318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6D3AAE"/>
    <w:multiLevelType w:val="hybridMultilevel"/>
    <w:tmpl w:val="E8688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405701"/>
    <w:multiLevelType w:val="hybridMultilevel"/>
    <w:tmpl w:val="0BA06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8D468F"/>
    <w:multiLevelType w:val="hybridMultilevel"/>
    <w:tmpl w:val="3592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CB40E4"/>
    <w:multiLevelType w:val="hybridMultilevel"/>
    <w:tmpl w:val="84CA98C2"/>
    <w:lvl w:ilvl="0" w:tplc="26CA62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29795E"/>
    <w:multiLevelType w:val="hybridMultilevel"/>
    <w:tmpl w:val="991E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766631"/>
    <w:multiLevelType w:val="hybridMultilevel"/>
    <w:tmpl w:val="08E2460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DD6791"/>
    <w:multiLevelType w:val="hybridMultilevel"/>
    <w:tmpl w:val="4A4A5E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82106A"/>
    <w:multiLevelType w:val="hybridMultilevel"/>
    <w:tmpl w:val="A0520A46"/>
    <w:lvl w:ilvl="0" w:tplc="0F50DE6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F937E52"/>
    <w:multiLevelType w:val="hybridMultilevel"/>
    <w:tmpl w:val="CDF8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6"/>
  </w:num>
  <w:num w:numId="4">
    <w:abstractNumId w:val="12"/>
  </w:num>
  <w:num w:numId="5">
    <w:abstractNumId w:val="17"/>
  </w:num>
  <w:num w:numId="6">
    <w:abstractNumId w:val="19"/>
  </w:num>
  <w:num w:numId="7">
    <w:abstractNumId w:val="13"/>
  </w:num>
  <w:num w:numId="8">
    <w:abstractNumId w:val="10"/>
  </w:num>
  <w:num w:numId="9">
    <w:abstractNumId w:val="7"/>
  </w:num>
  <w:num w:numId="10">
    <w:abstractNumId w:val="3"/>
  </w:num>
  <w:num w:numId="11">
    <w:abstractNumId w:val="18"/>
  </w:num>
  <w:num w:numId="12">
    <w:abstractNumId w:val="20"/>
  </w:num>
  <w:num w:numId="13">
    <w:abstractNumId w:val="4"/>
  </w:num>
  <w:num w:numId="14">
    <w:abstractNumId w:val="5"/>
  </w:num>
  <w:num w:numId="15">
    <w:abstractNumId w:val="26"/>
  </w:num>
  <w:num w:numId="16">
    <w:abstractNumId w:val="8"/>
  </w:num>
  <w:num w:numId="17">
    <w:abstractNumId w:val="25"/>
  </w:num>
  <w:num w:numId="18">
    <w:abstractNumId w:val="28"/>
  </w:num>
  <w:num w:numId="19">
    <w:abstractNumId w:val="11"/>
  </w:num>
  <w:num w:numId="20">
    <w:abstractNumId w:val="2"/>
  </w:num>
  <w:num w:numId="21">
    <w:abstractNumId w:val="24"/>
  </w:num>
  <w:num w:numId="22">
    <w:abstractNumId w:val="21"/>
  </w:num>
  <w:num w:numId="23">
    <w:abstractNumId w:val="1"/>
  </w:num>
  <w:num w:numId="24">
    <w:abstractNumId w:val="23"/>
  </w:num>
  <w:num w:numId="25">
    <w:abstractNumId w:val="14"/>
  </w:num>
  <w:num w:numId="26">
    <w:abstractNumId w:val="16"/>
  </w:num>
  <w:num w:numId="27">
    <w:abstractNumId w:val="2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131078" w:nlCheck="1" w:checkStyle="0"/>
  <w:activeWritingStyle w:appName="MSWord" w:lang="en-US" w:vendorID="64" w:dllVersion="0" w:nlCheck="1" w:checkStyle="0"/>
  <w:activeWritingStyle w:appName="MSWord" w:lang="pt-PT" w:vendorID="64" w:dllVersion="0" w:nlCheck="1" w:checkStyle="0"/>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C7"/>
    <w:rsid w:val="00000499"/>
    <w:rsid w:val="000011C6"/>
    <w:rsid w:val="00002824"/>
    <w:rsid w:val="00002AC8"/>
    <w:rsid w:val="00006E88"/>
    <w:rsid w:val="000073F4"/>
    <w:rsid w:val="00010767"/>
    <w:rsid w:val="00010BB3"/>
    <w:rsid w:val="00011D6C"/>
    <w:rsid w:val="000142D9"/>
    <w:rsid w:val="00016086"/>
    <w:rsid w:val="000179E7"/>
    <w:rsid w:val="00017EAA"/>
    <w:rsid w:val="00022E7F"/>
    <w:rsid w:val="0002320E"/>
    <w:rsid w:val="00023DF1"/>
    <w:rsid w:val="00025002"/>
    <w:rsid w:val="00026CBF"/>
    <w:rsid w:val="00026CDA"/>
    <w:rsid w:val="0003248B"/>
    <w:rsid w:val="00032E59"/>
    <w:rsid w:val="00036290"/>
    <w:rsid w:val="000365A4"/>
    <w:rsid w:val="00043411"/>
    <w:rsid w:val="00050F39"/>
    <w:rsid w:val="000521EF"/>
    <w:rsid w:val="0005450B"/>
    <w:rsid w:val="000609A3"/>
    <w:rsid w:val="0006118E"/>
    <w:rsid w:val="00061F93"/>
    <w:rsid w:val="00064301"/>
    <w:rsid w:val="00067E12"/>
    <w:rsid w:val="00072B45"/>
    <w:rsid w:val="00076F57"/>
    <w:rsid w:val="00080D9F"/>
    <w:rsid w:val="000853B5"/>
    <w:rsid w:val="0008573E"/>
    <w:rsid w:val="00086164"/>
    <w:rsid w:val="00090D3A"/>
    <w:rsid w:val="00090DF8"/>
    <w:rsid w:val="0009202B"/>
    <w:rsid w:val="00093234"/>
    <w:rsid w:val="0009605A"/>
    <w:rsid w:val="000A0FB1"/>
    <w:rsid w:val="000A4852"/>
    <w:rsid w:val="000A6C8C"/>
    <w:rsid w:val="000A7278"/>
    <w:rsid w:val="000B0B6D"/>
    <w:rsid w:val="000B3902"/>
    <w:rsid w:val="000B6406"/>
    <w:rsid w:val="000C0298"/>
    <w:rsid w:val="000C7406"/>
    <w:rsid w:val="000C7809"/>
    <w:rsid w:val="000D469C"/>
    <w:rsid w:val="000E6CD0"/>
    <w:rsid w:val="000F06E0"/>
    <w:rsid w:val="000F3B51"/>
    <w:rsid w:val="000F6191"/>
    <w:rsid w:val="000F768C"/>
    <w:rsid w:val="000F7AAA"/>
    <w:rsid w:val="000F7D65"/>
    <w:rsid w:val="000F7E88"/>
    <w:rsid w:val="000F7F95"/>
    <w:rsid w:val="001006DE"/>
    <w:rsid w:val="00100C9B"/>
    <w:rsid w:val="001010D8"/>
    <w:rsid w:val="001019FA"/>
    <w:rsid w:val="00104B24"/>
    <w:rsid w:val="00105F64"/>
    <w:rsid w:val="00107145"/>
    <w:rsid w:val="00107DA3"/>
    <w:rsid w:val="00110672"/>
    <w:rsid w:val="00110D42"/>
    <w:rsid w:val="001110C8"/>
    <w:rsid w:val="001112C2"/>
    <w:rsid w:val="0011229F"/>
    <w:rsid w:val="001127CE"/>
    <w:rsid w:val="0011282E"/>
    <w:rsid w:val="001131D6"/>
    <w:rsid w:val="001138AF"/>
    <w:rsid w:val="00115026"/>
    <w:rsid w:val="001227C6"/>
    <w:rsid w:val="00123773"/>
    <w:rsid w:val="00126B88"/>
    <w:rsid w:val="0013017A"/>
    <w:rsid w:val="001321F4"/>
    <w:rsid w:val="0013313A"/>
    <w:rsid w:val="00137132"/>
    <w:rsid w:val="00151288"/>
    <w:rsid w:val="0015164A"/>
    <w:rsid w:val="0015430B"/>
    <w:rsid w:val="001544BD"/>
    <w:rsid w:val="001648F3"/>
    <w:rsid w:val="0017583D"/>
    <w:rsid w:val="00175F32"/>
    <w:rsid w:val="00180989"/>
    <w:rsid w:val="00181D52"/>
    <w:rsid w:val="0018452B"/>
    <w:rsid w:val="001846C5"/>
    <w:rsid w:val="001878AA"/>
    <w:rsid w:val="00190B44"/>
    <w:rsid w:val="0019399D"/>
    <w:rsid w:val="001941E9"/>
    <w:rsid w:val="00194375"/>
    <w:rsid w:val="001A3840"/>
    <w:rsid w:val="001A5885"/>
    <w:rsid w:val="001B1BE6"/>
    <w:rsid w:val="001B3A92"/>
    <w:rsid w:val="001B3ECC"/>
    <w:rsid w:val="001B45C4"/>
    <w:rsid w:val="001B6117"/>
    <w:rsid w:val="001B73E4"/>
    <w:rsid w:val="001B7B3C"/>
    <w:rsid w:val="001C7848"/>
    <w:rsid w:val="001D1A94"/>
    <w:rsid w:val="001D25D1"/>
    <w:rsid w:val="001D4C80"/>
    <w:rsid w:val="001E048A"/>
    <w:rsid w:val="001E272B"/>
    <w:rsid w:val="001E3485"/>
    <w:rsid w:val="001E6C4E"/>
    <w:rsid w:val="001F1F04"/>
    <w:rsid w:val="001F6EB7"/>
    <w:rsid w:val="00202A11"/>
    <w:rsid w:val="00203083"/>
    <w:rsid w:val="00206DE3"/>
    <w:rsid w:val="00207DE7"/>
    <w:rsid w:val="0021227D"/>
    <w:rsid w:val="0021277A"/>
    <w:rsid w:val="002165CE"/>
    <w:rsid w:val="002165E1"/>
    <w:rsid w:val="00217F81"/>
    <w:rsid w:val="0022074C"/>
    <w:rsid w:val="00222B47"/>
    <w:rsid w:val="00226A9A"/>
    <w:rsid w:val="0023004C"/>
    <w:rsid w:val="00232C63"/>
    <w:rsid w:val="00232FEE"/>
    <w:rsid w:val="002359B1"/>
    <w:rsid w:val="002374AE"/>
    <w:rsid w:val="00237EFD"/>
    <w:rsid w:val="00245C9E"/>
    <w:rsid w:val="00247752"/>
    <w:rsid w:val="0025204B"/>
    <w:rsid w:val="00252857"/>
    <w:rsid w:val="0025424F"/>
    <w:rsid w:val="00254BD0"/>
    <w:rsid w:val="002550B9"/>
    <w:rsid w:val="0026314F"/>
    <w:rsid w:val="002665F8"/>
    <w:rsid w:val="002669A9"/>
    <w:rsid w:val="00270AE9"/>
    <w:rsid w:val="00272F1F"/>
    <w:rsid w:val="002731C1"/>
    <w:rsid w:val="00275B14"/>
    <w:rsid w:val="002803C3"/>
    <w:rsid w:val="002823AD"/>
    <w:rsid w:val="002870BF"/>
    <w:rsid w:val="002902FB"/>
    <w:rsid w:val="00291CE6"/>
    <w:rsid w:val="0029285C"/>
    <w:rsid w:val="0029285E"/>
    <w:rsid w:val="002962A3"/>
    <w:rsid w:val="002A2A9D"/>
    <w:rsid w:val="002A5D5C"/>
    <w:rsid w:val="002A6DAF"/>
    <w:rsid w:val="002B0604"/>
    <w:rsid w:val="002B440A"/>
    <w:rsid w:val="002B6A8B"/>
    <w:rsid w:val="002B7EB0"/>
    <w:rsid w:val="002C1615"/>
    <w:rsid w:val="002C4D53"/>
    <w:rsid w:val="002C69B5"/>
    <w:rsid w:val="002C7745"/>
    <w:rsid w:val="002D15F8"/>
    <w:rsid w:val="002D488F"/>
    <w:rsid w:val="002E1039"/>
    <w:rsid w:val="002E29AD"/>
    <w:rsid w:val="002E7E9D"/>
    <w:rsid w:val="002F023D"/>
    <w:rsid w:val="002F1D44"/>
    <w:rsid w:val="002F314E"/>
    <w:rsid w:val="002F4BB6"/>
    <w:rsid w:val="002F6817"/>
    <w:rsid w:val="0030371C"/>
    <w:rsid w:val="00304EEF"/>
    <w:rsid w:val="00305CB9"/>
    <w:rsid w:val="00306F86"/>
    <w:rsid w:val="00313E16"/>
    <w:rsid w:val="00315FA8"/>
    <w:rsid w:val="0032316B"/>
    <w:rsid w:val="003257C6"/>
    <w:rsid w:val="00326B31"/>
    <w:rsid w:val="00326E62"/>
    <w:rsid w:val="00327336"/>
    <w:rsid w:val="003276F1"/>
    <w:rsid w:val="00331D32"/>
    <w:rsid w:val="0034522A"/>
    <w:rsid w:val="00346885"/>
    <w:rsid w:val="0034749C"/>
    <w:rsid w:val="00347FDC"/>
    <w:rsid w:val="00355BD6"/>
    <w:rsid w:val="003620E5"/>
    <w:rsid w:val="00364F18"/>
    <w:rsid w:val="00364F83"/>
    <w:rsid w:val="0036742E"/>
    <w:rsid w:val="00370029"/>
    <w:rsid w:val="003740FD"/>
    <w:rsid w:val="00375E0A"/>
    <w:rsid w:val="003806F1"/>
    <w:rsid w:val="003812E4"/>
    <w:rsid w:val="00382F3D"/>
    <w:rsid w:val="0038329A"/>
    <w:rsid w:val="0038539D"/>
    <w:rsid w:val="003856AE"/>
    <w:rsid w:val="00386761"/>
    <w:rsid w:val="00386D5D"/>
    <w:rsid w:val="003904DF"/>
    <w:rsid w:val="00391AC8"/>
    <w:rsid w:val="0039386E"/>
    <w:rsid w:val="00394852"/>
    <w:rsid w:val="003A08F1"/>
    <w:rsid w:val="003A4289"/>
    <w:rsid w:val="003A4EE4"/>
    <w:rsid w:val="003A5F32"/>
    <w:rsid w:val="003A65D8"/>
    <w:rsid w:val="003B4063"/>
    <w:rsid w:val="003C36F8"/>
    <w:rsid w:val="003D00DF"/>
    <w:rsid w:val="003D4621"/>
    <w:rsid w:val="003D564F"/>
    <w:rsid w:val="003E5BE6"/>
    <w:rsid w:val="003E6230"/>
    <w:rsid w:val="003F10A0"/>
    <w:rsid w:val="003F4BF3"/>
    <w:rsid w:val="003F6552"/>
    <w:rsid w:val="003F700A"/>
    <w:rsid w:val="00400786"/>
    <w:rsid w:val="0040130E"/>
    <w:rsid w:val="0040242C"/>
    <w:rsid w:val="00403D8C"/>
    <w:rsid w:val="00404024"/>
    <w:rsid w:val="00405934"/>
    <w:rsid w:val="00406354"/>
    <w:rsid w:val="00410AFC"/>
    <w:rsid w:val="004142BC"/>
    <w:rsid w:val="00416536"/>
    <w:rsid w:val="00417921"/>
    <w:rsid w:val="00423D3B"/>
    <w:rsid w:val="004304FE"/>
    <w:rsid w:val="004326FB"/>
    <w:rsid w:val="004350E6"/>
    <w:rsid w:val="004421C0"/>
    <w:rsid w:val="00442760"/>
    <w:rsid w:val="00443DF3"/>
    <w:rsid w:val="004449EA"/>
    <w:rsid w:val="00450891"/>
    <w:rsid w:val="00451597"/>
    <w:rsid w:val="004517E8"/>
    <w:rsid w:val="004534F2"/>
    <w:rsid w:val="0045540A"/>
    <w:rsid w:val="00456688"/>
    <w:rsid w:val="00456A83"/>
    <w:rsid w:val="00465C93"/>
    <w:rsid w:val="00466104"/>
    <w:rsid w:val="0046656B"/>
    <w:rsid w:val="00466DE8"/>
    <w:rsid w:val="004675A0"/>
    <w:rsid w:val="00473F3E"/>
    <w:rsid w:val="004900AE"/>
    <w:rsid w:val="00492432"/>
    <w:rsid w:val="00492FBE"/>
    <w:rsid w:val="00495699"/>
    <w:rsid w:val="00496B76"/>
    <w:rsid w:val="004970DD"/>
    <w:rsid w:val="004A0D7A"/>
    <w:rsid w:val="004A1FE2"/>
    <w:rsid w:val="004A4949"/>
    <w:rsid w:val="004B0530"/>
    <w:rsid w:val="004B71DA"/>
    <w:rsid w:val="004B7AEA"/>
    <w:rsid w:val="004C27E8"/>
    <w:rsid w:val="004C454A"/>
    <w:rsid w:val="004C63B5"/>
    <w:rsid w:val="004D2024"/>
    <w:rsid w:val="004D3F8E"/>
    <w:rsid w:val="004D636C"/>
    <w:rsid w:val="004D7FDB"/>
    <w:rsid w:val="004E59F2"/>
    <w:rsid w:val="004E5B22"/>
    <w:rsid w:val="004E5F90"/>
    <w:rsid w:val="004E6EE5"/>
    <w:rsid w:val="004F29C4"/>
    <w:rsid w:val="00500AF9"/>
    <w:rsid w:val="00501786"/>
    <w:rsid w:val="00501B2B"/>
    <w:rsid w:val="0050636C"/>
    <w:rsid w:val="005104E0"/>
    <w:rsid w:val="005106E2"/>
    <w:rsid w:val="00513886"/>
    <w:rsid w:val="00514206"/>
    <w:rsid w:val="00514B70"/>
    <w:rsid w:val="005155FD"/>
    <w:rsid w:val="00520765"/>
    <w:rsid w:val="00524592"/>
    <w:rsid w:val="00533B5D"/>
    <w:rsid w:val="005418B0"/>
    <w:rsid w:val="00541E97"/>
    <w:rsid w:val="0054246A"/>
    <w:rsid w:val="00542778"/>
    <w:rsid w:val="00542C8B"/>
    <w:rsid w:val="0055198B"/>
    <w:rsid w:val="00553563"/>
    <w:rsid w:val="005541FD"/>
    <w:rsid w:val="00555A38"/>
    <w:rsid w:val="0055663D"/>
    <w:rsid w:val="00562AA2"/>
    <w:rsid w:val="00563452"/>
    <w:rsid w:val="00570A10"/>
    <w:rsid w:val="00573AC6"/>
    <w:rsid w:val="00575354"/>
    <w:rsid w:val="00575657"/>
    <w:rsid w:val="0058130F"/>
    <w:rsid w:val="0058206B"/>
    <w:rsid w:val="005879F4"/>
    <w:rsid w:val="005934E7"/>
    <w:rsid w:val="00594317"/>
    <w:rsid w:val="00594C78"/>
    <w:rsid w:val="00596919"/>
    <w:rsid w:val="00596C90"/>
    <w:rsid w:val="005A0C29"/>
    <w:rsid w:val="005A27F6"/>
    <w:rsid w:val="005A385D"/>
    <w:rsid w:val="005A77AC"/>
    <w:rsid w:val="005B4C87"/>
    <w:rsid w:val="005C1160"/>
    <w:rsid w:val="005C37FA"/>
    <w:rsid w:val="005C5001"/>
    <w:rsid w:val="005D0629"/>
    <w:rsid w:val="005D0F86"/>
    <w:rsid w:val="005D130D"/>
    <w:rsid w:val="005D22E8"/>
    <w:rsid w:val="005E139D"/>
    <w:rsid w:val="005F0791"/>
    <w:rsid w:val="005F0931"/>
    <w:rsid w:val="005F0AA4"/>
    <w:rsid w:val="005F39F9"/>
    <w:rsid w:val="005F3DE7"/>
    <w:rsid w:val="00615077"/>
    <w:rsid w:val="0062031A"/>
    <w:rsid w:val="0062236E"/>
    <w:rsid w:val="006224EC"/>
    <w:rsid w:val="00623BCD"/>
    <w:rsid w:val="00624BB6"/>
    <w:rsid w:val="006332AE"/>
    <w:rsid w:val="0063423F"/>
    <w:rsid w:val="006365B6"/>
    <w:rsid w:val="0063780D"/>
    <w:rsid w:val="006405F2"/>
    <w:rsid w:val="00643D46"/>
    <w:rsid w:val="006456BA"/>
    <w:rsid w:val="00645E7B"/>
    <w:rsid w:val="006468DA"/>
    <w:rsid w:val="00650BEC"/>
    <w:rsid w:val="006552E0"/>
    <w:rsid w:val="00656B9A"/>
    <w:rsid w:val="00663EA2"/>
    <w:rsid w:val="00665B26"/>
    <w:rsid w:val="00677004"/>
    <w:rsid w:val="00680CA0"/>
    <w:rsid w:val="00681293"/>
    <w:rsid w:val="0068317F"/>
    <w:rsid w:val="00683C84"/>
    <w:rsid w:val="00686A71"/>
    <w:rsid w:val="006931BD"/>
    <w:rsid w:val="00694C87"/>
    <w:rsid w:val="00696776"/>
    <w:rsid w:val="006A3451"/>
    <w:rsid w:val="006A3964"/>
    <w:rsid w:val="006B058A"/>
    <w:rsid w:val="006B4EF5"/>
    <w:rsid w:val="006B7AE1"/>
    <w:rsid w:val="006B7F95"/>
    <w:rsid w:val="006C02CF"/>
    <w:rsid w:val="006C0462"/>
    <w:rsid w:val="006C06EE"/>
    <w:rsid w:val="006C35E7"/>
    <w:rsid w:val="006C568E"/>
    <w:rsid w:val="006D615C"/>
    <w:rsid w:val="006E0CC1"/>
    <w:rsid w:val="006E2F38"/>
    <w:rsid w:val="006F314A"/>
    <w:rsid w:val="006F5A85"/>
    <w:rsid w:val="006F5FAF"/>
    <w:rsid w:val="006F6110"/>
    <w:rsid w:val="006F6A59"/>
    <w:rsid w:val="006F7971"/>
    <w:rsid w:val="00704ACD"/>
    <w:rsid w:val="00704D76"/>
    <w:rsid w:val="00705F44"/>
    <w:rsid w:val="0071275D"/>
    <w:rsid w:val="007205C7"/>
    <w:rsid w:val="0072745E"/>
    <w:rsid w:val="00733208"/>
    <w:rsid w:val="00733C01"/>
    <w:rsid w:val="00735084"/>
    <w:rsid w:val="00742E98"/>
    <w:rsid w:val="00743645"/>
    <w:rsid w:val="00744701"/>
    <w:rsid w:val="0075028C"/>
    <w:rsid w:val="00751B89"/>
    <w:rsid w:val="00752B52"/>
    <w:rsid w:val="00756DDA"/>
    <w:rsid w:val="007614C0"/>
    <w:rsid w:val="007646A3"/>
    <w:rsid w:val="00765374"/>
    <w:rsid w:val="007673B4"/>
    <w:rsid w:val="00767FA8"/>
    <w:rsid w:val="00773874"/>
    <w:rsid w:val="0077406C"/>
    <w:rsid w:val="00775DD4"/>
    <w:rsid w:val="007769ED"/>
    <w:rsid w:val="00786DE5"/>
    <w:rsid w:val="007905A0"/>
    <w:rsid w:val="0079607D"/>
    <w:rsid w:val="0079718A"/>
    <w:rsid w:val="007A37F1"/>
    <w:rsid w:val="007A7D8B"/>
    <w:rsid w:val="007B2FB7"/>
    <w:rsid w:val="007B40BE"/>
    <w:rsid w:val="007B41BF"/>
    <w:rsid w:val="007B5610"/>
    <w:rsid w:val="007C0569"/>
    <w:rsid w:val="007C0D46"/>
    <w:rsid w:val="007C10AD"/>
    <w:rsid w:val="007C2743"/>
    <w:rsid w:val="007C3E1D"/>
    <w:rsid w:val="007D1D1C"/>
    <w:rsid w:val="007E3B5C"/>
    <w:rsid w:val="007E607E"/>
    <w:rsid w:val="007F010F"/>
    <w:rsid w:val="0080068B"/>
    <w:rsid w:val="008022D8"/>
    <w:rsid w:val="00802E17"/>
    <w:rsid w:val="00803B3D"/>
    <w:rsid w:val="00803D9B"/>
    <w:rsid w:val="00803DF1"/>
    <w:rsid w:val="00810243"/>
    <w:rsid w:val="0081085F"/>
    <w:rsid w:val="00810F66"/>
    <w:rsid w:val="00811248"/>
    <w:rsid w:val="00813A0F"/>
    <w:rsid w:val="00814156"/>
    <w:rsid w:val="008179B5"/>
    <w:rsid w:val="0082439B"/>
    <w:rsid w:val="0082798E"/>
    <w:rsid w:val="00830ACE"/>
    <w:rsid w:val="008310B6"/>
    <w:rsid w:val="00831513"/>
    <w:rsid w:val="00831F06"/>
    <w:rsid w:val="00837B19"/>
    <w:rsid w:val="00837BE2"/>
    <w:rsid w:val="00843AA1"/>
    <w:rsid w:val="008460F6"/>
    <w:rsid w:val="00850CA5"/>
    <w:rsid w:val="00851B6C"/>
    <w:rsid w:val="00855596"/>
    <w:rsid w:val="00860452"/>
    <w:rsid w:val="008628E4"/>
    <w:rsid w:val="0086297A"/>
    <w:rsid w:val="00863543"/>
    <w:rsid w:val="00863A55"/>
    <w:rsid w:val="0086533B"/>
    <w:rsid w:val="008677F4"/>
    <w:rsid w:val="00870412"/>
    <w:rsid w:val="008736D8"/>
    <w:rsid w:val="008762CC"/>
    <w:rsid w:val="0088169D"/>
    <w:rsid w:val="0088323F"/>
    <w:rsid w:val="00886A0F"/>
    <w:rsid w:val="00890224"/>
    <w:rsid w:val="008905BF"/>
    <w:rsid w:val="008B7562"/>
    <w:rsid w:val="008C178F"/>
    <w:rsid w:val="008C4725"/>
    <w:rsid w:val="008C504E"/>
    <w:rsid w:val="008D445F"/>
    <w:rsid w:val="008D48BD"/>
    <w:rsid w:val="008D4C37"/>
    <w:rsid w:val="008D7FAE"/>
    <w:rsid w:val="008E153C"/>
    <w:rsid w:val="008E5FF1"/>
    <w:rsid w:val="008F098A"/>
    <w:rsid w:val="008F4350"/>
    <w:rsid w:val="008F626A"/>
    <w:rsid w:val="008F62BD"/>
    <w:rsid w:val="008F7BCC"/>
    <w:rsid w:val="00900C39"/>
    <w:rsid w:val="00900D10"/>
    <w:rsid w:val="009012FA"/>
    <w:rsid w:val="00902BE7"/>
    <w:rsid w:val="0090651A"/>
    <w:rsid w:val="00906959"/>
    <w:rsid w:val="00910CE2"/>
    <w:rsid w:val="009156FB"/>
    <w:rsid w:val="00915F72"/>
    <w:rsid w:val="00917D06"/>
    <w:rsid w:val="009203F1"/>
    <w:rsid w:val="00920B57"/>
    <w:rsid w:val="0092264A"/>
    <w:rsid w:val="0092396C"/>
    <w:rsid w:val="009257DB"/>
    <w:rsid w:val="00926F2F"/>
    <w:rsid w:val="009274E1"/>
    <w:rsid w:val="0093029A"/>
    <w:rsid w:val="0093254C"/>
    <w:rsid w:val="00934E6B"/>
    <w:rsid w:val="00943D3C"/>
    <w:rsid w:val="00944627"/>
    <w:rsid w:val="00945170"/>
    <w:rsid w:val="009563DF"/>
    <w:rsid w:val="00960139"/>
    <w:rsid w:val="0096141B"/>
    <w:rsid w:val="00964838"/>
    <w:rsid w:val="00965EB3"/>
    <w:rsid w:val="00966CD2"/>
    <w:rsid w:val="00972DCB"/>
    <w:rsid w:val="00976C3A"/>
    <w:rsid w:val="00980339"/>
    <w:rsid w:val="00981291"/>
    <w:rsid w:val="009833A5"/>
    <w:rsid w:val="00987028"/>
    <w:rsid w:val="00992DC9"/>
    <w:rsid w:val="00996B2C"/>
    <w:rsid w:val="00996DD4"/>
    <w:rsid w:val="009976B8"/>
    <w:rsid w:val="009A324D"/>
    <w:rsid w:val="009B2A19"/>
    <w:rsid w:val="009B2F75"/>
    <w:rsid w:val="009B326E"/>
    <w:rsid w:val="009B359B"/>
    <w:rsid w:val="009B4097"/>
    <w:rsid w:val="009B4BC6"/>
    <w:rsid w:val="009C0EE8"/>
    <w:rsid w:val="009D4F3A"/>
    <w:rsid w:val="009D6FB4"/>
    <w:rsid w:val="009E12D2"/>
    <w:rsid w:val="009E3476"/>
    <w:rsid w:val="009E3B90"/>
    <w:rsid w:val="009E4B5F"/>
    <w:rsid w:val="009F123D"/>
    <w:rsid w:val="009F4B5C"/>
    <w:rsid w:val="00A0022C"/>
    <w:rsid w:val="00A00FE4"/>
    <w:rsid w:val="00A03D91"/>
    <w:rsid w:val="00A05AF9"/>
    <w:rsid w:val="00A07ABC"/>
    <w:rsid w:val="00A10678"/>
    <w:rsid w:val="00A11405"/>
    <w:rsid w:val="00A1622B"/>
    <w:rsid w:val="00A20B2B"/>
    <w:rsid w:val="00A217EB"/>
    <w:rsid w:val="00A22D38"/>
    <w:rsid w:val="00A25203"/>
    <w:rsid w:val="00A25A4A"/>
    <w:rsid w:val="00A2604B"/>
    <w:rsid w:val="00A26D1B"/>
    <w:rsid w:val="00A34D2B"/>
    <w:rsid w:val="00A40140"/>
    <w:rsid w:val="00A412E5"/>
    <w:rsid w:val="00A4181B"/>
    <w:rsid w:val="00A45999"/>
    <w:rsid w:val="00A46EDB"/>
    <w:rsid w:val="00A509C0"/>
    <w:rsid w:val="00A514DE"/>
    <w:rsid w:val="00A56A2D"/>
    <w:rsid w:val="00A604A4"/>
    <w:rsid w:val="00A628B1"/>
    <w:rsid w:val="00A6687B"/>
    <w:rsid w:val="00A67963"/>
    <w:rsid w:val="00A67A7E"/>
    <w:rsid w:val="00A71BB7"/>
    <w:rsid w:val="00A733C9"/>
    <w:rsid w:val="00A80E5B"/>
    <w:rsid w:val="00A80F50"/>
    <w:rsid w:val="00A864C7"/>
    <w:rsid w:val="00A86BB9"/>
    <w:rsid w:val="00A9394C"/>
    <w:rsid w:val="00AA1531"/>
    <w:rsid w:val="00AA41BB"/>
    <w:rsid w:val="00AB1D73"/>
    <w:rsid w:val="00AB4BE4"/>
    <w:rsid w:val="00AC0B54"/>
    <w:rsid w:val="00AC2946"/>
    <w:rsid w:val="00AC3EEF"/>
    <w:rsid w:val="00AC5B1F"/>
    <w:rsid w:val="00AC634B"/>
    <w:rsid w:val="00AD4E64"/>
    <w:rsid w:val="00AD51F4"/>
    <w:rsid w:val="00AD6085"/>
    <w:rsid w:val="00AD6DB8"/>
    <w:rsid w:val="00AE0D4C"/>
    <w:rsid w:val="00AE338C"/>
    <w:rsid w:val="00AF31BF"/>
    <w:rsid w:val="00AF3E85"/>
    <w:rsid w:val="00AF4119"/>
    <w:rsid w:val="00AF5FF4"/>
    <w:rsid w:val="00B013FB"/>
    <w:rsid w:val="00B02B8B"/>
    <w:rsid w:val="00B02C93"/>
    <w:rsid w:val="00B048F8"/>
    <w:rsid w:val="00B126A8"/>
    <w:rsid w:val="00B1740D"/>
    <w:rsid w:val="00B20E06"/>
    <w:rsid w:val="00B21DF7"/>
    <w:rsid w:val="00B230FB"/>
    <w:rsid w:val="00B30500"/>
    <w:rsid w:val="00B3278C"/>
    <w:rsid w:val="00B32F9C"/>
    <w:rsid w:val="00B34408"/>
    <w:rsid w:val="00B43D9E"/>
    <w:rsid w:val="00B53E1B"/>
    <w:rsid w:val="00B5570F"/>
    <w:rsid w:val="00B55BA8"/>
    <w:rsid w:val="00B60BD9"/>
    <w:rsid w:val="00B64FCB"/>
    <w:rsid w:val="00B65585"/>
    <w:rsid w:val="00B656DF"/>
    <w:rsid w:val="00B65C1C"/>
    <w:rsid w:val="00B73DBA"/>
    <w:rsid w:val="00B7439B"/>
    <w:rsid w:val="00B7465B"/>
    <w:rsid w:val="00B75770"/>
    <w:rsid w:val="00B76B83"/>
    <w:rsid w:val="00B77962"/>
    <w:rsid w:val="00B83052"/>
    <w:rsid w:val="00B84318"/>
    <w:rsid w:val="00B8434C"/>
    <w:rsid w:val="00B87E3B"/>
    <w:rsid w:val="00B930FF"/>
    <w:rsid w:val="00B94D21"/>
    <w:rsid w:val="00B957E4"/>
    <w:rsid w:val="00B958BA"/>
    <w:rsid w:val="00B95E5B"/>
    <w:rsid w:val="00BA2B00"/>
    <w:rsid w:val="00BB1A99"/>
    <w:rsid w:val="00BB2D32"/>
    <w:rsid w:val="00BB4391"/>
    <w:rsid w:val="00BB4C73"/>
    <w:rsid w:val="00BB531A"/>
    <w:rsid w:val="00BC0F31"/>
    <w:rsid w:val="00BC13BF"/>
    <w:rsid w:val="00BC35B2"/>
    <w:rsid w:val="00BC53A9"/>
    <w:rsid w:val="00BD5258"/>
    <w:rsid w:val="00BE170E"/>
    <w:rsid w:val="00BF008D"/>
    <w:rsid w:val="00BF0BF1"/>
    <w:rsid w:val="00BF229C"/>
    <w:rsid w:val="00BF3412"/>
    <w:rsid w:val="00BF41E3"/>
    <w:rsid w:val="00BF50A5"/>
    <w:rsid w:val="00C02163"/>
    <w:rsid w:val="00C02CB7"/>
    <w:rsid w:val="00C111AD"/>
    <w:rsid w:val="00C1295C"/>
    <w:rsid w:val="00C13717"/>
    <w:rsid w:val="00C137B4"/>
    <w:rsid w:val="00C15A5D"/>
    <w:rsid w:val="00C1627C"/>
    <w:rsid w:val="00C17AC8"/>
    <w:rsid w:val="00C20123"/>
    <w:rsid w:val="00C20521"/>
    <w:rsid w:val="00C20538"/>
    <w:rsid w:val="00C21304"/>
    <w:rsid w:val="00C2671A"/>
    <w:rsid w:val="00C2789E"/>
    <w:rsid w:val="00C33CAB"/>
    <w:rsid w:val="00C34B25"/>
    <w:rsid w:val="00C34D71"/>
    <w:rsid w:val="00C412DC"/>
    <w:rsid w:val="00C422D4"/>
    <w:rsid w:val="00C423D6"/>
    <w:rsid w:val="00C440DE"/>
    <w:rsid w:val="00C455CE"/>
    <w:rsid w:val="00C45647"/>
    <w:rsid w:val="00C47511"/>
    <w:rsid w:val="00C52761"/>
    <w:rsid w:val="00C572CF"/>
    <w:rsid w:val="00C60C57"/>
    <w:rsid w:val="00C61C0E"/>
    <w:rsid w:val="00C643B3"/>
    <w:rsid w:val="00C65C88"/>
    <w:rsid w:val="00C669F4"/>
    <w:rsid w:val="00C747A7"/>
    <w:rsid w:val="00C76133"/>
    <w:rsid w:val="00C76F46"/>
    <w:rsid w:val="00C82748"/>
    <w:rsid w:val="00C83B2E"/>
    <w:rsid w:val="00C864BF"/>
    <w:rsid w:val="00C86CB7"/>
    <w:rsid w:val="00C87783"/>
    <w:rsid w:val="00C91384"/>
    <w:rsid w:val="00C91D13"/>
    <w:rsid w:val="00C92516"/>
    <w:rsid w:val="00C93238"/>
    <w:rsid w:val="00CA4A9F"/>
    <w:rsid w:val="00CA6446"/>
    <w:rsid w:val="00CA6797"/>
    <w:rsid w:val="00CB0CA5"/>
    <w:rsid w:val="00CB17F9"/>
    <w:rsid w:val="00CB3A90"/>
    <w:rsid w:val="00CB7CA0"/>
    <w:rsid w:val="00CC1382"/>
    <w:rsid w:val="00CC26D0"/>
    <w:rsid w:val="00CC45C1"/>
    <w:rsid w:val="00CD0696"/>
    <w:rsid w:val="00CE08EC"/>
    <w:rsid w:val="00CE3F51"/>
    <w:rsid w:val="00CE48E6"/>
    <w:rsid w:val="00CE4B15"/>
    <w:rsid w:val="00CE6448"/>
    <w:rsid w:val="00CF45B0"/>
    <w:rsid w:val="00CF63E5"/>
    <w:rsid w:val="00CF69F2"/>
    <w:rsid w:val="00D00FC5"/>
    <w:rsid w:val="00D041E4"/>
    <w:rsid w:val="00D266BD"/>
    <w:rsid w:val="00D31B16"/>
    <w:rsid w:val="00D32538"/>
    <w:rsid w:val="00D33331"/>
    <w:rsid w:val="00D40B0E"/>
    <w:rsid w:val="00D41DB5"/>
    <w:rsid w:val="00D467F3"/>
    <w:rsid w:val="00D5345E"/>
    <w:rsid w:val="00D55B80"/>
    <w:rsid w:val="00D6193A"/>
    <w:rsid w:val="00D63643"/>
    <w:rsid w:val="00D70291"/>
    <w:rsid w:val="00D75716"/>
    <w:rsid w:val="00D76AAB"/>
    <w:rsid w:val="00D86F53"/>
    <w:rsid w:val="00D90916"/>
    <w:rsid w:val="00D92D5B"/>
    <w:rsid w:val="00D95431"/>
    <w:rsid w:val="00DA09C3"/>
    <w:rsid w:val="00DA15BC"/>
    <w:rsid w:val="00DB1D57"/>
    <w:rsid w:val="00DB7790"/>
    <w:rsid w:val="00DB7BA9"/>
    <w:rsid w:val="00DC039B"/>
    <w:rsid w:val="00DC2441"/>
    <w:rsid w:val="00DD14DC"/>
    <w:rsid w:val="00DD47CF"/>
    <w:rsid w:val="00DD544F"/>
    <w:rsid w:val="00DE10BA"/>
    <w:rsid w:val="00DE40DB"/>
    <w:rsid w:val="00DF0A5B"/>
    <w:rsid w:val="00DF0F29"/>
    <w:rsid w:val="00DF19A8"/>
    <w:rsid w:val="00DF2D5C"/>
    <w:rsid w:val="00DF44E5"/>
    <w:rsid w:val="00E00042"/>
    <w:rsid w:val="00E00530"/>
    <w:rsid w:val="00E006F2"/>
    <w:rsid w:val="00E0311E"/>
    <w:rsid w:val="00E06539"/>
    <w:rsid w:val="00E07202"/>
    <w:rsid w:val="00E10987"/>
    <w:rsid w:val="00E1711D"/>
    <w:rsid w:val="00E20478"/>
    <w:rsid w:val="00E22392"/>
    <w:rsid w:val="00E24C19"/>
    <w:rsid w:val="00E25085"/>
    <w:rsid w:val="00E261A7"/>
    <w:rsid w:val="00E26699"/>
    <w:rsid w:val="00E32D11"/>
    <w:rsid w:val="00E34D06"/>
    <w:rsid w:val="00E547F2"/>
    <w:rsid w:val="00E65F0A"/>
    <w:rsid w:val="00E66A67"/>
    <w:rsid w:val="00E707F1"/>
    <w:rsid w:val="00E715A0"/>
    <w:rsid w:val="00E717C5"/>
    <w:rsid w:val="00E75AC2"/>
    <w:rsid w:val="00E7719B"/>
    <w:rsid w:val="00E82BA6"/>
    <w:rsid w:val="00E91CA4"/>
    <w:rsid w:val="00E91D72"/>
    <w:rsid w:val="00EA2B18"/>
    <w:rsid w:val="00EA3DA2"/>
    <w:rsid w:val="00EA5F74"/>
    <w:rsid w:val="00EB4DCB"/>
    <w:rsid w:val="00EB707D"/>
    <w:rsid w:val="00EC1037"/>
    <w:rsid w:val="00EC463F"/>
    <w:rsid w:val="00EC72CA"/>
    <w:rsid w:val="00ED22D4"/>
    <w:rsid w:val="00ED316F"/>
    <w:rsid w:val="00ED31D9"/>
    <w:rsid w:val="00ED62F7"/>
    <w:rsid w:val="00ED7B50"/>
    <w:rsid w:val="00EE19B6"/>
    <w:rsid w:val="00EE5AE2"/>
    <w:rsid w:val="00EF4E85"/>
    <w:rsid w:val="00EF5568"/>
    <w:rsid w:val="00EF5CB2"/>
    <w:rsid w:val="00EF6216"/>
    <w:rsid w:val="00F00065"/>
    <w:rsid w:val="00F046E0"/>
    <w:rsid w:val="00F05C4B"/>
    <w:rsid w:val="00F11C55"/>
    <w:rsid w:val="00F156B0"/>
    <w:rsid w:val="00F160DD"/>
    <w:rsid w:val="00F20FF7"/>
    <w:rsid w:val="00F21014"/>
    <w:rsid w:val="00F21DB8"/>
    <w:rsid w:val="00F23800"/>
    <w:rsid w:val="00F26001"/>
    <w:rsid w:val="00F260A0"/>
    <w:rsid w:val="00F37A66"/>
    <w:rsid w:val="00F409D3"/>
    <w:rsid w:val="00F4161F"/>
    <w:rsid w:val="00F41749"/>
    <w:rsid w:val="00F471F6"/>
    <w:rsid w:val="00F501AB"/>
    <w:rsid w:val="00F522AC"/>
    <w:rsid w:val="00F549F2"/>
    <w:rsid w:val="00F60DA5"/>
    <w:rsid w:val="00F70FD2"/>
    <w:rsid w:val="00F71F56"/>
    <w:rsid w:val="00F75430"/>
    <w:rsid w:val="00F76984"/>
    <w:rsid w:val="00F84204"/>
    <w:rsid w:val="00F86C68"/>
    <w:rsid w:val="00F91A57"/>
    <w:rsid w:val="00F94856"/>
    <w:rsid w:val="00F961C7"/>
    <w:rsid w:val="00F97431"/>
    <w:rsid w:val="00FA03C1"/>
    <w:rsid w:val="00FA533D"/>
    <w:rsid w:val="00FA6E44"/>
    <w:rsid w:val="00FB07FA"/>
    <w:rsid w:val="00FB1B21"/>
    <w:rsid w:val="00FB276B"/>
    <w:rsid w:val="00FB5311"/>
    <w:rsid w:val="00FB5FB6"/>
    <w:rsid w:val="00FB6E83"/>
    <w:rsid w:val="00FD0BE1"/>
    <w:rsid w:val="00FD3CAC"/>
    <w:rsid w:val="00FE2835"/>
    <w:rsid w:val="00FF29A9"/>
    <w:rsid w:val="00FF4F56"/>
    <w:rsid w:val="00FF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14:defaultImageDpi w14:val="32767"/>
  <w15:chartTrackingRefBased/>
  <w15:docId w15:val="{94259F32-265B-4899-B04A-B43F6BCE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lsdException w:name="annotation text" w:locked="1" w:uiPriority="99"/>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uiPriority="99"/>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semiHidden="1" w:unhideWhenUs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A00FE4"/>
    <w:rPr>
      <w:sz w:val="24"/>
      <w:szCs w:val="24"/>
    </w:rPr>
  </w:style>
  <w:style w:type="paragraph" w:styleId="Heading1">
    <w:name w:val="heading 1"/>
    <w:basedOn w:val="Normal"/>
    <w:next w:val="Normal"/>
    <w:link w:val="Heading1Char"/>
    <w:uiPriority w:val="9"/>
    <w:qFormat/>
    <w:locked/>
    <w:rsid w:val="0017583D"/>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unhideWhenUsed/>
    <w:qFormat/>
    <w:locked/>
    <w:rsid w:val="003F4BF3"/>
    <w:pPr>
      <w:keepNext/>
      <w:keepLines/>
      <w:spacing w:before="40"/>
      <w:outlineLvl w:val="2"/>
    </w:pPr>
    <w:rPr>
      <w:rFonts w:ascii="Calibri Light" w:hAnsi="Calibri Light"/>
      <w:color w:val="1F4D78"/>
    </w:rPr>
  </w:style>
  <w:style w:type="paragraph" w:styleId="Heading5">
    <w:name w:val="heading 5"/>
    <w:basedOn w:val="Normal"/>
    <w:next w:val="Normal"/>
    <w:link w:val="Heading5Char"/>
    <w:semiHidden/>
    <w:unhideWhenUsed/>
    <w:qFormat/>
    <w:locked/>
    <w:rsid w:val="0002500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pPr>
      <w:spacing w:line="480" w:lineRule="auto"/>
    </w:pPr>
    <w:rPr>
      <w:rFonts w:ascii="Lucida Grande" w:eastAsia="ヒラギノ角ゴ Pro W3" w:hAnsi="Lucida Grande"/>
      <w:color w:val="000000"/>
      <w:sz w:val="22"/>
    </w:rPr>
  </w:style>
  <w:style w:type="paragraph" w:customStyle="1" w:styleId="Footer1">
    <w:name w:val="Footer1"/>
    <w:pPr>
      <w:tabs>
        <w:tab w:val="center" w:pos="4680"/>
        <w:tab w:val="right" w:pos="9360"/>
      </w:tabs>
    </w:pPr>
    <w:rPr>
      <w:rFonts w:ascii="Lucida Grande" w:eastAsia="ヒラギノ角ゴ Pro W3" w:hAnsi="Lucida Grande"/>
      <w:color w:val="000000"/>
      <w:sz w:val="24"/>
    </w:rPr>
  </w:style>
  <w:style w:type="paragraph" w:customStyle="1" w:styleId="Heading4A">
    <w:name w:val="Heading 4 A"/>
    <w:next w:val="Normal"/>
    <w:pPr>
      <w:keepNext/>
      <w:jc w:val="center"/>
      <w:outlineLvl w:val="3"/>
    </w:pPr>
    <w:rPr>
      <w:rFonts w:ascii="Arial Bold" w:eastAsia="ヒラギノ角ゴ Pro W3" w:hAnsi="Arial Bold"/>
      <w:color w:val="000000"/>
      <w:sz w:val="24"/>
      <w:u w:val="single"/>
    </w:rPr>
  </w:style>
  <w:style w:type="paragraph" w:customStyle="1" w:styleId="Heading5A">
    <w:name w:val="Heading 5 A"/>
    <w:next w:val="Normal"/>
    <w:pPr>
      <w:keepNext/>
      <w:outlineLvl w:val="4"/>
    </w:pPr>
    <w:rPr>
      <w:rFonts w:ascii="Times New Roman Bold" w:eastAsia="ヒラギノ角ゴ Pro W3" w:hAnsi="Times New Roman Bold"/>
      <w:color w:val="000000"/>
      <w:u w:val="single"/>
    </w:rPr>
  </w:style>
  <w:style w:type="paragraph" w:customStyle="1" w:styleId="Heading3AA">
    <w:name w:val="Heading 3 A A"/>
    <w:next w:val="Normal"/>
    <w:pPr>
      <w:keepNext/>
      <w:tabs>
        <w:tab w:val="center" w:pos="4680"/>
      </w:tabs>
      <w:jc w:val="center"/>
      <w:outlineLvl w:val="2"/>
    </w:pPr>
    <w:rPr>
      <w:rFonts w:ascii="Times New Roman Bold" w:eastAsia="ヒラギノ角ゴ Pro W3" w:hAnsi="Times New Roman Bold"/>
      <w:color w:val="000000"/>
      <w:sz w:val="24"/>
    </w:rPr>
  </w:style>
  <w:style w:type="paragraph" w:customStyle="1" w:styleId="ColorfulList-Accent11">
    <w:name w:val="Colorful List - Accent 11"/>
    <w:qFormat/>
    <w:pPr>
      <w:ind w:left="720"/>
    </w:pPr>
    <w:rPr>
      <w:rFonts w:ascii="Lucida Grande" w:eastAsia="ヒラギノ角ゴ Pro W3" w:hAnsi="Lucida Grande"/>
      <w:color w:val="000000"/>
      <w:sz w:val="24"/>
    </w:rPr>
  </w:style>
  <w:style w:type="character" w:customStyle="1" w:styleId="FootnoteReference1">
    <w:name w:val="Footnote Reference1"/>
    <w:rPr>
      <w:color w:val="000000"/>
      <w:sz w:val="22"/>
      <w:vertAlign w:val="superscript"/>
    </w:rPr>
  </w:style>
  <w:style w:type="paragraph" w:customStyle="1" w:styleId="FootnoteText1">
    <w:name w:val="Footnote Text1"/>
    <w:rPr>
      <w:rFonts w:ascii="Lucida Grande" w:eastAsia="ヒラギノ角ゴ Pro W3" w:hAnsi="Lucida Grande"/>
      <w:color w:val="000000"/>
    </w:rPr>
  </w:style>
  <w:style w:type="character" w:customStyle="1" w:styleId="Hyperlink1">
    <w:name w:val="Hyperlink1"/>
    <w:rPr>
      <w:color w:val="0C35A3"/>
      <w:sz w:val="22"/>
      <w:u w:val="single"/>
    </w:rPr>
  </w:style>
  <w:style w:type="paragraph" w:customStyle="1" w:styleId="FootnoteTextA">
    <w:name w:val="Footnote Text A"/>
    <w:rPr>
      <w:rFonts w:ascii="Helvetica" w:eastAsia="ヒラギノ角ゴ Pro W3" w:hAnsi="Helvetica"/>
      <w:color w:val="000000"/>
    </w:rPr>
  </w:style>
  <w:style w:type="paragraph" w:customStyle="1" w:styleId="NormalWeb1">
    <w:name w:val="Normal (Web)1"/>
    <w:pPr>
      <w:spacing w:before="100" w:after="100"/>
    </w:pPr>
    <w:rPr>
      <w:rFonts w:eastAsia="ヒラギノ角ゴ Pro W3"/>
      <w:color w:val="000000"/>
      <w:sz w:val="24"/>
    </w:rPr>
  </w:style>
  <w:style w:type="paragraph" w:styleId="FootnoteText">
    <w:name w:val="footnote text"/>
    <w:aliases w:val="FT"/>
    <w:basedOn w:val="Normal"/>
    <w:link w:val="FootnoteTextChar"/>
    <w:uiPriority w:val="99"/>
    <w:unhideWhenUsed/>
    <w:locked/>
    <w:rsid w:val="00E66A67"/>
    <w:pPr>
      <w:spacing w:after="100" w:line="211" w:lineRule="auto"/>
    </w:pPr>
    <w:rPr>
      <w:rFonts w:eastAsia="MS Mincho"/>
      <w:sz w:val="20"/>
      <w:szCs w:val="20"/>
    </w:rPr>
  </w:style>
  <w:style w:type="character" w:customStyle="1" w:styleId="FootnoteTextChar">
    <w:name w:val="Footnote Text Char"/>
    <w:aliases w:val="FT Char"/>
    <w:link w:val="FootnoteText"/>
    <w:uiPriority w:val="99"/>
    <w:rsid w:val="00E66A67"/>
    <w:rPr>
      <w:rFonts w:eastAsia="MS Mincho"/>
    </w:rPr>
  </w:style>
  <w:style w:type="character" w:styleId="FootnoteReference">
    <w:name w:val="footnote reference"/>
    <w:uiPriority w:val="99"/>
    <w:unhideWhenUsed/>
    <w:locked/>
    <w:rsid w:val="00A864C7"/>
    <w:rPr>
      <w:vertAlign w:val="superscript"/>
    </w:rPr>
  </w:style>
  <w:style w:type="character" w:styleId="Hyperlink">
    <w:name w:val="Hyperlink"/>
    <w:uiPriority w:val="99"/>
    <w:unhideWhenUsed/>
    <w:locked/>
    <w:rsid w:val="00A864C7"/>
    <w:rPr>
      <w:color w:val="0563C1"/>
      <w:u w:val="single"/>
    </w:rPr>
  </w:style>
  <w:style w:type="paragraph" w:customStyle="1" w:styleId="BodyA">
    <w:name w:val="Body A"/>
    <w:rsid w:val="00992DC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ImportedStyle1">
    <w:name w:val="Imported Style 1"/>
    <w:rsid w:val="00992DC9"/>
    <w:pPr>
      <w:numPr>
        <w:numId w:val="2"/>
      </w:numPr>
    </w:pPr>
  </w:style>
  <w:style w:type="character" w:customStyle="1" w:styleId="None">
    <w:name w:val="None"/>
    <w:rsid w:val="00992DC9"/>
  </w:style>
  <w:style w:type="character" w:customStyle="1" w:styleId="Hyperlink0">
    <w:name w:val="Hyperlink.0"/>
    <w:rsid w:val="00992DC9"/>
    <w:rPr>
      <w:rFonts w:ascii="Times New Roman" w:eastAsia="Times New Roman" w:hAnsi="Times New Roman" w:cs="Times New Roman"/>
      <w:color w:val="0563C1"/>
      <w:u w:val="single" w:color="0563C1"/>
    </w:rPr>
  </w:style>
  <w:style w:type="character" w:customStyle="1" w:styleId="apple-converted-space">
    <w:name w:val="apple-converted-space"/>
    <w:rsid w:val="003F10A0"/>
  </w:style>
  <w:style w:type="character" w:styleId="Emphasis">
    <w:name w:val="Emphasis"/>
    <w:uiPriority w:val="20"/>
    <w:qFormat/>
    <w:locked/>
    <w:rsid w:val="003F10A0"/>
    <w:rPr>
      <w:i/>
      <w:iCs/>
    </w:rPr>
  </w:style>
  <w:style w:type="paragraph" w:styleId="NormalWeb">
    <w:name w:val="Normal (Web)"/>
    <w:basedOn w:val="Normal"/>
    <w:uiPriority w:val="99"/>
    <w:unhideWhenUsed/>
    <w:locked/>
    <w:rsid w:val="006456BA"/>
    <w:pPr>
      <w:spacing w:before="100" w:beforeAutospacing="1" w:after="100" w:afterAutospacing="1"/>
    </w:pPr>
  </w:style>
  <w:style w:type="character" w:styleId="FollowedHyperlink">
    <w:name w:val="FollowedHyperlink"/>
    <w:locked/>
    <w:rsid w:val="002665F8"/>
    <w:rPr>
      <w:color w:val="954F72"/>
      <w:u w:val="single"/>
    </w:rPr>
  </w:style>
  <w:style w:type="paragraph" w:customStyle="1" w:styleId="FootnoteText10">
    <w:name w:val="Footnote Text1"/>
    <w:rsid w:val="007B2FB7"/>
    <w:rPr>
      <w:rFonts w:ascii="Helvetica" w:eastAsia="ヒラギノ角ゴ Pro W3" w:hAnsi="Helvetica"/>
      <w:color w:val="000000"/>
    </w:rPr>
  </w:style>
  <w:style w:type="numbering" w:customStyle="1" w:styleId="ImportedStyle2">
    <w:name w:val="Imported Style 2"/>
    <w:rsid w:val="000A7278"/>
    <w:pPr>
      <w:numPr>
        <w:numId w:val="4"/>
      </w:numPr>
    </w:pPr>
  </w:style>
  <w:style w:type="character" w:customStyle="1" w:styleId="Hyperlink10">
    <w:name w:val="Hyperlink.1"/>
    <w:rsid w:val="000A7278"/>
    <w:rPr>
      <w:color w:val="0563C1"/>
      <w:u w:val="single" w:color="0563C1"/>
    </w:rPr>
  </w:style>
  <w:style w:type="paragraph" w:customStyle="1" w:styleId="Default">
    <w:name w:val="Default"/>
    <w:rsid w:val="000A727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eading1Char">
    <w:name w:val="Heading 1 Char"/>
    <w:link w:val="Heading1"/>
    <w:uiPriority w:val="9"/>
    <w:rsid w:val="0017583D"/>
    <w:rPr>
      <w:rFonts w:ascii="Calibri Light" w:eastAsia="Times New Roman" w:hAnsi="Calibri Light" w:cs="Times New Roman"/>
      <w:b/>
      <w:bCs/>
      <w:kern w:val="32"/>
      <w:sz w:val="32"/>
      <w:szCs w:val="32"/>
    </w:rPr>
  </w:style>
  <w:style w:type="table" w:styleId="TableGrid">
    <w:name w:val="Table Grid"/>
    <w:basedOn w:val="TableNormal"/>
    <w:locked/>
    <w:rsid w:val="00F96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locked/>
    <w:rsid w:val="001B45C4"/>
    <w:pPr>
      <w:tabs>
        <w:tab w:val="center" w:pos="4680"/>
        <w:tab w:val="right" w:pos="9360"/>
      </w:tabs>
    </w:pPr>
  </w:style>
  <w:style w:type="character" w:customStyle="1" w:styleId="HeaderChar">
    <w:name w:val="Header Char"/>
    <w:link w:val="Header"/>
    <w:uiPriority w:val="99"/>
    <w:rsid w:val="001B45C4"/>
    <w:rPr>
      <w:sz w:val="24"/>
      <w:szCs w:val="24"/>
    </w:rPr>
  </w:style>
  <w:style w:type="character" w:styleId="CommentReference">
    <w:name w:val="annotation reference"/>
    <w:locked/>
    <w:rsid w:val="00CB7CA0"/>
    <w:rPr>
      <w:sz w:val="16"/>
      <w:szCs w:val="16"/>
    </w:rPr>
  </w:style>
  <w:style w:type="paragraph" w:styleId="CommentText">
    <w:name w:val="annotation text"/>
    <w:basedOn w:val="Normal"/>
    <w:link w:val="CommentTextChar"/>
    <w:uiPriority w:val="99"/>
    <w:locked/>
    <w:rsid w:val="00CB7CA0"/>
    <w:rPr>
      <w:sz w:val="20"/>
      <w:szCs w:val="20"/>
    </w:rPr>
  </w:style>
  <w:style w:type="character" w:customStyle="1" w:styleId="CommentTextChar">
    <w:name w:val="Comment Text Char"/>
    <w:basedOn w:val="DefaultParagraphFont"/>
    <w:link w:val="CommentText"/>
    <w:uiPriority w:val="99"/>
    <w:rsid w:val="00CB7CA0"/>
  </w:style>
  <w:style w:type="paragraph" w:styleId="CommentSubject">
    <w:name w:val="annotation subject"/>
    <w:basedOn w:val="CommentText"/>
    <w:next w:val="CommentText"/>
    <w:link w:val="CommentSubjectChar"/>
    <w:locked/>
    <w:rsid w:val="00CB7CA0"/>
    <w:rPr>
      <w:b/>
      <w:bCs/>
    </w:rPr>
  </w:style>
  <w:style w:type="character" w:customStyle="1" w:styleId="CommentSubjectChar">
    <w:name w:val="Comment Subject Char"/>
    <w:link w:val="CommentSubject"/>
    <w:rsid w:val="00CB7CA0"/>
    <w:rPr>
      <w:b/>
      <w:bCs/>
    </w:rPr>
  </w:style>
  <w:style w:type="paragraph" w:styleId="Revision">
    <w:name w:val="Revision"/>
    <w:hidden/>
    <w:uiPriority w:val="71"/>
    <w:unhideWhenUsed/>
    <w:rsid w:val="00CB7CA0"/>
    <w:rPr>
      <w:sz w:val="24"/>
      <w:szCs w:val="24"/>
    </w:rPr>
  </w:style>
  <w:style w:type="paragraph" w:styleId="BalloonText">
    <w:name w:val="Balloon Text"/>
    <w:basedOn w:val="Normal"/>
    <w:link w:val="BalloonTextChar"/>
    <w:locked/>
    <w:rsid w:val="00CB7CA0"/>
    <w:rPr>
      <w:rFonts w:ascii="Segoe UI" w:hAnsi="Segoe UI" w:cs="Segoe UI"/>
      <w:sz w:val="18"/>
      <w:szCs w:val="18"/>
    </w:rPr>
  </w:style>
  <w:style w:type="character" w:customStyle="1" w:styleId="BalloonTextChar">
    <w:name w:val="Balloon Text Char"/>
    <w:link w:val="BalloonText"/>
    <w:rsid w:val="00CB7CA0"/>
    <w:rPr>
      <w:rFonts w:ascii="Segoe UI" w:hAnsi="Segoe UI" w:cs="Segoe UI"/>
      <w:sz w:val="18"/>
      <w:szCs w:val="18"/>
    </w:rPr>
  </w:style>
  <w:style w:type="paragraph" w:styleId="ListParagraph">
    <w:name w:val="List Paragraph"/>
    <w:basedOn w:val="Normal"/>
    <w:uiPriority w:val="34"/>
    <w:qFormat/>
    <w:rsid w:val="000073F4"/>
    <w:pPr>
      <w:ind w:left="720"/>
      <w:contextualSpacing/>
    </w:pPr>
  </w:style>
  <w:style w:type="paragraph" w:styleId="BodyText">
    <w:name w:val="Body Text"/>
    <w:basedOn w:val="Normal"/>
    <w:link w:val="BodyTextChar"/>
    <w:uiPriority w:val="99"/>
    <w:locked/>
    <w:rsid w:val="000011C6"/>
    <w:pPr>
      <w:spacing w:line="480" w:lineRule="auto"/>
      <w:ind w:firstLine="720"/>
      <w:jc w:val="both"/>
    </w:pPr>
  </w:style>
  <w:style w:type="character" w:customStyle="1" w:styleId="BodyTextChar">
    <w:name w:val="Body Text Char"/>
    <w:link w:val="BodyText"/>
    <w:uiPriority w:val="99"/>
    <w:rsid w:val="000011C6"/>
    <w:rPr>
      <w:sz w:val="24"/>
      <w:szCs w:val="24"/>
    </w:rPr>
  </w:style>
  <w:style w:type="paragraph" w:styleId="EndnoteText">
    <w:name w:val="endnote text"/>
    <w:basedOn w:val="Normal"/>
    <w:link w:val="EndnoteTextChar"/>
    <w:locked/>
    <w:rsid w:val="0009605A"/>
  </w:style>
  <w:style w:type="character" w:customStyle="1" w:styleId="EndnoteTextChar">
    <w:name w:val="Endnote Text Char"/>
    <w:link w:val="EndnoteText"/>
    <w:rsid w:val="0009605A"/>
    <w:rPr>
      <w:sz w:val="24"/>
      <w:szCs w:val="24"/>
    </w:rPr>
  </w:style>
  <w:style w:type="character" w:styleId="EndnoteReference">
    <w:name w:val="endnote reference"/>
    <w:locked/>
    <w:rsid w:val="0009605A"/>
    <w:rPr>
      <w:vertAlign w:val="superscript"/>
    </w:rPr>
  </w:style>
  <w:style w:type="paragraph" w:styleId="Footer">
    <w:name w:val="footer"/>
    <w:basedOn w:val="Normal"/>
    <w:link w:val="FooterChar"/>
    <w:uiPriority w:val="99"/>
    <w:locked/>
    <w:rsid w:val="0021277A"/>
    <w:pPr>
      <w:tabs>
        <w:tab w:val="center" w:pos="4320"/>
        <w:tab w:val="right" w:pos="8640"/>
      </w:tabs>
      <w:ind w:firstLine="720"/>
    </w:pPr>
  </w:style>
  <w:style w:type="character" w:customStyle="1" w:styleId="FooterChar">
    <w:name w:val="Footer Char"/>
    <w:link w:val="Footer"/>
    <w:uiPriority w:val="99"/>
    <w:rsid w:val="0021277A"/>
    <w:rPr>
      <w:sz w:val="24"/>
      <w:szCs w:val="24"/>
    </w:rPr>
  </w:style>
  <w:style w:type="character" w:styleId="LineNumber">
    <w:name w:val="line number"/>
    <w:basedOn w:val="DefaultParagraphFont"/>
    <w:locked/>
    <w:rsid w:val="0021277A"/>
  </w:style>
  <w:style w:type="character" w:customStyle="1" w:styleId="Heading3Char">
    <w:name w:val="Heading 3 Char"/>
    <w:link w:val="Heading3"/>
    <w:rsid w:val="003F4BF3"/>
    <w:rPr>
      <w:rFonts w:ascii="Calibri Light" w:eastAsia="Times New Roman" w:hAnsi="Calibri Light" w:cs="Times New Roman"/>
      <w:color w:val="1F4D78"/>
      <w:sz w:val="24"/>
      <w:szCs w:val="24"/>
    </w:rPr>
  </w:style>
  <w:style w:type="character" w:styleId="Strong">
    <w:name w:val="Strong"/>
    <w:uiPriority w:val="22"/>
    <w:qFormat/>
    <w:locked/>
    <w:rsid w:val="00C02CB7"/>
    <w:rPr>
      <w:b/>
      <w:bCs/>
    </w:rPr>
  </w:style>
  <w:style w:type="paragraph" w:customStyle="1" w:styleId="p">
    <w:name w:val="p"/>
    <w:basedOn w:val="Normal"/>
    <w:rsid w:val="00900D10"/>
    <w:pPr>
      <w:spacing w:before="100" w:beforeAutospacing="1" w:after="100" w:afterAutospacing="1"/>
    </w:pPr>
  </w:style>
  <w:style w:type="paragraph" w:styleId="DocumentMap">
    <w:name w:val="Document Map"/>
    <w:basedOn w:val="Normal"/>
    <w:link w:val="DocumentMapChar"/>
    <w:locked/>
    <w:rsid w:val="00A56A2D"/>
  </w:style>
  <w:style w:type="character" w:customStyle="1" w:styleId="DocumentMapChar">
    <w:name w:val="Document Map Char"/>
    <w:link w:val="DocumentMap"/>
    <w:rsid w:val="00A56A2D"/>
    <w:rPr>
      <w:sz w:val="24"/>
      <w:szCs w:val="24"/>
    </w:rPr>
  </w:style>
  <w:style w:type="character" w:customStyle="1" w:styleId="Heading5Char">
    <w:name w:val="Heading 5 Char"/>
    <w:link w:val="Heading5"/>
    <w:semiHidden/>
    <w:rsid w:val="00025002"/>
    <w:rPr>
      <w:rFonts w:ascii="Calibri" w:eastAsia="Times New Roman" w:hAnsi="Calibri" w:cs="Times New Roman"/>
      <w:b/>
      <w:bCs/>
      <w:i/>
      <w:iCs/>
      <w:sz w:val="26"/>
      <w:szCs w:val="26"/>
    </w:rPr>
  </w:style>
  <w:style w:type="paragraph" w:customStyle="1" w:styleId="Body">
    <w:name w:val="Body"/>
    <w:rsid w:val="0002500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625">
      <w:bodyDiv w:val="1"/>
      <w:marLeft w:val="0"/>
      <w:marRight w:val="0"/>
      <w:marTop w:val="0"/>
      <w:marBottom w:val="0"/>
      <w:divBdr>
        <w:top w:val="none" w:sz="0" w:space="0" w:color="auto"/>
        <w:left w:val="none" w:sz="0" w:space="0" w:color="auto"/>
        <w:bottom w:val="none" w:sz="0" w:space="0" w:color="auto"/>
        <w:right w:val="none" w:sz="0" w:space="0" w:color="auto"/>
      </w:divBdr>
      <w:divsChild>
        <w:div w:id="401172627">
          <w:marLeft w:val="0"/>
          <w:marRight w:val="0"/>
          <w:marTop w:val="0"/>
          <w:marBottom w:val="0"/>
          <w:divBdr>
            <w:top w:val="none" w:sz="0" w:space="0" w:color="auto"/>
            <w:left w:val="none" w:sz="0" w:space="0" w:color="auto"/>
            <w:bottom w:val="none" w:sz="0" w:space="0" w:color="auto"/>
            <w:right w:val="none" w:sz="0" w:space="0" w:color="auto"/>
          </w:divBdr>
          <w:divsChild>
            <w:div w:id="1194995699">
              <w:marLeft w:val="0"/>
              <w:marRight w:val="0"/>
              <w:marTop w:val="0"/>
              <w:marBottom w:val="0"/>
              <w:divBdr>
                <w:top w:val="none" w:sz="0" w:space="0" w:color="auto"/>
                <w:left w:val="none" w:sz="0" w:space="0" w:color="auto"/>
                <w:bottom w:val="none" w:sz="0" w:space="0" w:color="auto"/>
                <w:right w:val="none" w:sz="0" w:space="0" w:color="auto"/>
              </w:divBdr>
              <w:divsChild>
                <w:div w:id="11591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979">
      <w:bodyDiv w:val="1"/>
      <w:marLeft w:val="0"/>
      <w:marRight w:val="0"/>
      <w:marTop w:val="0"/>
      <w:marBottom w:val="0"/>
      <w:divBdr>
        <w:top w:val="none" w:sz="0" w:space="0" w:color="auto"/>
        <w:left w:val="none" w:sz="0" w:space="0" w:color="auto"/>
        <w:bottom w:val="none" w:sz="0" w:space="0" w:color="auto"/>
        <w:right w:val="none" w:sz="0" w:space="0" w:color="auto"/>
      </w:divBdr>
    </w:div>
    <w:div w:id="20209530">
      <w:bodyDiv w:val="1"/>
      <w:marLeft w:val="0"/>
      <w:marRight w:val="0"/>
      <w:marTop w:val="0"/>
      <w:marBottom w:val="0"/>
      <w:divBdr>
        <w:top w:val="none" w:sz="0" w:space="0" w:color="auto"/>
        <w:left w:val="none" w:sz="0" w:space="0" w:color="auto"/>
        <w:bottom w:val="none" w:sz="0" w:space="0" w:color="auto"/>
        <w:right w:val="none" w:sz="0" w:space="0" w:color="auto"/>
      </w:divBdr>
    </w:div>
    <w:div w:id="63111434">
      <w:bodyDiv w:val="1"/>
      <w:marLeft w:val="0"/>
      <w:marRight w:val="0"/>
      <w:marTop w:val="0"/>
      <w:marBottom w:val="0"/>
      <w:divBdr>
        <w:top w:val="none" w:sz="0" w:space="0" w:color="auto"/>
        <w:left w:val="none" w:sz="0" w:space="0" w:color="auto"/>
        <w:bottom w:val="none" w:sz="0" w:space="0" w:color="auto"/>
        <w:right w:val="none" w:sz="0" w:space="0" w:color="auto"/>
      </w:divBdr>
      <w:divsChild>
        <w:div w:id="824081178">
          <w:marLeft w:val="0"/>
          <w:marRight w:val="0"/>
          <w:marTop w:val="0"/>
          <w:marBottom w:val="0"/>
          <w:divBdr>
            <w:top w:val="none" w:sz="0" w:space="0" w:color="auto"/>
            <w:left w:val="none" w:sz="0" w:space="0" w:color="auto"/>
            <w:bottom w:val="none" w:sz="0" w:space="0" w:color="auto"/>
            <w:right w:val="none" w:sz="0" w:space="0" w:color="auto"/>
          </w:divBdr>
        </w:div>
        <w:div w:id="1255817000">
          <w:marLeft w:val="0"/>
          <w:marRight w:val="0"/>
          <w:marTop w:val="0"/>
          <w:marBottom w:val="0"/>
          <w:divBdr>
            <w:top w:val="none" w:sz="0" w:space="0" w:color="auto"/>
            <w:left w:val="none" w:sz="0" w:space="0" w:color="auto"/>
            <w:bottom w:val="none" w:sz="0" w:space="0" w:color="auto"/>
            <w:right w:val="none" w:sz="0" w:space="0" w:color="auto"/>
          </w:divBdr>
        </w:div>
      </w:divsChild>
    </w:div>
    <w:div w:id="77482376">
      <w:bodyDiv w:val="1"/>
      <w:marLeft w:val="0"/>
      <w:marRight w:val="0"/>
      <w:marTop w:val="0"/>
      <w:marBottom w:val="0"/>
      <w:divBdr>
        <w:top w:val="none" w:sz="0" w:space="0" w:color="auto"/>
        <w:left w:val="none" w:sz="0" w:space="0" w:color="auto"/>
        <w:bottom w:val="none" w:sz="0" w:space="0" w:color="auto"/>
        <w:right w:val="none" w:sz="0" w:space="0" w:color="auto"/>
      </w:divBdr>
    </w:div>
    <w:div w:id="81337523">
      <w:bodyDiv w:val="1"/>
      <w:marLeft w:val="0"/>
      <w:marRight w:val="0"/>
      <w:marTop w:val="0"/>
      <w:marBottom w:val="0"/>
      <w:divBdr>
        <w:top w:val="none" w:sz="0" w:space="0" w:color="auto"/>
        <w:left w:val="none" w:sz="0" w:space="0" w:color="auto"/>
        <w:bottom w:val="none" w:sz="0" w:space="0" w:color="auto"/>
        <w:right w:val="none" w:sz="0" w:space="0" w:color="auto"/>
      </w:divBdr>
    </w:div>
    <w:div w:id="141385594">
      <w:bodyDiv w:val="1"/>
      <w:marLeft w:val="0"/>
      <w:marRight w:val="0"/>
      <w:marTop w:val="0"/>
      <w:marBottom w:val="0"/>
      <w:divBdr>
        <w:top w:val="none" w:sz="0" w:space="0" w:color="auto"/>
        <w:left w:val="none" w:sz="0" w:space="0" w:color="auto"/>
        <w:bottom w:val="none" w:sz="0" w:space="0" w:color="auto"/>
        <w:right w:val="none" w:sz="0" w:space="0" w:color="auto"/>
      </w:divBdr>
    </w:div>
    <w:div w:id="141435966">
      <w:bodyDiv w:val="1"/>
      <w:marLeft w:val="0"/>
      <w:marRight w:val="0"/>
      <w:marTop w:val="0"/>
      <w:marBottom w:val="0"/>
      <w:divBdr>
        <w:top w:val="none" w:sz="0" w:space="0" w:color="auto"/>
        <w:left w:val="none" w:sz="0" w:space="0" w:color="auto"/>
        <w:bottom w:val="none" w:sz="0" w:space="0" w:color="auto"/>
        <w:right w:val="none" w:sz="0" w:space="0" w:color="auto"/>
      </w:divBdr>
      <w:divsChild>
        <w:div w:id="141312665">
          <w:marLeft w:val="0"/>
          <w:marRight w:val="0"/>
          <w:marTop w:val="0"/>
          <w:marBottom w:val="0"/>
          <w:divBdr>
            <w:top w:val="none" w:sz="0" w:space="0" w:color="auto"/>
            <w:left w:val="none" w:sz="0" w:space="0" w:color="auto"/>
            <w:bottom w:val="none" w:sz="0" w:space="0" w:color="auto"/>
            <w:right w:val="none" w:sz="0" w:space="0" w:color="auto"/>
          </w:divBdr>
          <w:divsChild>
            <w:div w:id="228735794">
              <w:marLeft w:val="0"/>
              <w:marRight w:val="0"/>
              <w:marTop w:val="0"/>
              <w:marBottom w:val="0"/>
              <w:divBdr>
                <w:top w:val="none" w:sz="0" w:space="0" w:color="auto"/>
                <w:left w:val="none" w:sz="0" w:space="0" w:color="auto"/>
                <w:bottom w:val="none" w:sz="0" w:space="0" w:color="auto"/>
                <w:right w:val="none" w:sz="0" w:space="0" w:color="auto"/>
              </w:divBdr>
              <w:divsChild>
                <w:div w:id="4976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1750">
      <w:bodyDiv w:val="1"/>
      <w:marLeft w:val="0"/>
      <w:marRight w:val="0"/>
      <w:marTop w:val="0"/>
      <w:marBottom w:val="0"/>
      <w:divBdr>
        <w:top w:val="none" w:sz="0" w:space="0" w:color="auto"/>
        <w:left w:val="none" w:sz="0" w:space="0" w:color="auto"/>
        <w:bottom w:val="none" w:sz="0" w:space="0" w:color="auto"/>
        <w:right w:val="none" w:sz="0" w:space="0" w:color="auto"/>
      </w:divBdr>
    </w:div>
    <w:div w:id="177550002">
      <w:bodyDiv w:val="1"/>
      <w:marLeft w:val="0"/>
      <w:marRight w:val="0"/>
      <w:marTop w:val="0"/>
      <w:marBottom w:val="0"/>
      <w:divBdr>
        <w:top w:val="none" w:sz="0" w:space="0" w:color="auto"/>
        <w:left w:val="none" w:sz="0" w:space="0" w:color="auto"/>
        <w:bottom w:val="none" w:sz="0" w:space="0" w:color="auto"/>
        <w:right w:val="none" w:sz="0" w:space="0" w:color="auto"/>
      </w:divBdr>
    </w:div>
    <w:div w:id="209340194">
      <w:bodyDiv w:val="1"/>
      <w:marLeft w:val="0"/>
      <w:marRight w:val="0"/>
      <w:marTop w:val="0"/>
      <w:marBottom w:val="0"/>
      <w:divBdr>
        <w:top w:val="none" w:sz="0" w:space="0" w:color="auto"/>
        <w:left w:val="none" w:sz="0" w:space="0" w:color="auto"/>
        <w:bottom w:val="none" w:sz="0" w:space="0" w:color="auto"/>
        <w:right w:val="none" w:sz="0" w:space="0" w:color="auto"/>
      </w:divBdr>
    </w:div>
    <w:div w:id="211231717">
      <w:bodyDiv w:val="1"/>
      <w:marLeft w:val="0"/>
      <w:marRight w:val="0"/>
      <w:marTop w:val="0"/>
      <w:marBottom w:val="0"/>
      <w:divBdr>
        <w:top w:val="none" w:sz="0" w:space="0" w:color="auto"/>
        <w:left w:val="none" w:sz="0" w:space="0" w:color="auto"/>
        <w:bottom w:val="none" w:sz="0" w:space="0" w:color="auto"/>
        <w:right w:val="none" w:sz="0" w:space="0" w:color="auto"/>
      </w:divBdr>
    </w:div>
    <w:div w:id="238684315">
      <w:bodyDiv w:val="1"/>
      <w:marLeft w:val="0"/>
      <w:marRight w:val="0"/>
      <w:marTop w:val="0"/>
      <w:marBottom w:val="0"/>
      <w:divBdr>
        <w:top w:val="none" w:sz="0" w:space="0" w:color="auto"/>
        <w:left w:val="none" w:sz="0" w:space="0" w:color="auto"/>
        <w:bottom w:val="none" w:sz="0" w:space="0" w:color="auto"/>
        <w:right w:val="none" w:sz="0" w:space="0" w:color="auto"/>
      </w:divBdr>
    </w:div>
    <w:div w:id="252983198">
      <w:bodyDiv w:val="1"/>
      <w:marLeft w:val="0"/>
      <w:marRight w:val="0"/>
      <w:marTop w:val="0"/>
      <w:marBottom w:val="0"/>
      <w:divBdr>
        <w:top w:val="none" w:sz="0" w:space="0" w:color="auto"/>
        <w:left w:val="none" w:sz="0" w:space="0" w:color="auto"/>
        <w:bottom w:val="none" w:sz="0" w:space="0" w:color="auto"/>
        <w:right w:val="none" w:sz="0" w:space="0" w:color="auto"/>
      </w:divBdr>
    </w:div>
    <w:div w:id="307828247">
      <w:bodyDiv w:val="1"/>
      <w:marLeft w:val="0"/>
      <w:marRight w:val="0"/>
      <w:marTop w:val="0"/>
      <w:marBottom w:val="0"/>
      <w:divBdr>
        <w:top w:val="none" w:sz="0" w:space="0" w:color="auto"/>
        <w:left w:val="none" w:sz="0" w:space="0" w:color="auto"/>
        <w:bottom w:val="none" w:sz="0" w:space="0" w:color="auto"/>
        <w:right w:val="none" w:sz="0" w:space="0" w:color="auto"/>
      </w:divBdr>
    </w:div>
    <w:div w:id="312490247">
      <w:bodyDiv w:val="1"/>
      <w:marLeft w:val="0"/>
      <w:marRight w:val="0"/>
      <w:marTop w:val="0"/>
      <w:marBottom w:val="0"/>
      <w:divBdr>
        <w:top w:val="none" w:sz="0" w:space="0" w:color="auto"/>
        <w:left w:val="none" w:sz="0" w:space="0" w:color="auto"/>
        <w:bottom w:val="none" w:sz="0" w:space="0" w:color="auto"/>
        <w:right w:val="none" w:sz="0" w:space="0" w:color="auto"/>
      </w:divBdr>
    </w:div>
    <w:div w:id="325866688">
      <w:bodyDiv w:val="1"/>
      <w:marLeft w:val="0"/>
      <w:marRight w:val="0"/>
      <w:marTop w:val="0"/>
      <w:marBottom w:val="0"/>
      <w:divBdr>
        <w:top w:val="none" w:sz="0" w:space="0" w:color="auto"/>
        <w:left w:val="none" w:sz="0" w:space="0" w:color="auto"/>
        <w:bottom w:val="none" w:sz="0" w:space="0" w:color="auto"/>
        <w:right w:val="none" w:sz="0" w:space="0" w:color="auto"/>
      </w:divBdr>
    </w:div>
    <w:div w:id="352607639">
      <w:bodyDiv w:val="1"/>
      <w:marLeft w:val="0"/>
      <w:marRight w:val="0"/>
      <w:marTop w:val="0"/>
      <w:marBottom w:val="0"/>
      <w:divBdr>
        <w:top w:val="none" w:sz="0" w:space="0" w:color="auto"/>
        <w:left w:val="none" w:sz="0" w:space="0" w:color="auto"/>
        <w:bottom w:val="none" w:sz="0" w:space="0" w:color="auto"/>
        <w:right w:val="none" w:sz="0" w:space="0" w:color="auto"/>
      </w:divBdr>
    </w:div>
    <w:div w:id="356466189">
      <w:bodyDiv w:val="1"/>
      <w:marLeft w:val="0"/>
      <w:marRight w:val="0"/>
      <w:marTop w:val="0"/>
      <w:marBottom w:val="0"/>
      <w:divBdr>
        <w:top w:val="none" w:sz="0" w:space="0" w:color="auto"/>
        <w:left w:val="none" w:sz="0" w:space="0" w:color="auto"/>
        <w:bottom w:val="none" w:sz="0" w:space="0" w:color="auto"/>
        <w:right w:val="none" w:sz="0" w:space="0" w:color="auto"/>
      </w:divBdr>
      <w:divsChild>
        <w:div w:id="1797672539">
          <w:marLeft w:val="0"/>
          <w:marRight w:val="0"/>
          <w:marTop w:val="0"/>
          <w:marBottom w:val="0"/>
          <w:divBdr>
            <w:top w:val="none" w:sz="0" w:space="0" w:color="auto"/>
            <w:left w:val="none" w:sz="0" w:space="0" w:color="auto"/>
            <w:bottom w:val="none" w:sz="0" w:space="0" w:color="auto"/>
            <w:right w:val="none" w:sz="0" w:space="0" w:color="auto"/>
          </w:divBdr>
          <w:divsChild>
            <w:div w:id="1239441317">
              <w:marLeft w:val="0"/>
              <w:marRight w:val="0"/>
              <w:marTop w:val="0"/>
              <w:marBottom w:val="0"/>
              <w:divBdr>
                <w:top w:val="none" w:sz="0" w:space="0" w:color="auto"/>
                <w:left w:val="none" w:sz="0" w:space="0" w:color="auto"/>
                <w:bottom w:val="none" w:sz="0" w:space="0" w:color="auto"/>
                <w:right w:val="none" w:sz="0" w:space="0" w:color="auto"/>
              </w:divBdr>
              <w:divsChild>
                <w:div w:id="11196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62656">
      <w:bodyDiv w:val="1"/>
      <w:marLeft w:val="0"/>
      <w:marRight w:val="0"/>
      <w:marTop w:val="0"/>
      <w:marBottom w:val="0"/>
      <w:divBdr>
        <w:top w:val="none" w:sz="0" w:space="0" w:color="auto"/>
        <w:left w:val="none" w:sz="0" w:space="0" w:color="auto"/>
        <w:bottom w:val="none" w:sz="0" w:space="0" w:color="auto"/>
        <w:right w:val="none" w:sz="0" w:space="0" w:color="auto"/>
      </w:divBdr>
      <w:divsChild>
        <w:div w:id="1855412127">
          <w:marLeft w:val="0"/>
          <w:marRight w:val="0"/>
          <w:marTop w:val="0"/>
          <w:marBottom w:val="0"/>
          <w:divBdr>
            <w:top w:val="none" w:sz="0" w:space="0" w:color="auto"/>
            <w:left w:val="none" w:sz="0" w:space="0" w:color="auto"/>
            <w:bottom w:val="none" w:sz="0" w:space="0" w:color="auto"/>
            <w:right w:val="none" w:sz="0" w:space="0" w:color="auto"/>
          </w:divBdr>
          <w:divsChild>
            <w:div w:id="2050256196">
              <w:marLeft w:val="0"/>
              <w:marRight w:val="0"/>
              <w:marTop w:val="0"/>
              <w:marBottom w:val="0"/>
              <w:divBdr>
                <w:top w:val="none" w:sz="0" w:space="0" w:color="auto"/>
                <w:left w:val="none" w:sz="0" w:space="0" w:color="auto"/>
                <w:bottom w:val="none" w:sz="0" w:space="0" w:color="auto"/>
                <w:right w:val="none" w:sz="0" w:space="0" w:color="auto"/>
              </w:divBdr>
              <w:divsChild>
                <w:div w:id="816729807">
                  <w:marLeft w:val="0"/>
                  <w:marRight w:val="0"/>
                  <w:marTop w:val="0"/>
                  <w:marBottom w:val="0"/>
                  <w:divBdr>
                    <w:top w:val="none" w:sz="0" w:space="0" w:color="auto"/>
                    <w:left w:val="none" w:sz="0" w:space="0" w:color="auto"/>
                    <w:bottom w:val="none" w:sz="0" w:space="0" w:color="auto"/>
                    <w:right w:val="none" w:sz="0" w:space="0" w:color="auto"/>
                  </w:divBdr>
                  <w:divsChild>
                    <w:div w:id="18268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11140">
      <w:bodyDiv w:val="1"/>
      <w:marLeft w:val="0"/>
      <w:marRight w:val="0"/>
      <w:marTop w:val="0"/>
      <w:marBottom w:val="0"/>
      <w:divBdr>
        <w:top w:val="none" w:sz="0" w:space="0" w:color="auto"/>
        <w:left w:val="none" w:sz="0" w:space="0" w:color="auto"/>
        <w:bottom w:val="none" w:sz="0" w:space="0" w:color="auto"/>
        <w:right w:val="none" w:sz="0" w:space="0" w:color="auto"/>
      </w:divBdr>
    </w:div>
    <w:div w:id="411241214">
      <w:bodyDiv w:val="1"/>
      <w:marLeft w:val="0"/>
      <w:marRight w:val="0"/>
      <w:marTop w:val="0"/>
      <w:marBottom w:val="0"/>
      <w:divBdr>
        <w:top w:val="none" w:sz="0" w:space="0" w:color="auto"/>
        <w:left w:val="none" w:sz="0" w:space="0" w:color="auto"/>
        <w:bottom w:val="none" w:sz="0" w:space="0" w:color="auto"/>
        <w:right w:val="none" w:sz="0" w:space="0" w:color="auto"/>
      </w:divBdr>
    </w:div>
    <w:div w:id="421921756">
      <w:bodyDiv w:val="1"/>
      <w:marLeft w:val="0"/>
      <w:marRight w:val="0"/>
      <w:marTop w:val="0"/>
      <w:marBottom w:val="0"/>
      <w:divBdr>
        <w:top w:val="none" w:sz="0" w:space="0" w:color="auto"/>
        <w:left w:val="none" w:sz="0" w:space="0" w:color="auto"/>
        <w:bottom w:val="none" w:sz="0" w:space="0" w:color="auto"/>
        <w:right w:val="none" w:sz="0" w:space="0" w:color="auto"/>
      </w:divBdr>
      <w:divsChild>
        <w:div w:id="1338311811">
          <w:marLeft w:val="0"/>
          <w:marRight w:val="0"/>
          <w:marTop w:val="0"/>
          <w:marBottom w:val="0"/>
          <w:divBdr>
            <w:top w:val="none" w:sz="0" w:space="0" w:color="auto"/>
            <w:left w:val="none" w:sz="0" w:space="0" w:color="auto"/>
            <w:bottom w:val="none" w:sz="0" w:space="0" w:color="auto"/>
            <w:right w:val="none" w:sz="0" w:space="0" w:color="auto"/>
          </w:divBdr>
        </w:div>
      </w:divsChild>
    </w:div>
    <w:div w:id="470444281">
      <w:bodyDiv w:val="1"/>
      <w:marLeft w:val="0"/>
      <w:marRight w:val="0"/>
      <w:marTop w:val="0"/>
      <w:marBottom w:val="0"/>
      <w:divBdr>
        <w:top w:val="none" w:sz="0" w:space="0" w:color="auto"/>
        <w:left w:val="none" w:sz="0" w:space="0" w:color="auto"/>
        <w:bottom w:val="none" w:sz="0" w:space="0" w:color="auto"/>
        <w:right w:val="none" w:sz="0" w:space="0" w:color="auto"/>
      </w:divBdr>
    </w:div>
    <w:div w:id="495001885">
      <w:bodyDiv w:val="1"/>
      <w:marLeft w:val="0"/>
      <w:marRight w:val="0"/>
      <w:marTop w:val="0"/>
      <w:marBottom w:val="0"/>
      <w:divBdr>
        <w:top w:val="none" w:sz="0" w:space="0" w:color="auto"/>
        <w:left w:val="none" w:sz="0" w:space="0" w:color="auto"/>
        <w:bottom w:val="none" w:sz="0" w:space="0" w:color="auto"/>
        <w:right w:val="none" w:sz="0" w:space="0" w:color="auto"/>
      </w:divBdr>
      <w:divsChild>
        <w:div w:id="920942754">
          <w:marLeft w:val="0"/>
          <w:marRight w:val="0"/>
          <w:marTop w:val="0"/>
          <w:marBottom w:val="0"/>
          <w:divBdr>
            <w:top w:val="none" w:sz="0" w:space="0" w:color="auto"/>
            <w:left w:val="none" w:sz="0" w:space="0" w:color="auto"/>
            <w:bottom w:val="none" w:sz="0" w:space="0" w:color="auto"/>
            <w:right w:val="none" w:sz="0" w:space="0" w:color="auto"/>
          </w:divBdr>
          <w:divsChild>
            <w:div w:id="1541625413">
              <w:marLeft w:val="0"/>
              <w:marRight w:val="0"/>
              <w:marTop w:val="0"/>
              <w:marBottom w:val="0"/>
              <w:divBdr>
                <w:top w:val="none" w:sz="0" w:space="0" w:color="auto"/>
                <w:left w:val="none" w:sz="0" w:space="0" w:color="auto"/>
                <w:bottom w:val="none" w:sz="0" w:space="0" w:color="auto"/>
                <w:right w:val="none" w:sz="0" w:space="0" w:color="auto"/>
              </w:divBdr>
              <w:divsChild>
                <w:div w:id="20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85804">
      <w:bodyDiv w:val="1"/>
      <w:marLeft w:val="0"/>
      <w:marRight w:val="0"/>
      <w:marTop w:val="0"/>
      <w:marBottom w:val="0"/>
      <w:divBdr>
        <w:top w:val="none" w:sz="0" w:space="0" w:color="auto"/>
        <w:left w:val="none" w:sz="0" w:space="0" w:color="auto"/>
        <w:bottom w:val="none" w:sz="0" w:space="0" w:color="auto"/>
        <w:right w:val="none" w:sz="0" w:space="0" w:color="auto"/>
      </w:divBdr>
    </w:div>
    <w:div w:id="508108695">
      <w:bodyDiv w:val="1"/>
      <w:marLeft w:val="0"/>
      <w:marRight w:val="0"/>
      <w:marTop w:val="0"/>
      <w:marBottom w:val="0"/>
      <w:divBdr>
        <w:top w:val="none" w:sz="0" w:space="0" w:color="auto"/>
        <w:left w:val="none" w:sz="0" w:space="0" w:color="auto"/>
        <w:bottom w:val="none" w:sz="0" w:space="0" w:color="auto"/>
        <w:right w:val="none" w:sz="0" w:space="0" w:color="auto"/>
      </w:divBdr>
      <w:divsChild>
        <w:div w:id="1414666606">
          <w:marLeft w:val="0"/>
          <w:marRight w:val="0"/>
          <w:marTop w:val="0"/>
          <w:marBottom w:val="0"/>
          <w:divBdr>
            <w:top w:val="none" w:sz="0" w:space="0" w:color="auto"/>
            <w:left w:val="none" w:sz="0" w:space="0" w:color="auto"/>
            <w:bottom w:val="none" w:sz="0" w:space="0" w:color="auto"/>
            <w:right w:val="none" w:sz="0" w:space="0" w:color="auto"/>
          </w:divBdr>
          <w:divsChild>
            <w:div w:id="188959768">
              <w:marLeft w:val="0"/>
              <w:marRight w:val="0"/>
              <w:marTop w:val="0"/>
              <w:marBottom w:val="0"/>
              <w:divBdr>
                <w:top w:val="none" w:sz="0" w:space="0" w:color="auto"/>
                <w:left w:val="none" w:sz="0" w:space="0" w:color="auto"/>
                <w:bottom w:val="none" w:sz="0" w:space="0" w:color="auto"/>
                <w:right w:val="none" w:sz="0" w:space="0" w:color="auto"/>
              </w:divBdr>
              <w:divsChild>
                <w:div w:id="1008556535">
                  <w:marLeft w:val="0"/>
                  <w:marRight w:val="0"/>
                  <w:marTop w:val="0"/>
                  <w:marBottom w:val="0"/>
                  <w:divBdr>
                    <w:top w:val="none" w:sz="0" w:space="0" w:color="auto"/>
                    <w:left w:val="none" w:sz="0" w:space="0" w:color="auto"/>
                    <w:bottom w:val="none" w:sz="0" w:space="0" w:color="auto"/>
                    <w:right w:val="none" w:sz="0" w:space="0" w:color="auto"/>
                  </w:divBdr>
                  <w:divsChild>
                    <w:div w:id="4289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352191">
      <w:bodyDiv w:val="1"/>
      <w:marLeft w:val="0"/>
      <w:marRight w:val="0"/>
      <w:marTop w:val="0"/>
      <w:marBottom w:val="0"/>
      <w:divBdr>
        <w:top w:val="none" w:sz="0" w:space="0" w:color="auto"/>
        <w:left w:val="none" w:sz="0" w:space="0" w:color="auto"/>
        <w:bottom w:val="none" w:sz="0" w:space="0" w:color="auto"/>
        <w:right w:val="none" w:sz="0" w:space="0" w:color="auto"/>
      </w:divBdr>
      <w:divsChild>
        <w:div w:id="1212498576">
          <w:marLeft w:val="0"/>
          <w:marRight w:val="30"/>
          <w:marTop w:val="0"/>
          <w:marBottom w:val="0"/>
          <w:divBdr>
            <w:top w:val="none" w:sz="0" w:space="0" w:color="auto"/>
            <w:left w:val="none" w:sz="0" w:space="0" w:color="auto"/>
            <w:bottom w:val="none" w:sz="0" w:space="0" w:color="auto"/>
            <w:right w:val="none" w:sz="0" w:space="0" w:color="auto"/>
          </w:divBdr>
        </w:div>
      </w:divsChild>
    </w:div>
    <w:div w:id="551112625">
      <w:bodyDiv w:val="1"/>
      <w:marLeft w:val="0"/>
      <w:marRight w:val="0"/>
      <w:marTop w:val="0"/>
      <w:marBottom w:val="0"/>
      <w:divBdr>
        <w:top w:val="none" w:sz="0" w:space="0" w:color="auto"/>
        <w:left w:val="none" w:sz="0" w:space="0" w:color="auto"/>
        <w:bottom w:val="none" w:sz="0" w:space="0" w:color="auto"/>
        <w:right w:val="none" w:sz="0" w:space="0" w:color="auto"/>
      </w:divBdr>
    </w:div>
    <w:div w:id="594365539">
      <w:bodyDiv w:val="1"/>
      <w:marLeft w:val="0"/>
      <w:marRight w:val="0"/>
      <w:marTop w:val="0"/>
      <w:marBottom w:val="0"/>
      <w:divBdr>
        <w:top w:val="none" w:sz="0" w:space="0" w:color="auto"/>
        <w:left w:val="none" w:sz="0" w:space="0" w:color="auto"/>
        <w:bottom w:val="none" w:sz="0" w:space="0" w:color="auto"/>
        <w:right w:val="none" w:sz="0" w:space="0" w:color="auto"/>
      </w:divBdr>
      <w:divsChild>
        <w:div w:id="424809224">
          <w:marLeft w:val="0"/>
          <w:marRight w:val="0"/>
          <w:marTop w:val="0"/>
          <w:marBottom w:val="0"/>
          <w:divBdr>
            <w:top w:val="none" w:sz="0" w:space="0" w:color="auto"/>
            <w:left w:val="none" w:sz="0" w:space="0" w:color="auto"/>
            <w:bottom w:val="none" w:sz="0" w:space="0" w:color="auto"/>
            <w:right w:val="none" w:sz="0" w:space="0" w:color="auto"/>
          </w:divBdr>
          <w:divsChild>
            <w:div w:id="22249385">
              <w:marLeft w:val="0"/>
              <w:marRight w:val="0"/>
              <w:marTop w:val="0"/>
              <w:marBottom w:val="0"/>
              <w:divBdr>
                <w:top w:val="none" w:sz="0" w:space="0" w:color="auto"/>
                <w:left w:val="none" w:sz="0" w:space="0" w:color="auto"/>
                <w:bottom w:val="none" w:sz="0" w:space="0" w:color="auto"/>
                <w:right w:val="none" w:sz="0" w:space="0" w:color="auto"/>
              </w:divBdr>
              <w:divsChild>
                <w:div w:id="11638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51554">
      <w:bodyDiv w:val="1"/>
      <w:marLeft w:val="0"/>
      <w:marRight w:val="0"/>
      <w:marTop w:val="0"/>
      <w:marBottom w:val="0"/>
      <w:divBdr>
        <w:top w:val="none" w:sz="0" w:space="0" w:color="auto"/>
        <w:left w:val="none" w:sz="0" w:space="0" w:color="auto"/>
        <w:bottom w:val="none" w:sz="0" w:space="0" w:color="auto"/>
        <w:right w:val="none" w:sz="0" w:space="0" w:color="auto"/>
      </w:divBdr>
    </w:div>
    <w:div w:id="622351229">
      <w:bodyDiv w:val="1"/>
      <w:marLeft w:val="0"/>
      <w:marRight w:val="0"/>
      <w:marTop w:val="0"/>
      <w:marBottom w:val="0"/>
      <w:divBdr>
        <w:top w:val="none" w:sz="0" w:space="0" w:color="auto"/>
        <w:left w:val="none" w:sz="0" w:space="0" w:color="auto"/>
        <w:bottom w:val="none" w:sz="0" w:space="0" w:color="auto"/>
        <w:right w:val="none" w:sz="0" w:space="0" w:color="auto"/>
      </w:divBdr>
    </w:div>
    <w:div w:id="629944901">
      <w:bodyDiv w:val="1"/>
      <w:marLeft w:val="0"/>
      <w:marRight w:val="0"/>
      <w:marTop w:val="0"/>
      <w:marBottom w:val="0"/>
      <w:divBdr>
        <w:top w:val="none" w:sz="0" w:space="0" w:color="auto"/>
        <w:left w:val="none" w:sz="0" w:space="0" w:color="auto"/>
        <w:bottom w:val="none" w:sz="0" w:space="0" w:color="auto"/>
        <w:right w:val="none" w:sz="0" w:space="0" w:color="auto"/>
      </w:divBdr>
      <w:divsChild>
        <w:div w:id="2104953978">
          <w:marLeft w:val="0"/>
          <w:marRight w:val="0"/>
          <w:marTop w:val="0"/>
          <w:marBottom w:val="0"/>
          <w:divBdr>
            <w:top w:val="none" w:sz="0" w:space="0" w:color="auto"/>
            <w:left w:val="none" w:sz="0" w:space="0" w:color="auto"/>
            <w:bottom w:val="none" w:sz="0" w:space="0" w:color="auto"/>
            <w:right w:val="none" w:sz="0" w:space="0" w:color="auto"/>
          </w:divBdr>
          <w:divsChild>
            <w:div w:id="1612282989">
              <w:marLeft w:val="0"/>
              <w:marRight w:val="0"/>
              <w:marTop w:val="0"/>
              <w:marBottom w:val="0"/>
              <w:divBdr>
                <w:top w:val="none" w:sz="0" w:space="0" w:color="auto"/>
                <w:left w:val="none" w:sz="0" w:space="0" w:color="auto"/>
                <w:bottom w:val="none" w:sz="0" w:space="0" w:color="auto"/>
                <w:right w:val="none" w:sz="0" w:space="0" w:color="auto"/>
              </w:divBdr>
              <w:divsChild>
                <w:div w:id="1904096806">
                  <w:marLeft w:val="0"/>
                  <w:marRight w:val="0"/>
                  <w:marTop w:val="0"/>
                  <w:marBottom w:val="0"/>
                  <w:divBdr>
                    <w:top w:val="none" w:sz="0" w:space="0" w:color="auto"/>
                    <w:left w:val="none" w:sz="0" w:space="0" w:color="auto"/>
                    <w:bottom w:val="none" w:sz="0" w:space="0" w:color="auto"/>
                    <w:right w:val="none" w:sz="0" w:space="0" w:color="auto"/>
                  </w:divBdr>
                  <w:divsChild>
                    <w:div w:id="311523022">
                      <w:marLeft w:val="0"/>
                      <w:marRight w:val="0"/>
                      <w:marTop w:val="0"/>
                      <w:marBottom w:val="0"/>
                      <w:divBdr>
                        <w:top w:val="none" w:sz="0" w:space="0" w:color="auto"/>
                        <w:left w:val="none" w:sz="0" w:space="0" w:color="auto"/>
                        <w:bottom w:val="none" w:sz="0" w:space="0" w:color="auto"/>
                        <w:right w:val="none" w:sz="0" w:space="0" w:color="auto"/>
                      </w:divBdr>
                      <w:divsChild>
                        <w:div w:id="346754703">
                          <w:marLeft w:val="0"/>
                          <w:marRight w:val="0"/>
                          <w:marTop w:val="0"/>
                          <w:marBottom w:val="0"/>
                          <w:divBdr>
                            <w:top w:val="none" w:sz="0" w:space="0" w:color="auto"/>
                            <w:left w:val="none" w:sz="0" w:space="0" w:color="auto"/>
                            <w:bottom w:val="none" w:sz="0" w:space="0" w:color="auto"/>
                            <w:right w:val="none" w:sz="0" w:space="0" w:color="auto"/>
                          </w:divBdr>
                          <w:divsChild>
                            <w:div w:id="2039233944">
                              <w:marLeft w:val="0"/>
                              <w:marRight w:val="0"/>
                              <w:marTop w:val="0"/>
                              <w:marBottom w:val="0"/>
                              <w:divBdr>
                                <w:top w:val="none" w:sz="0" w:space="0" w:color="auto"/>
                                <w:left w:val="none" w:sz="0" w:space="0" w:color="auto"/>
                                <w:bottom w:val="none" w:sz="0" w:space="0" w:color="auto"/>
                                <w:right w:val="none" w:sz="0" w:space="0" w:color="auto"/>
                              </w:divBdr>
                              <w:divsChild>
                                <w:div w:id="1251086657">
                                  <w:marLeft w:val="0"/>
                                  <w:marRight w:val="0"/>
                                  <w:marTop w:val="0"/>
                                  <w:marBottom w:val="0"/>
                                  <w:divBdr>
                                    <w:top w:val="none" w:sz="0" w:space="0" w:color="auto"/>
                                    <w:left w:val="none" w:sz="0" w:space="0" w:color="auto"/>
                                    <w:bottom w:val="none" w:sz="0" w:space="0" w:color="auto"/>
                                    <w:right w:val="none" w:sz="0" w:space="0" w:color="auto"/>
                                  </w:divBdr>
                                  <w:divsChild>
                                    <w:div w:id="602080111">
                                      <w:marLeft w:val="0"/>
                                      <w:marRight w:val="0"/>
                                      <w:marTop w:val="0"/>
                                      <w:marBottom w:val="0"/>
                                      <w:divBdr>
                                        <w:top w:val="none" w:sz="0" w:space="0" w:color="auto"/>
                                        <w:left w:val="none" w:sz="0" w:space="0" w:color="auto"/>
                                        <w:bottom w:val="none" w:sz="0" w:space="0" w:color="auto"/>
                                        <w:right w:val="none" w:sz="0" w:space="0" w:color="auto"/>
                                      </w:divBdr>
                                      <w:divsChild>
                                        <w:div w:id="1776514884">
                                          <w:marLeft w:val="0"/>
                                          <w:marRight w:val="0"/>
                                          <w:marTop w:val="0"/>
                                          <w:marBottom w:val="0"/>
                                          <w:divBdr>
                                            <w:top w:val="none" w:sz="0" w:space="0" w:color="auto"/>
                                            <w:left w:val="none" w:sz="0" w:space="0" w:color="auto"/>
                                            <w:bottom w:val="none" w:sz="0" w:space="0" w:color="auto"/>
                                            <w:right w:val="none" w:sz="0" w:space="0" w:color="auto"/>
                                          </w:divBdr>
                                          <w:divsChild>
                                            <w:div w:id="1297446126">
                                              <w:marLeft w:val="0"/>
                                              <w:marRight w:val="0"/>
                                              <w:marTop w:val="0"/>
                                              <w:marBottom w:val="0"/>
                                              <w:divBdr>
                                                <w:top w:val="none" w:sz="0" w:space="0" w:color="auto"/>
                                                <w:left w:val="none" w:sz="0" w:space="0" w:color="auto"/>
                                                <w:bottom w:val="none" w:sz="0" w:space="0" w:color="auto"/>
                                                <w:right w:val="none" w:sz="0" w:space="0" w:color="auto"/>
                                              </w:divBdr>
                                              <w:divsChild>
                                                <w:div w:id="686639044">
                                                  <w:marLeft w:val="0"/>
                                                  <w:marRight w:val="0"/>
                                                  <w:marTop w:val="0"/>
                                                  <w:marBottom w:val="0"/>
                                                  <w:divBdr>
                                                    <w:top w:val="none" w:sz="0" w:space="0" w:color="auto"/>
                                                    <w:left w:val="none" w:sz="0" w:space="0" w:color="auto"/>
                                                    <w:bottom w:val="none" w:sz="0" w:space="0" w:color="auto"/>
                                                    <w:right w:val="none" w:sz="0" w:space="0" w:color="auto"/>
                                                  </w:divBdr>
                                                  <w:divsChild>
                                                    <w:div w:id="633483942">
                                                      <w:marLeft w:val="0"/>
                                                      <w:marRight w:val="0"/>
                                                      <w:marTop w:val="0"/>
                                                      <w:marBottom w:val="0"/>
                                                      <w:divBdr>
                                                        <w:top w:val="none" w:sz="0" w:space="0" w:color="auto"/>
                                                        <w:left w:val="none" w:sz="0" w:space="0" w:color="auto"/>
                                                        <w:bottom w:val="none" w:sz="0" w:space="0" w:color="auto"/>
                                                        <w:right w:val="none" w:sz="0" w:space="0" w:color="auto"/>
                                                      </w:divBdr>
                                                      <w:divsChild>
                                                        <w:div w:id="746072518">
                                                          <w:marLeft w:val="0"/>
                                                          <w:marRight w:val="0"/>
                                                          <w:marTop w:val="0"/>
                                                          <w:marBottom w:val="0"/>
                                                          <w:divBdr>
                                                            <w:top w:val="none" w:sz="0" w:space="0" w:color="auto"/>
                                                            <w:left w:val="none" w:sz="0" w:space="0" w:color="auto"/>
                                                            <w:bottom w:val="none" w:sz="0" w:space="0" w:color="auto"/>
                                                            <w:right w:val="none" w:sz="0" w:space="0" w:color="auto"/>
                                                          </w:divBdr>
                                                          <w:divsChild>
                                                            <w:div w:id="683820788">
                                                              <w:marLeft w:val="0"/>
                                                              <w:marRight w:val="0"/>
                                                              <w:marTop w:val="0"/>
                                                              <w:marBottom w:val="0"/>
                                                              <w:divBdr>
                                                                <w:top w:val="none" w:sz="0" w:space="0" w:color="auto"/>
                                                                <w:left w:val="none" w:sz="0" w:space="0" w:color="auto"/>
                                                                <w:bottom w:val="none" w:sz="0" w:space="0" w:color="auto"/>
                                                                <w:right w:val="none" w:sz="0" w:space="0" w:color="auto"/>
                                                              </w:divBdr>
                                                              <w:divsChild>
                                                                <w:div w:id="766584519">
                                                                  <w:marLeft w:val="0"/>
                                                                  <w:marRight w:val="0"/>
                                                                  <w:marTop w:val="0"/>
                                                                  <w:marBottom w:val="0"/>
                                                                  <w:divBdr>
                                                                    <w:top w:val="none" w:sz="0" w:space="0" w:color="auto"/>
                                                                    <w:left w:val="none" w:sz="0" w:space="0" w:color="auto"/>
                                                                    <w:bottom w:val="none" w:sz="0" w:space="0" w:color="auto"/>
                                                                    <w:right w:val="none" w:sz="0" w:space="0" w:color="auto"/>
                                                                  </w:divBdr>
                                                                  <w:divsChild>
                                                                    <w:div w:id="341784321">
                                                                      <w:marLeft w:val="0"/>
                                                                      <w:marRight w:val="0"/>
                                                                      <w:marTop w:val="0"/>
                                                                      <w:marBottom w:val="0"/>
                                                                      <w:divBdr>
                                                                        <w:top w:val="none" w:sz="0" w:space="0" w:color="auto"/>
                                                                        <w:left w:val="none" w:sz="0" w:space="0" w:color="auto"/>
                                                                        <w:bottom w:val="none" w:sz="0" w:space="0" w:color="auto"/>
                                                                        <w:right w:val="none" w:sz="0" w:space="0" w:color="auto"/>
                                                                      </w:divBdr>
                                                                      <w:divsChild>
                                                                        <w:div w:id="13844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866187">
      <w:bodyDiv w:val="1"/>
      <w:marLeft w:val="0"/>
      <w:marRight w:val="0"/>
      <w:marTop w:val="0"/>
      <w:marBottom w:val="0"/>
      <w:divBdr>
        <w:top w:val="none" w:sz="0" w:space="0" w:color="auto"/>
        <w:left w:val="none" w:sz="0" w:space="0" w:color="auto"/>
        <w:bottom w:val="none" w:sz="0" w:space="0" w:color="auto"/>
        <w:right w:val="none" w:sz="0" w:space="0" w:color="auto"/>
      </w:divBdr>
    </w:div>
    <w:div w:id="679163738">
      <w:bodyDiv w:val="1"/>
      <w:marLeft w:val="0"/>
      <w:marRight w:val="0"/>
      <w:marTop w:val="0"/>
      <w:marBottom w:val="0"/>
      <w:divBdr>
        <w:top w:val="none" w:sz="0" w:space="0" w:color="auto"/>
        <w:left w:val="none" w:sz="0" w:space="0" w:color="auto"/>
        <w:bottom w:val="none" w:sz="0" w:space="0" w:color="auto"/>
        <w:right w:val="none" w:sz="0" w:space="0" w:color="auto"/>
      </w:divBdr>
    </w:div>
    <w:div w:id="703869907">
      <w:bodyDiv w:val="1"/>
      <w:marLeft w:val="0"/>
      <w:marRight w:val="0"/>
      <w:marTop w:val="0"/>
      <w:marBottom w:val="0"/>
      <w:divBdr>
        <w:top w:val="none" w:sz="0" w:space="0" w:color="auto"/>
        <w:left w:val="none" w:sz="0" w:space="0" w:color="auto"/>
        <w:bottom w:val="none" w:sz="0" w:space="0" w:color="auto"/>
        <w:right w:val="none" w:sz="0" w:space="0" w:color="auto"/>
      </w:divBdr>
    </w:div>
    <w:div w:id="712770481">
      <w:bodyDiv w:val="1"/>
      <w:marLeft w:val="0"/>
      <w:marRight w:val="0"/>
      <w:marTop w:val="0"/>
      <w:marBottom w:val="0"/>
      <w:divBdr>
        <w:top w:val="none" w:sz="0" w:space="0" w:color="auto"/>
        <w:left w:val="none" w:sz="0" w:space="0" w:color="auto"/>
        <w:bottom w:val="none" w:sz="0" w:space="0" w:color="auto"/>
        <w:right w:val="none" w:sz="0" w:space="0" w:color="auto"/>
      </w:divBdr>
    </w:div>
    <w:div w:id="742219092">
      <w:bodyDiv w:val="1"/>
      <w:marLeft w:val="0"/>
      <w:marRight w:val="0"/>
      <w:marTop w:val="0"/>
      <w:marBottom w:val="0"/>
      <w:divBdr>
        <w:top w:val="none" w:sz="0" w:space="0" w:color="auto"/>
        <w:left w:val="none" w:sz="0" w:space="0" w:color="auto"/>
        <w:bottom w:val="none" w:sz="0" w:space="0" w:color="auto"/>
        <w:right w:val="none" w:sz="0" w:space="0" w:color="auto"/>
      </w:divBdr>
      <w:divsChild>
        <w:div w:id="1364597663">
          <w:marLeft w:val="0"/>
          <w:marRight w:val="0"/>
          <w:marTop w:val="0"/>
          <w:marBottom w:val="0"/>
          <w:divBdr>
            <w:top w:val="none" w:sz="0" w:space="0" w:color="auto"/>
            <w:left w:val="none" w:sz="0" w:space="0" w:color="auto"/>
            <w:bottom w:val="none" w:sz="0" w:space="0" w:color="auto"/>
            <w:right w:val="none" w:sz="0" w:space="0" w:color="auto"/>
          </w:divBdr>
          <w:divsChild>
            <w:div w:id="961573414">
              <w:marLeft w:val="0"/>
              <w:marRight w:val="0"/>
              <w:marTop w:val="0"/>
              <w:marBottom w:val="0"/>
              <w:divBdr>
                <w:top w:val="none" w:sz="0" w:space="0" w:color="auto"/>
                <w:left w:val="none" w:sz="0" w:space="0" w:color="auto"/>
                <w:bottom w:val="none" w:sz="0" w:space="0" w:color="auto"/>
                <w:right w:val="none" w:sz="0" w:space="0" w:color="auto"/>
              </w:divBdr>
              <w:divsChild>
                <w:div w:id="399449285">
                  <w:marLeft w:val="0"/>
                  <w:marRight w:val="0"/>
                  <w:marTop w:val="0"/>
                  <w:marBottom w:val="0"/>
                  <w:divBdr>
                    <w:top w:val="none" w:sz="0" w:space="0" w:color="auto"/>
                    <w:left w:val="none" w:sz="0" w:space="0" w:color="auto"/>
                    <w:bottom w:val="none" w:sz="0" w:space="0" w:color="auto"/>
                    <w:right w:val="none" w:sz="0" w:space="0" w:color="auto"/>
                  </w:divBdr>
                  <w:divsChild>
                    <w:div w:id="9004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43584">
      <w:bodyDiv w:val="1"/>
      <w:marLeft w:val="0"/>
      <w:marRight w:val="0"/>
      <w:marTop w:val="0"/>
      <w:marBottom w:val="0"/>
      <w:divBdr>
        <w:top w:val="none" w:sz="0" w:space="0" w:color="auto"/>
        <w:left w:val="none" w:sz="0" w:space="0" w:color="auto"/>
        <w:bottom w:val="none" w:sz="0" w:space="0" w:color="auto"/>
        <w:right w:val="none" w:sz="0" w:space="0" w:color="auto"/>
      </w:divBdr>
    </w:div>
    <w:div w:id="786778877">
      <w:bodyDiv w:val="1"/>
      <w:marLeft w:val="0"/>
      <w:marRight w:val="0"/>
      <w:marTop w:val="0"/>
      <w:marBottom w:val="0"/>
      <w:divBdr>
        <w:top w:val="none" w:sz="0" w:space="0" w:color="auto"/>
        <w:left w:val="none" w:sz="0" w:space="0" w:color="auto"/>
        <w:bottom w:val="none" w:sz="0" w:space="0" w:color="auto"/>
        <w:right w:val="none" w:sz="0" w:space="0" w:color="auto"/>
      </w:divBdr>
      <w:divsChild>
        <w:div w:id="398096006">
          <w:marLeft w:val="0"/>
          <w:marRight w:val="0"/>
          <w:marTop w:val="0"/>
          <w:marBottom w:val="0"/>
          <w:divBdr>
            <w:top w:val="none" w:sz="0" w:space="0" w:color="auto"/>
            <w:left w:val="none" w:sz="0" w:space="0" w:color="auto"/>
            <w:bottom w:val="none" w:sz="0" w:space="0" w:color="auto"/>
            <w:right w:val="none" w:sz="0" w:space="0" w:color="auto"/>
          </w:divBdr>
          <w:divsChild>
            <w:div w:id="336690088">
              <w:marLeft w:val="0"/>
              <w:marRight w:val="0"/>
              <w:marTop w:val="0"/>
              <w:marBottom w:val="0"/>
              <w:divBdr>
                <w:top w:val="none" w:sz="0" w:space="0" w:color="auto"/>
                <w:left w:val="none" w:sz="0" w:space="0" w:color="auto"/>
                <w:bottom w:val="none" w:sz="0" w:space="0" w:color="auto"/>
                <w:right w:val="none" w:sz="0" w:space="0" w:color="auto"/>
              </w:divBdr>
              <w:divsChild>
                <w:div w:id="14692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5946">
      <w:bodyDiv w:val="1"/>
      <w:marLeft w:val="0"/>
      <w:marRight w:val="0"/>
      <w:marTop w:val="0"/>
      <w:marBottom w:val="0"/>
      <w:divBdr>
        <w:top w:val="none" w:sz="0" w:space="0" w:color="auto"/>
        <w:left w:val="none" w:sz="0" w:space="0" w:color="auto"/>
        <w:bottom w:val="none" w:sz="0" w:space="0" w:color="auto"/>
        <w:right w:val="none" w:sz="0" w:space="0" w:color="auto"/>
      </w:divBdr>
    </w:div>
    <w:div w:id="806438987">
      <w:bodyDiv w:val="1"/>
      <w:marLeft w:val="0"/>
      <w:marRight w:val="0"/>
      <w:marTop w:val="0"/>
      <w:marBottom w:val="0"/>
      <w:divBdr>
        <w:top w:val="none" w:sz="0" w:space="0" w:color="auto"/>
        <w:left w:val="none" w:sz="0" w:space="0" w:color="auto"/>
        <w:bottom w:val="none" w:sz="0" w:space="0" w:color="auto"/>
        <w:right w:val="none" w:sz="0" w:space="0" w:color="auto"/>
      </w:divBdr>
    </w:div>
    <w:div w:id="818302650">
      <w:bodyDiv w:val="1"/>
      <w:marLeft w:val="0"/>
      <w:marRight w:val="0"/>
      <w:marTop w:val="0"/>
      <w:marBottom w:val="0"/>
      <w:divBdr>
        <w:top w:val="none" w:sz="0" w:space="0" w:color="auto"/>
        <w:left w:val="none" w:sz="0" w:space="0" w:color="auto"/>
        <w:bottom w:val="none" w:sz="0" w:space="0" w:color="auto"/>
        <w:right w:val="none" w:sz="0" w:space="0" w:color="auto"/>
      </w:divBdr>
    </w:div>
    <w:div w:id="834564239">
      <w:bodyDiv w:val="1"/>
      <w:marLeft w:val="0"/>
      <w:marRight w:val="0"/>
      <w:marTop w:val="0"/>
      <w:marBottom w:val="0"/>
      <w:divBdr>
        <w:top w:val="none" w:sz="0" w:space="0" w:color="auto"/>
        <w:left w:val="none" w:sz="0" w:space="0" w:color="auto"/>
        <w:bottom w:val="none" w:sz="0" w:space="0" w:color="auto"/>
        <w:right w:val="none" w:sz="0" w:space="0" w:color="auto"/>
      </w:divBdr>
      <w:divsChild>
        <w:div w:id="1344430502">
          <w:marLeft w:val="0"/>
          <w:marRight w:val="0"/>
          <w:marTop w:val="0"/>
          <w:marBottom w:val="0"/>
          <w:divBdr>
            <w:top w:val="none" w:sz="0" w:space="0" w:color="auto"/>
            <w:left w:val="none" w:sz="0" w:space="0" w:color="auto"/>
            <w:bottom w:val="none" w:sz="0" w:space="0" w:color="auto"/>
            <w:right w:val="none" w:sz="0" w:space="0" w:color="auto"/>
          </w:divBdr>
          <w:divsChild>
            <w:div w:id="2119448425">
              <w:marLeft w:val="0"/>
              <w:marRight w:val="0"/>
              <w:marTop w:val="0"/>
              <w:marBottom w:val="0"/>
              <w:divBdr>
                <w:top w:val="none" w:sz="0" w:space="0" w:color="auto"/>
                <w:left w:val="none" w:sz="0" w:space="0" w:color="auto"/>
                <w:bottom w:val="none" w:sz="0" w:space="0" w:color="auto"/>
                <w:right w:val="none" w:sz="0" w:space="0" w:color="auto"/>
              </w:divBdr>
              <w:divsChild>
                <w:div w:id="6470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598124">
      <w:bodyDiv w:val="1"/>
      <w:marLeft w:val="0"/>
      <w:marRight w:val="0"/>
      <w:marTop w:val="0"/>
      <w:marBottom w:val="0"/>
      <w:divBdr>
        <w:top w:val="none" w:sz="0" w:space="0" w:color="auto"/>
        <w:left w:val="none" w:sz="0" w:space="0" w:color="auto"/>
        <w:bottom w:val="none" w:sz="0" w:space="0" w:color="auto"/>
        <w:right w:val="none" w:sz="0" w:space="0" w:color="auto"/>
      </w:divBdr>
    </w:div>
    <w:div w:id="880560497">
      <w:bodyDiv w:val="1"/>
      <w:marLeft w:val="0"/>
      <w:marRight w:val="0"/>
      <w:marTop w:val="0"/>
      <w:marBottom w:val="0"/>
      <w:divBdr>
        <w:top w:val="none" w:sz="0" w:space="0" w:color="auto"/>
        <w:left w:val="none" w:sz="0" w:space="0" w:color="auto"/>
        <w:bottom w:val="none" w:sz="0" w:space="0" w:color="auto"/>
        <w:right w:val="none" w:sz="0" w:space="0" w:color="auto"/>
      </w:divBdr>
    </w:div>
    <w:div w:id="919023317">
      <w:bodyDiv w:val="1"/>
      <w:marLeft w:val="0"/>
      <w:marRight w:val="0"/>
      <w:marTop w:val="0"/>
      <w:marBottom w:val="0"/>
      <w:divBdr>
        <w:top w:val="none" w:sz="0" w:space="0" w:color="auto"/>
        <w:left w:val="none" w:sz="0" w:space="0" w:color="auto"/>
        <w:bottom w:val="none" w:sz="0" w:space="0" w:color="auto"/>
        <w:right w:val="none" w:sz="0" w:space="0" w:color="auto"/>
      </w:divBdr>
    </w:div>
    <w:div w:id="921569876">
      <w:bodyDiv w:val="1"/>
      <w:marLeft w:val="0"/>
      <w:marRight w:val="0"/>
      <w:marTop w:val="0"/>
      <w:marBottom w:val="0"/>
      <w:divBdr>
        <w:top w:val="none" w:sz="0" w:space="0" w:color="auto"/>
        <w:left w:val="none" w:sz="0" w:space="0" w:color="auto"/>
        <w:bottom w:val="none" w:sz="0" w:space="0" w:color="auto"/>
        <w:right w:val="none" w:sz="0" w:space="0" w:color="auto"/>
      </w:divBdr>
      <w:divsChild>
        <w:div w:id="785350433">
          <w:marLeft w:val="0"/>
          <w:marRight w:val="0"/>
          <w:marTop w:val="0"/>
          <w:marBottom w:val="0"/>
          <w:divBdr>
            <w:top w:val="none" w:sz="0" w:space="0" w:color="auto"/>
            <w:left w:val="none" w:sz="0" w:space="0" w:color="auto"/>
            <w:bottom w:val="none" w:sz="0" w:space="0" w:color="auto"/>
            <w:right w:val="none" w:sz="0" w:space="0" w:color="auto"/>
          </w:divBdr>
          <w:divsChild>
            <w:div w:id="973370834">
              <w:marLeft w:val="0"/>
              <w:marRight w:val="0"/>
              <w:marTop w:val="0"/>
              <w:marBottom w:val="0"/>
              <w:divBdr>
                <w:top w:val="none" w:sz="0" w:space="0" w:color="auto"/>
                <w:left w:val="none" w:sz="0" w:space="0" w:color="auto"/>
                <w:bottom w:val="none" w:sz="0" w:space="0" w:color="auto"/>
                <w:right w:val="none" w:sz="0" w:space="0" w:color="auto"/>
              </w:divBdr>
              <w:divsChild>
                <w:div w:id="19526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15675">
      <w:bodyDiv w:val="1"/>
      <w:marLeft w:val="0"/>
      <w:marRight w:val="0"/>
      <w:marTop w:val="0"/>
      <w:marBottom w:val="0"/>
      <w:divBdr>
        <w:top w:val="none" w:sz="0" w:space="0" w:color="auto"/>
        <w:left w:val="none" w:sz="0" w:space="0" w:color="auto"/>
        <w:bottom w:val="none" w:sz="0" w:space="0" w:color="auto"/>
        <w:right w:val="none" w:sz="0" w:space="0" w:color="auto"/>
      </w:divBdr>
    </w:div>
    <w:div w:id="986857068">
      <w:bodyDiv w:val="1"/>
      <w:marLeft w:val="0"/>
      <w:marRight w:val="0"/>
      <w:marTop w:val="0"/>
      <w:marBottom w:val="0"/>
      <w:divBdr>
        <w:top w:val="none" w:sz="0" w:space="0" w:color="auto"/>
        <w:left w:val="none" w:sz="0" w:space="0" w:color="auto"/>
        <w:bottom w:val="none" w:sz="0" w:space="0" w:color="auto"/>
        <w:right w:val="none" w:sz="0" w:space="0" w:color="auto"/>
      </w:divBdr>
    </w:div>
    <w:div w:id="997807148">
      <w:bodyDiv w:val="1"/>
      <w:marLeft w:val="0"/>
      <w:marRight w:val="0"/>
      <w:marTop w:val="0"/>
      <w:marBottom w:val="0"/>
      <w:divBdr>
        <w:top w:val="none" w:sz="0" w:space="0" w:color="auto"/>
        <w:left w:val="none" w:sz="0" w:space="0" w:color="auto"/>
        <w:bottom w:val="none" w:sz="0" w:space="0" w:color="auto"/>
        <w:right w:val="none" w:sz="0" w:space="0" w:color="auto"/>
      </w:divBdr>
    </w:div>
    <w:div w:id="1001355349">
      <w:bodyDiv w:val="1"/>
      <w:marLeft w:val="0"/>
      <w:marRight w:val="0"/>
      <w:marTop w:val="0"/>
      <w:marBottom w:val="0"/>
      <w:divBdr>
        <w:top w:val="none" w:sz="0" w:space="0" w:color="auto"/>
        <w:left w:val="none" w:sz="0" w:space="0" w:color="auto"/>
        <w:bottom w:val="none" w:sz="0" w:space="0" w:color="auto"/>
        <w:right w:val="none" w:sz="0" w:space="0" w:color="auto"/>
      </w:divBdr>
    </w:div>
    <w:div w:id="1009453532">
      <w:bodyDiv w:val="1"/>
      <w:marLeft w:val="0"/>
      <w:marRight w:val="0"/>
      <w:marTop w:val="0"/>
      <w:marBottom w:val="0"/>
      <w:divBdr>
        <w:top w:val="none" w:sz="0" w:space="0" w:color="auto"/>
        <w:left w:val="none" w:sz="0" w:space="0" w:color="auto"/>
        <w:bottom w:val="none" w:sz="0" w:space="0" w:color="auto"/>
        <w:right w:val="none" w:sz="0" w:space="0" w:color="auto"/>
      </w:divBdr>
    </w:div>
    <w:div w:id="1142693352">
      <w:bodyDiv w:val="1"/>
      <w:marLeft w:val="0"/>
      <w:marRight w:val="0"/>
      <w:marTop w:val="0"/>
      <w:marBottom w:val="0"/>
      <w:divBdr>
        <w:top w:val="none" w:sz="0" w:space="0" w:color="auto"/>
        <w:left w:val="none" w:sz="0" w:space="0" w:color="auto"/>
        <w:bottom w:val="none" w:sz="0" w:space="0" w:color="auto"/>
        <w:right w:val="none" w:sz="0" w:space="0" w:color="auto"/>
      </w:divBdr>
    </w:div>
    <w:div w:id="1198347181">
      <w:bodyDiv w:val="1"/>
      <w:marLeft w:val="0"/>
      <w:marRight w:val="0"/>
      <w:marTop w:val="0"/>
      <w:marBottom w:val="0"/>
      <w:divBdr>
        <w:top w:val="none" w:sz="0" w:space="0" w:color="auto"/>
        <w:left w:val="none" w:sz="0" w:space="0" w:color="auto"/>
        <w:bottom w:val="none" w:sz="0" w:space="0" w:color="auto"/>
        <w:right w:val="none" w:sz="0" w:space="0" w:color="auto"/>
      </w:divBdr>
      <w:divsChild>
        <w:div w:id="1908414401">
          <w:marLeft w:val="0"/>
          <w:marRight w:val="0"/>
          <w:marTop w:val="0"/>
          <w:marBottom w:val="0"/>
          <w:divBdr>
            <w:top w:val="none" w:sz="0" w:space="0" w:color="auto"/>
            <w:left w:val="none" w:sz="0" w:space="0" w:color="auto"/>
            <w:bottom w:val="none" w:sz="0" w:space="0" w:color="auto"/>
            <w:right w:val="none" w:sz="0" w:space="0" w:color="auto"/>
          </w:divBdr>
          <w:divsChild>
            <w:div w:id="14187248">
              <w:marLeft w:val="0"/>
              <w:marRight w:val="0"/>
              <w:marTop w:val="0"/>
              <w:marBottom w:val="0"/>
              <w:divBdr>
                <w:top w:val="none" w:sz="0" w:space="0" w:color="auto"/>
                <w:left w:val="none" w:sz="0" w:space="0" w:color="auto"/>
                <w:bottom w:val="none" w:sz="0" w:space="0" w:color="auto"/>
                <w:right w:val="none" w:sz="0" w:space="0" w:color="auto"/>
              </w:divBdr>
              <w:divsChild>
                <w:div w:id="18090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899639">
      <w:bodyDiv w:val="1"/>
      <w:marLeft w:val="0"/>
      <w:marRight w:val="0"/>
      <w:marTop w:val="0"/>
      <w:marBottom w:val="0"/>
      <w:divBdr>
        <w:top w:val="none" w:sz="0" w:space="0" w:color="auto"/>
        <w:left w:val="none" w:sz="0" w:space="0" w:color="auto"/>
        <w:bottom w:val="none" w:sz="0" w:space="0" w:color="auto"/>
        <w:right w:val="none" w:sz="0" w:space="0" w:color="auto"/>
      </w:divBdr>
    </w:div>
    <w:div w:id="1216163853">
      <w:bodyDiv w:val="1"/>
      <w:marLeft w:val="0"/>
      <w:marRight w:val="0"/>
      <w:marTop w:val="0"/>
      <w:marBottom w:val="0"/>
      <w:divBdr>
        <w:top w:val="none" w:sz="0" w:space="0" w:color="auto"/>
        <w:left w:val="none" w:sz="0" w:space="0" w:color="auto"/>
        <w:bottom w:val="none" w:sz="0" w:space="0" w:color="auto"/>
        <w:right w:val="none" w:sz="0" w:space="0" w:color="auto"/>
      </w:divBdr>
    </w:div>
    <w:div w:id="1237470449">
      <w:bodyDiv w:val="1"/>
      <w:marLeft w:val="0"/>
      <w:marRight w:val="0"/>
      <w:marTop w:val="0"/>
      <w:marBottom w:val="0"/>
      <w:divBdr>
        <w:top w:val="none" w:sz="0" w:space="0" w:color="auto"/>
        <w:left w:val="none" w:sz="0" w:space="0" w:color="auto"/>
        <w:bottom w:val="none" w:sz="0" w:space="0" w:color="auto"/>
        <w:right w:val="none" w:sz="0" w:space="0" w:color="auto"/>
      </w:divBdr>
    </w:div>
    <w:div w:id="1291403706">
      <w:bodyDiv w:val="1"/>
      <w:marLeft w:val="0"/>
      <w:marRight w:val="0"/>
      <w:marTop w:val="0"/>
      <w:marBottom w:val="0"/>
      <w:divBdr>
        <w:top w:val="none" w:sz="0" w:space="0" w:color="auto"/>
        <w:left w:val="none" w:sz="0" w:space="0" w:color="auto"/>
        <w:bottom w:val="none" w:sz="0" w:space="0" w:color="auto"/>
        <w:right w:val="none" w:sz="0" w:space="0" w:color="auto"/>
      </w:divBdr>
    </w:div>
    <w:div w:id="1332951611">
      <w:bodyDiv w:val="1"/>
      <w:marLeft w:val="0"/>
      <w:marRight w:val="0"/>
      <w:marTop w:val="0"/>
      <w:marBottom w:val="0"/>
      <w:divBdr>
        <w:top w:val="none" w:sz="0" w:space="0" w:color="auto"/>
        <w:left w:val="none" w:sz="0" w:space="0" w:color="auto"/>
        <w:bottom w:val="none" w:sz="0" w:space="0" w:color="auto"/>
        <w:right w:val="none" w:sz="0" w:space="0" w:color="auto"/>
      </w:divBdr>
      <w:divsChild>
        <w:div w:id="443964605">
          <w:marLeft w:val="0"/>
          <w:marRight w:val="0"/>
          <w:marTop w:val="0"/>
          <w:marBottom w:val="0"/>
          <w:divBdr>
            <w:top w:val="none" w:sz="0" w:space="0" w:color="auto"/>
            <w:left w:val="none" w:sz="0" w:space="0" w:color="auto"/>
            <w:bottom w:val="none" w:sz="0" w:space="0" w:color="auto"/>
            <w:right w:val="none" w:sz="0" w:space="0" w:color="auto"/>
          </w:divBdr>
          <w:divsChild>
            <w:div w:id="1368678711">
              <w:marLeft w:val="0"/>
              <w:marRight w:val="0"/>
              <w:marTop w:val="0"/>
              <w:marBottom w:val="0"/>
              <w:divBdr>
                <w:top w:val="none" w:sz="0" w:space="0" w:color="auto"/>
                <w:left w:val="none" w:sz="0" w:space="0" w:color="auto"/>
                <w:bottom w:val="none" w:sz="0" w:space="0" w:color="auto"/>
                <w:right w:val="none" w:sz="0" w:space="0" w:color="auto"/>
              </w:divBdr>
              <w:divsChild>
                <w:div w:id="3347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83412">
      <w:bodyDiv w:val="1"/>
      <w:marLeft w:val="0"/>
      <w:marRight w:val="0"/>
      <w:marTop w:val="0"/>
      <w:marBottom w:val="0"/>
      <w:divBdr>
        <w:top w:val="none" w:sz="0" w:space="0" w:color="auto"/>
        <w:left w:val="none" w:sz="0" w:space="0" w:color="auto"/>
        <w:bottom w:val="none" w:sz="0" w:space="0" w:color="auto"/>
        <w:right w:val="none" w:sz="0" w:space="0" w:color="auto"/>
      </w:divBdr>
    </w:div>
    <w:div w:id="1349523248">
      <w:bodyDiv w:val="1"/>
      <w:marLeft w:val="0"/>
      <w:marRight w:val="0"/>
      <w:marTop w:val="0"/>
      <w:marBottom w:val="0"/>
      <w:divBdr>
        <w:top w:val="none" w:sz="0" w:space="0" w:color="auto"/>
        <w:left w:val="none" w:sz="0" w:space="0" w:color="auto"/>
        <w:bottom w:val="none" w:sz="0" w:space="0" w:color="auto"/>
        <w:right w:val="none" w:sz="0" w:space="0" w:color="auto"/>
      </w:divBdr>
    </w:div>
    <w:div w:id="1357149880">
      <w:bodyDiv w:val="1"/>
      <w:marLeft w:val="0"/>
      <w:marRight w:val="0"/>
      <w:marTop w:val="0"/>
      <w:marBottom w:val="0"/>
      <w:divBdr>
        <w:top w:val="none" w:sz="0" w:space="0" w:color="auto"/>
        <w:left w:val="none" w:sz="0" w:space="0" w:color="auto"/>
        <w:bottom w:val="none" w:sz="0" w:space="0" w:color="auto"/>
        <w:right w:val="none" w:sz="0" w:space="0" w:color="auto"/>
      </w:divBdr>
    </w:div>
    <w:div w:id="1398284200">
      <w:bodyDiv w:val="1"/>
      <w:marLeft w:val="0"/>
      <w:marRight w:val="0"/>
      <w:marTop w:val="0"/>
      <w:marBottom w:val="0"/>
      <w:divBdr>
        <w:top w:val="none" w:sz="0" w:space="0" w:color="auto"/>
        <w:left w:val="none" w:sz="0" w:space="0" w:color="auto"/>
        <w:bottom w:val="none" w:sz="0" w:space="0" w:color="auto"/>
        <w:right w:val="none" w:sz="0" w:space="0" w:color="auto"/>
      </w:divBdr>
    </w:div>
    <w:div w:id="1408990105">
      <w:bodyDiv w:val="1"/>
      <w:marLeft w:val="0"/>
      <w:marRight w:val="0"/>
      <w:marTop w:val="0"/>
      <w:marBottom w:val="0"/>
      <w:divBdr>
        <w:top w:val="none" w:sz="0" w:space="0" w:color="auto"/>
        <w:left w:val="none" w:sz="0" w:space="0" w:color="auto"/>
        <w:bottom w:val="none" w:sz="0" w:space="0" w:color="auto"/>
        <w:right w:val="none" w:sz="0" w:space="0" w:color="auto"/>
      </w:divBdr>
    </w:div>
    <w:div w:id="1459638668">
      <w:bodyDiv w:val="1"/>
      <w:marLeft w:val="0"/>
      <w:marRight w:val="0"/>
      <w:marTop w:val="0"/>
      <w:marBottom w:val="0"/>
      <w:divBdr>
        <w:top w:val="none" w:sz="0" w:space="0" w:color="auto"/>
        <w:left w:val="none" w:sz="0" w:space="0" w:color="auto"/>
        <w:bottom w:val="none" w:sz="0" w:space="0" w:color="auto"/>
        <w:right w:val="none" w:sz="0" w:space="0" w:color="auto"/>
      </w:divBdr>
    </w:div>
    <w:div w:id="1461461823">
      <w:bodyDiv w:val="1"/>
      <w:marLeft w:val="0"/>
      <w:marRight w:val="0"/>
      <w:marTop w:val="0"/>
      <w:marBottom w:val="0"/>
      <w:divBdr>
        <w:top w:val="none" w:sz="0" w:space="0" w:color="auto"/>
        <w:left w:val="none" w:sz="0" w:space="0" w:color="auto"/>
        <w:bottom w:val="none" w:sz="0" w:space="0" w:color="auto"/>
        <w:right w:val="none" w:sz="0" w:space="0" w:color="auto"/>
      </w:divBdr>
    </w:div>
    <w:div w:id="1480073005">
      <w:bodyDiv w:val="1"/>
      <w:marLeft w:val="0"/>
      <w:marRight w:val="0"/>
      <w:marTop w:val="0"/>
      <w:marBottom w:val="0"/>
      <w:divBdr>
        <w:top w:val="none" w:sz="0" w:space="0" w:color="auto"/>
        <w:left w:val="none" w:sz="0" w:space="0" w:color="auto"/>
        <w:bottom w:val="none" w:sz="0" w:space="0" w:color="auto"/>
        <w:right w:val="none" w:sz="0" w:space="0" w:color="auto"/>
      </w:divBdr>
    </w:div>
    <w:div w:id="1490561834">
      <w:bodyDiv w:val="1"/>
      <w:marLeft w:val="0"/>
      <w:marRight w:val="0"/>
      <w:marTop w:val="0"/>
      <w:marBottom w:val="0"/>
      <w:divBdr>
        <w:top w:val="none" w:sz="0" w:space="0" w:color="auto"/>
        <w:left w:val="none" w:sz="0" w:space="0" w:color="auto"/>
        <w:bottom w:val="none" w:sz="0" w:space="0" w:color="auto"/>
        <w:right w:val="none" w:sz="0" w:space="0" w:color="auto"/>
      </w:divBdr>
    </w:div>
    <w:div w:id="1504392024">
      <w:bodyDiv w:val="1"/>
      <w:marLeft w:val="0"/>
      <w:marRight w:val="0"/>
      <w:marTop w:val="0"/>
      <w:marBottom w:val="0"/>
      <w:divBdr>
        <w:top w:val="none" w:sz="0" w:space="0" w:color="auto"/>
        <w:left w:val="none" w:sz="0" w:space="0" w:color="auto"/>
        <w:bottom w:val="none" w:sz="0" w:space="0" w:color="auto"/>
        <w:right w:val="none" w:sz="0" w:space="0" w:color="auto"/>
      </w:divBdr>
    </w:div>
    <w:div w:id="1517033931">
      <w:bodyDiv w:val="1"/>
      <w:marLeft w:val="0"/>
      <w:marRight w:val="0"/>
      <w:marTop w:val="0"/>
      <w:marBottom w:val="0"/>
      <w:divBdr>
        <w:top w:val="none" w:sz="0" w:space="0" w:color="auto"/>
        <w:left w:val="none" w:sz="0" w:space="0" w:color="auto"/>
        <w:bottom w:val="none" w:sz="0" w:space="0" w:color="auto"/>
        <w:right w:val="none" w:sz="0" w:space="0" w:color="auto"/>
      </w:divBdr>
    </w:div>
    <w:div w:id="1538081449">
      <w:bodyDiv w:val="1"/>
      <w:marLeft w:val="0"/>
      <w:marRight w:val="0"/>
      <w:marTop w:val="0"/>
      <w:marBottom w:val="0"/>
      <w:divBdr>
        <w:top w:val="none" w:sz="0" w:space="0" w:color="auto"/>
        <w:left w:val="none" w:sz="0" w:space="0" w:color="auto"/>
        <w:bottom w:val="none" w:sz="0" w:space="0" w:color="auto"/>
        <w:right w:val="none" w:sz="0" w:space="0" w:color="auto"/>
      </w:divBdr>
    </w:div>
    <w:div w:id="1547251515">
      <w:bodyDiv w:val="1"/>
      <w:marLeft w:val="0"/>
      <w:marRight w:val="0"/>
      <w:marTop w:val="0"/>
      <w:marBottom w:val="0"/>
      <w:divBdr>
        <w:top w:val="none" w:sz="0" w:space="0" w:color="auto"/>
        <w:left w:val="none" w:sz="0" w:space="0" w:color="auto"/>
        <w:bottom w:val="none" w:sz="0" w:space="0" w:color="auto"/>
        <w:right w:val="none" w:sz="0" w:space="0" w:color="auto"/>
      </w:divBdr>
    </w:div>
    <w:div w:id="1571387519">
      <w:bodyDiv w:val="1"/>
      <w:marLeft w:val="0"/>
      <w:marRight w:val="0"/>
      <w:marTop w:val="0"/>
      <w:marBottom w:val="0"/>
      <w:divBdr>
        <w:top w:val="none" w:sz="0" w:space="0" w:color="auto"/>
        <w:left w:val="none" w:sz="0" w:space="0" w:color="auto"/>
        <w:bottom w:val="none" w:sz="0" w:space="0" w:color="auto"/>
        <w:right w:val="none" w:sz="0" w:space="0" w:color="auto"/>
      </w:divBdr>
      <w:divsChild>
        <w:div w:id="1533759189">
          <w:marLeft w:val="0"/>
          <w:marRight w:val="0"/>
          <w:marTop w:val="0"/>
          <w:marBottom w:val="0"/>
          <w:divBdr>
            <w:top w:val="none" w:sz="0" w:space="0" w:color="auto"/>
            <w:left w:val="none" w:sz="0" w:space="0" w:color="auto"/>
            <w:bottom w:val="none" w:sz="0" w:space="0" w:color="auto"/>
            <w:right w:val="none" w:sz="0" w:space="0" w:color="auto"/>
          </w:divBdr>
          <w:divsChild>
            <w:div w:id="1912159482">
              <w:marLeft w:val="0"/>
              <w:marRight w:val="0"/>
              <w:marTop w:val="0"/>
              <w:marBottom w:val="0"/>
              <w:divBdr>
                <w:top w:val="none" w:sz="0" w:space="0" w:color="auto"/>
                <w:left w:val="none" w:sz="0" w:space="0" w:color="auto"/>
                <w:bottom w:val="none" w:sz="0" w:space="0" w:color="auto"/>
                <w:right w:val="none" w:sz="0" w:space="0" w:color="auto"/>
              </w:divBdr>
              <w:divsChild>
                <w:div w:id="8344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85359">
      <w:bodyDiv w:val="1"/>
      <w:marLeft w:val="0"/>
      <w:marRight w:val="0"/>
      <w:marTop w:val="0"/>
      <w:marBottom w:val="0"/>
      <w:divBdr>
        <w:top w:val="none" w:sz="0" w:space="0" w:color="auto"/>
        <w:left w:val="none" w:sz="0" w:space="0" w:color="auto"/>
        <w:bottom w:val="none" w:sz="0" w:space="0" w:color="auto"/>
        <w:right w:val="none" w:sz="0" w:space="0" w:color="auto"/>
      </w:divBdr>
    </w:div>
    <w:div w:id="1579359808">
      <w:bodyDiv w:val="1"/>
      <w:marLeft w:val="0"/>
      <w:marRight w:val="0"/>
      <w:marTop w:val="0"/>
      <w:marBottom w:val="0"/>
      <w:divBdr>
        <w:top w:val="none" w:sz="0" w:space="0" w:color="auto"/>
        <w:left w:val="none" w:sz="0" w:space="0" w:color="auto"/>
        <w:bottom w:val="none" w:sz="0" w:space="0" w:color="auto"/>
        <w:right w:val="none" w:sz="0" w:space="0" w:color="auto"/>
      </w:divBdr>
    </w:div>
    <w:div w:id="1579708665">
      <w:bodyDiv w:val="1"/>
      <w:marLeft w:val="0"/>
      <w:marRight w:val="0"/>
      <w:marTop w:val="0"/>
      <w:marBottom w:val="0"/>
      <w:divBdr>
        <w:top w:val="none" w:sz="0" w:space="0" w:color="auto"/>
        <w:left w:val="none" w:sz="0" w:space="0" w:color="auto"/>
        <w:bottom w:val="none" w:sz="0" w:space="0" w:color="auto"/>
        <w:right w:val="none" w:sz="0" w:space="0" w:color="auto"/>
      </w:divBdr>
    </w:div>
    <w:div w:id="1606421565">
      <w:bodyDiv w:val="1"/>
      <w:marLeft w:val="0"/>
      <w:marRight w:val="0"/>
      <w:marTop w:val="0"/>
      <w:marBottom w:val="0"/>
      <w:divBdr>
        <w:top w:val="none" w:sz="0" w:space="0" w:color="auto"/>
        <w:left w:val="none" w:sz="0" w:space="0" w:color="auto"/>
        <w:bottom w:val="none" w:sz="0" w:space="0" w:color="auto"/>
        <w:right w:val="none" w:sz="0" w:space="0" w:color="auto"/>
      </w:divBdr>
    </w:div>
    <w:div w:id="1647389343">
      <w:bodyDiv w:val="1"/>
      <w:marLeft w:val="0"/>
      <w:marRight w:val="0"/>
      <w:marTop w:val="0"/>
      <w:marBottom w:val="0"/>
      <w:divBdr>
        <w:top w:val="none" w:sz="0" w:space="0" w:color="auto"/>
        <w:left w:val="none" w:sz="0" w:space="0" w:color="auto"/>
        <w:bottom w:val="none" w:sz="0" w:space="0" w:color="auto"/>
        <w:right w:val="none" w:sz="0" w:space="0" w:color="auto"/>
      </w:divBdr>
      <w:divsChild>
        <w:div w:id="1023752272">
          <w:marLeft w:val="0"/>
          <w:marRight w:val="0"/>
          <w:marTop w:val="0"/>
          <w:marBottom w:val="0"/>
          <w:divBdr>
            <w:top w:val="none" w:sz="0" w:space="0" w:color="auto"/>
            <w:left w:val="none" w:sz="0" w:space="0" w:color="auto"/>
            <w:bottom w:val="none" w:sz="0" w:space="0" w:color="auto"/>
            <w:right w:val="none" w:sz="0" w:space="0" w:color="auto"/>
          </w:divBdr>
          <w:divsChild>
            <w:div w:id="2004315939">
              <w:marLeft w:val="0"/>
              <w:marRight w:val="0"/>
              <w:marTop w:val="0"/>
              <w:marBottom w:val="0"/>
              <w:divBdr>
                <w:top w:val="none" w:sz="0" w:space="0" w:color="auto"/>
                <w:left w:val="none" w:sz="0" w:space="0" w:color="auto"/>
                <w:bottom w:val="none" w:sz="0" w:space="0" w:color="auto"/>
                <w:right w:val="none" w:sz="0" w:space="0" w:color="auto"/>
              </w:divBdr>
              <w:divsChild>
                <w:div w:id="3600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86790">
      <w:bodyDiv w:val="1"/>
      <w:marLeft w:val="0"/>
      <w:marRight w:val="0"/>
      <w:marTop w:val="0"/>
      <w:marBottom w:val="0"/>
      <w:divBdr>
        <w:top w:val="none" w:sz="0" w:space="0" w:color="auto"/>
        <w:left w:val="none" w:sz="0" w:space="0" w:color="auto"/>
        <w:bottom w:val="none" w:sz="0" w:space="0" w:color="auto"/>
        <w:right w:val="none" w:sz="0" w:space="0" w:color="auto"/>
      </w:divBdr>
      <w:divsChild>
        <w:div w:id="232356965">
          <w:marLeft w:val="0"/>
          <w:marRight w:val="0"/>
          <w:marTop w:val="0"/>
          <w:marBottom w:val="0"/>
          <w:divBdr>
            <w:top w:val="single" w:sz="6" w:space="4" w:color="777777"/>
            <w:left w:val="single" w:sz="6" w:space="8" w:color="777777"/>
            <w:bottom w:val="single" w:sz="6" w:space="4" w:color="777777"/>
            <w:right w:val="single" w:sz="6" w:space="8" w:color="777777"/>
          </w:divBdr>
        </w:div>
      </w:divsChild>
    </w:div>
    <w:div w:id="1656251807">
      <w:bodyDiv w:val="1"/>
      <w:marLeft w:val="0"/>
      <w:marRight w:val="0"/>
      <w:marTop w:val="0"/>
      <w:marBottom w:val="0"/>
      <w:divBdr>
        <w:top w:val="none" w:sz="0" w:space="0" w:color="auto"/>
        <w:left w:val="none" w:sz="0" w:space="0" w:color="auto"/>
        <w:bottom w:val="none" w:sz="0" w:space="0" w:color="auto"/>
        <w:right w:val="none" w:sz="0" w:space="0" w:color="auto"/>
      </w:divBdr>
      <w:divsChild>
        <w:div w:id="391928370">
          <w:marLeft w:val="0"/>
          <w:marRight w:val="0"/>
          <w:marTop w:val="0"/>
          <w:marBottom w:val="0"/>
          <w:divBdr>
            <w:top w:val="none" w:sz="0" w:space="0" w:color="auto"/>
            <w:left w:val="none" w:sz="0" w:space="0" w:color="auto"/>
            <w:bottom w:val="none" w:sz="0" w:space="0" w:color="auto"/>
            <w:right w:val="none" w:sz="0" w:space="0" w:color="auto"/>
          </w:divBdr>
        </w:div>
        <w:div w:id="1337883602">
          <w:marLeft w:val="0"/>
          <w:marRight w:val="0"/>
          <w:marTop w:val="0"/>
          <w:marBottom w:val="0"/>
          <w:divBdr>
            <w:top w:val="none" w:sz="0" w:space="0" w:color="auto"/>
            <w:left w:val="none" w:sz="0" w:space="0" w:color="auto"/>
            <w:bottom w:val="none" w:sz="0" w:space="0" w:color="auto"/>
            <w:right w:val="none" w:sz="0" w:space="0" w:color="auto"/>
          </w:divBdr>
        </w:div>
        <w:div w:id="1715422562">
          <w:marLeft w:val="0"/>
          <w:marRight w:val="0"/>
          <w:marTop w:val="0"/>
          <w:marBottom w:val="0"/>
          <w:divBdr>
            <w:top w:val="none" w:sz="0" w:space="0" w:color="auto"/>
            <w:left w:val="none" w:sz="0" w:space="0" w:color="auto"/>
            <w:bottom w:val="none" w:sz="0" w:space="0" w:color="auto"/>
            <w:right w:val="none" w:sz="0" w:space="0" w:color="auto"/>
          </w:divBdr>
        </w:div>
      </w:divsChild>
    </w:div>
    <w:div w:id="1669289599">
      <w:bodyDiv w:val="1"/>
      <w:marLeft w:val="0"/>
      <w:marRight w:val="0"/>
      <w:marTop w:val="0"/>
      <w:marBottom w:val="0"/>
      <w:divBdr>
        <w:top w:val="none" w:sz="0" w:space="0" w:color="auto"/>
        <w:left w:val="none" w:sz="0" w:space="0" w:color="auto"/>
        <w:bottom w:val="none" w:sz="0" w:space="0" w:color="auto"/>
        <w:right w:val="none" w:sz="0" w:space="0" w:color="auto"/>
      </w:divBdr>
    </w:div>
    <w:div w:id="1804302384">
      <w:bodyDiv w:val="1"/>
      <w:marLeft w:val="0"/>
      <w:marRight w:val="0"/>
      <w:marTop w:val="0"/>
      <w:marBottom w:val="0"/>
      <w:divBdr>
        <w:top w:val="none" w:sz="0" w:space="0" w:color="auto"/>
        <w:left w:val="none" w:sz="0" w:space="0" w:color="auto"/>
        <w:bottom w:val="none" w:sz="0" w:space="0" w:color="auto"/>
        <w:right w:val="none" w:sz="0" w:space="0" w:color="auto"/>
      </w:divBdr>
    </w:div>
    <w:div w:id="1804880502">
      <w:bodyDiv w:val="1"/>
      <w:marLeft w:val="0"/>
      <w:marRight w:val="0"/>
      <w:marTop w:val="0"/>
      <w:marBottom w:val="0"/>
      <w:divBdr>
        <w:top w:val="none" w:sz="0" w:space="0" w:color="auto"/>
        <w:left w:val="none" w:sz="0" w:space="0" w:color="auto"/>
        <w:bottom w:val="none" w:sz="0" w:space="0" w:color="auto"/>
        <w:right w:val="none" w:sz="0" w:space="0" w:color="auto"/>
      </w:divBdr>
      <w:divsChild>
        <w:div w:id="2109419846">
          <w:marLeft w:val="0"/>
          <w:marRight w:val="0"/>
          <w:marTop w:val="0"/>
          <w:marBottom w:val="0"/>
          <w:divBdr>
            <w:top w:val="none" w:sz="0" w:space="0" w:color="auto"/>
            <w:left w:val="none" w:sz="0" w:space="0" w:color="auto"/>
            <w:bottom w:val="none" w:sz="0" w:space="0" w:color="auto"/>
            <w:right w:val="none" w:sz="0" w:space="0" w:color="auto"/>
          </w:divBdr>
          <w:divsChild>
            <w:div w:id="2024938958">
              <w:marLeft w:val="0"/>
              <w:marRight w:val="0"/>
              <w:marTop w:val="0"/>
              <w:marBottom w:val="0"/>
              <w:divBdr>
                <w:top w:val="none" w:sz="0" w:space="0" w:color="auto"/>
                <w:left w:val="none" w:sz="0" w:space="0" w:color="auto"/>
                <w:bottom w:val="none" w:sz="0" w:space="0" w:color="auto"/>
                <w:right w:val="none" w:sz="0" w:space="0" w:color="auto"/>
              </w:divBdr>
              <w:divsChild>
                <w:div w:id="18812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40816">
      <w:bodyDiv w:val="1"/>
      <w:marLeft w:val="0"/>
      <w:marRight w:val="0"/>
      <w:marTop w:val="0"/>
      <w:marBottom w:val="0"/>
      <w:divBdr>
        <w:top w:val="none" w:sz="0" w:space="0" w:color="auto"/>
        <w:left w:val="none" w:sz="0" w:space="0" w:color="auto"/>
        <w:bottom w:val="none" w:sz="0" w:space="0" w:color="auto"/>
        <w:right w:val="none" w:sz="0" w:space="0" w:color="auto"/>
      </w:divBdr>
    </w:div>
    <w:div w:id="1921407655">
      <w:bodyDiv w:val="1"/>
      <w:marLeft w:val="0"/>
      <w:marRight w:val="0"/>
      <w:marTop w:val="0"/>
      <w:marBottom w:val="0"/>
      <w:divBdr>
        <w:top w:val="none" w:sz="0" w:space="0" w:color="auto"/>
        <w:left w:val="none" w:sz="0" w:space="0" w:color="auto"/>
        <w:bottom w:val="none" w:sz="0" w:space="0" w:color="auto"/>
        <w:right w:val="none" w:sz="0" w:space="0" w:color="auto"/>
      </w:divBdr>
    </w:div>
    <w:div w:id="1950625334">
      <w:bodyDiv w:val="1"/>
      <w:marLeft w:val="0"/>
      <w:marRight w:val="0"/>
      <w:marTop w:val="0"/>
      <w:marBottom w:val="0"/>
      <w:divBdr>
        <w:top w:val="none" w:sz="0" w:space="0" w:color="auto"/>
        <w:left w:val="none" w:sz="0" w:space="0" w:color="auto"/>
        <w:bottom w:val="none" w:sz="0" w:space="0" w:color="auto"/>
        <w:right w:val="none" w:sz="0" w:space="0" w:color="auto"/>
      </w:divBdr>
    </w:div>
    <w:div w:id="1959798895">
      <w:bodyDiv w:val="1"/>
      <w:marLeft w:val="0"/>
      <w:marRight w:val="0"/>
      <w:marTop w:val="0"/>
      <w:marBottom w:val="0"/>
      <w:divBdr>
        <w:top w:val="none" w:sz="0" w:space="0" w:color="auto"/>
        <w:left w:val="none" w:sz="0" w:space="0" w:color="auto"/>
        <w:bottom w:val="none" w:sz="0" w:space="0" w:color="auto"/>
        <w:right w:val="none" w:sz="0" w:space="0" w:color="auto"/>
      </w:divBdr>
      <w:divsChild>
        <w:div w:id="406272007">
          <w:marLeft w:val="0"/>
          <w:marRight w:val="0"/>
          <w:marTop w:val="0"/>
          <w:marBottom w:val="0"/>
          <w:divBdr>
            <w:top w:val="none" w:sz="0" w:space="0" w:color="auto"/>
            <w:left w:val="none" w:sz="0" w:space="0" w:color="auto"/>
            <w:bottom w:val="none" w:sz="0" w:space="0" w:color="auto"/>
            <w:right w:val="none" w:sz="0" w:space="0" w:color="auto"/>
          </w:divBdr>
          <w:divsChild>
            <w:div w:id="1693913844">
              <w:marLeft w:val="0"/>
              <w:marRight w:val="0"/>
              <w:marTop w:val="0"/>
              <w:marBottom w:val="0"/>
              <w:divBdr>
                <w:top w:val="none" w:sz="0" w:space="0" w:color="auto"/>
                <w:left w:val="none" w:sz="0" w:space="0" w:color="auto"/>
                <w:bottom w:val="none" w:sz="0" w:space="0" w:color="auto"/>
                <w:right w:val="none" w:sz="0" w:space="0" w:color="auto"/>
              </w:divBdr>
              <w:divsChild>
                <w:div w:id="1526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8613">
      <w:bodyDiv w:val="1"/>
      <w:marLeft w:val="0"/>
      <w:marRight w:val="0"/>
      <w:marTop w:val="0"/>
      <w:marBottom w:val="0"/>
      <w:divBdr>
        <w:top w:val="none" w:sz="0" w:space="0" w:color="auto"/>
        <w:left w:val="none" w:sz="0" w:space="0" w:color="auto"/>
        <w:bottom w:val="none" w:sz="0" w:space="0" w:color="auto"/>
        <w:right w:val="none" w:sz="0" w:space="0" w:color="auto"/>
      </w:divBdr>
      <w:divsChild>
        <w:div w:id="1172180846">
          <w:marLeft w:val="0"/>
          <w:marRight w:val="0"/>
          <w:marTop w:val="0"/>
          <w:marBottom w:val="0"/>
          <w:divBdr>
            <w:top w:val="none" w:sz="0" w:space="0" w:color="auto"/>
            <w:left w:val="none" w:sz="0" w:space="0" w:color="auto"/>
            <w:bottom w:val="none" w:sz="0" w:space="0" w:color="auto"/>
            <w:right w:val="none" w:sz="0" w:space="0" w:color="auto"/>
          </w:divBdr>
        </w:div>
        <w:div w:id="1948154924">
          <w:marLeft w:val="0"/>
          <w:marRight w:val="0"/>
          <w:marTop w:val="0"/>
          <w:marBottom w:val="0"/>
          <w:divBdr>
            <w:top w:val="none" w:sz="0" w:space="0" w:color="auto"/>
            <w:left w:val="none" w:sz="0" w:space="0" w:color="auto"/>
            <w:bottom w:val="none" w:sz="0" w:space="0" w:color="auto"/>
            <w:right w:val="none" w:sz="0" w:space="0" w:color="auto"/>
          </w:divBdr>
        </w:div>
      </w:divsChild>
    </w:div>
    <w:div w:id="1998806103">
      <w:bodyDiv w:val="1"/>
      <w:marLeft w:val="0"/>
      <w:marRight w:val="0"/>
      <w:marTop w:val="0"/>
      <w:marBottom w:val="0"/>
      <w:divBdr>
        <w:top w:val="none" w:sz="0" w:space="0" w:color="auto"/>
        <w:left w:val="none" w:sz="0" w:space="0" w:color="auto"/>
        <w:bottom w:val="none" w:sz="0" w:space="0" w:color="auto"/>
        <w:right w:val="none" w:sz="0" w:space="0" w:color="auto"/>
      </w:divBdr>
    </w:div>
    <w:div w:id="2005164437">
      <w:bodyDiv w:val="1"/>
      <w:marLeft w:val="0"/>
      <w:marRight w:val="0"/>
      <w:marTop w:val="0"/>
      <w:marBottom w:val="0"/>
      <w:divBdr>
        <w:top w:val="none" w:sz="0" w:space="0" w:color="auto"/>
        <w:left w:val="none" w:sz="0" w:space="0" w:color="auto"/>
        <w:bottom w:val="none" w:sz="0" w:space="0" w:color="auto"/>
        <w:right w:val="none" w:sz="0" w:space="0" w:color="auto"/>
      </w:divBdr>
    </w:div>
    <w:div w:id="2042364432">
      <w:bodyDiv w:val="1"/>
      <w:marLeft w:val="0"/>
      <w:marRight w:val="0"/>
      <w:marTop w:val="0"/>
      <w:marBottom w:val="0"/>
      <w:divBdr>
        <w:top w:val="none" w:sz="0" w:space="0" w:color="auto"/>
        <w:left w:val="none" w:sz="0" w:space="0" w:color="auto"/>
        <w:bottom w:val="none" w:sz="0" w:space="0" w:color="auto"/>
        <w:right w:val="none" w:sz="0" w:space="0" w:color="auto"/>
      </w:divBdr>
    </w:div>
    <w:div w:id="2058698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469">
          <w:marLeft w:val="0"/>
          <w:marRight w:val="0"/>
          <w:marTop w:val="0"/>
          <w:marBottom w:val="0"/>
          <w:divBdr>
            <w:top w:val="none" w:sz="0" w:space="0" w:color="auto"/>
            <w:left w:val="none" w:sz="0" w:space="0" w:color="auto"/>
            <w:bottom w:val="none" w:sz="0" w:space="0" w:color="auto"/>
            <w:right w:val="none" w:sz="0" w:space="0" w:color="auto"/>
          </w:divBdr>
          <w:divsChild>
            <w:div w:id="322661680">
              <w:marLeft w:val="0"/>
              <w:marRight w:val="0"/>
              <w:marTop w:val="0"/>
              <w:marBottom w:val="0"/>
              <w:divBdr>
                <w:top w:val="none" w:sz="0" w:space="0" w:color="auto"/>
                <w:left w:val="none" w:sz="0" w:space="0" w:color="auto"/>
                <w:bottom w:val="none" w:sz="0" w:space="0" w:color="auto"/>
                <w:right w:val="none" w:sz="0" w:space="0" w:color="auto"/>
              </w:divBdr>
              <w:divsChild>
                <w:div w:id="13253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561776">
      <w:bodyDiv w:val="1"/>
      <w:marLeft w:val="0"/>
      <w:marRight w:val="0"/>
      <w:marTop w:val="0"/>
      <w:marBottom w:val="0"/>
      <w:divBdr>
        <w:top w:val="none" w:sz="0" w:space="0" w:color="auto"/>
        <w:left w:val="none" w:sz="0" w:space="0" w:color="auto"/>
        <w:bottom w:val="none" w:sz="0" w:space="0" w:color="auto"/>
        <w:right w:val="none" w:sz="0" w:space="0" w:color="auto"/>
      </w:divBdr>
    </w:div>
    <w:div w:id="2122646864">
      <w:bodyDiv w:val="1"/>
      <w:marLeft w:val="0"/>
      <w:marRight w:val="0"/>
      <w:marTop w:val="0"/>
      <w:marBottom w:val="0"/>
      <w:divBdr>
        <w:top w:val="none" w:sz="0" w:space="0" w:color="auto"/>
        <w:left w:val="none" w:sz="0" w:space="0" w:color="auto"/>
        <w:bottom w:val="none" w:sz="0" w:space="0" w:color="auto"/>
        <w:right w:val="none" w:sz="0" w:space="0" w:color="auto"/>
      </w:divBdr>
    </w:div>
    <w:div w:id="2135783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67419C-F60E-4ED5-867F-6B0C9ACA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3303</Words>
  <Characters>18387</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Chloe</dc:creator>
  <cp:keywords/>
  <cp:lastModifiedBy>DelFranco, Ruthie</cp:lastModifiedBy>
  <cp:revision>2</cp:revision>
  <cp:lastPrinted>2018-12-11T00:26:00Z</cp:lastPrinted>
  <dcterms:created xsi:type="dcterms:W3CDTF">2021-09-09T19:34:00Z</dcterms:created>
  <dcterms:modified xsi:type="dcterms:W3CDTF">2021-09-09T19:34:00Z</dcterms:modified>
</cp:coreProperties>
</file>