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29D03" w14:textId="77777777"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875" w:type="dxa"/>
        <w:jc w:val="center"/>
        <w:tblLayout w:type="fixed"/>
        <w:tblCellMar>
          <w:left w:w="115" w:type="dxa"/>
          <w:right w:w="115" w:type="dxa"/>
        </w:tblCellMar>
        <w:tblLook w:val="0600" w:firstRow="0" w:lastRow="0" w:firstColumn="0" w:lastColumn="0" w:noHBand="1" w:noVBand="1"/>
      </w:tblPr>
      <w:tblGrid>
        <w:gridCol w:w="5760"/>
        <w:gridCol w:w="5115"/>
      </w:tblGrid>
      <w:tr w:rsidR="00567D6C" w14:paraId="33CF6828" w14:textId="77777777" w:rsidTr="6C2AFBF1">
        <w:trPr>
          <w:jc w:val="center"/>
        </w:trPr>
        <w:tc>
          <w:tcPr>
            <w:tcW w:w="5760" w:type="dxa"/>
            <w:tcBorders>
              <w:bottom w:val="single" w:sz="4" w:space="0" w:color="000000" w:themeColor="text1"/>
            </w:tcBorders>
          </w:tcPr>
          <w:p w14:paraId="355E39C2"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0E47030C" wp14:editId="554CAD50">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396" t="-970" r="-1396" b="-970"/>
                          <a:stretch>
                            <a:fillRect/>
                          </a:stretch>
                        </pic:blipFill>
                        <pic:spPr>
                          <a:xfrm>
                            <a:off x="0" y="0"/>
                            <a:ext cx="1362075" cy="1371600"/>
                          </a:xfrm>
                          <a:prstGeom prst="rect">
                            <a:avLst/>
                          </a:prstGeom>
                          <a:ln/>
                        </pic:spPr>
                      </pic:pic>
                    </a:graphicData>
                  </a:graphic>
                </wp:inline>
              </w:drawing>
            </w:r>
          </w:p>
        </w:tc>
        <w:tc>
          <w:tcPr>
            <w:tcW w:w="5115" w:type="dxa"/>
            <w:tcBorders>
              <w:bottom w:val="single" w:sz="4" w:space="0" w:color="000000" w:themeColor="text1"/>
            </w:tcBorders>
          </w:tcPr>
          <w:p w14:paraId="7ADA8DC2" w14:textId="77777777" w:rsidR="00567D6C" w:rsidRDefault="00263651">
            <w:pPr>
              <w:rPr>
                <w:b/>
                <w:smallCaps/>
                <w:sz w:val="22"/>
                <w:szCs w:val="22"/>
              </w:rPr>
            </w:pPr>
            <w:r>
              <w:rPr>
                <w:b/>
                <w:smallCaps/>
                <w:sz w:val="22"/>
                <w:szCs w:val="22"/>
              </w:rPr>
              <w:t>The Council of the City of New York</w:t>
            </w:r>
          </w:p>
          <w:p w14:paraId="2D7D33DA" w14:textId="77777777" w:rsidR="00567D6C" w:rsidRDefault="00263651">
            <w:pPr>
              <w:rPr>
                <w:b/>
                <w:smallCaps/>
                <w:sz w:val="22"/>
                <w:szCs w:val="22"/>
              </w:rPr>
            </w:pPr>
            <w:r>
              <w:rPr>
                <w:b/>
                <w:smallCaps/>
                <w:sz w:val="22"/>
                <w:szCs w:val="22"/>
              </w:rPr>
              <w:t>Finance Division</w:t>
            </w:r>
          </w:p>
          <w:p w14:paraId="373B0D16" w14:textId="6EDAF7FB" w:rsidR="00567D6C" w:rsidRDefault="00263651">
            <w:pPr>
              <w:spacing w:before="120"/>
              <w:rPr>
                <w:b/>
                <w:smallCaps/>
                <w:sz w:val="22"/>
                <w:szCs w:val="22"/>
              </w:rPr>
            </w:pPr>
            <w:r>
              <w:rPr>
                <w:b/>
                <w:smallCaps/>
                <w:sz w:val="22"/>
                <w:szCs w:val="22"/>
              </w:rPr>
              <w:t xml:space="preserve">Latonia </w:t>
            </w:r>
            <w:r w:rsidR="00134E88">
              <w:rPr>
                <w:b/>
                <w:smallCaps/>
                <w:sz w:val="22"/>
                <w:szCs w:val="22"/>
              </w:rPr>
              <w:t>McKinney</w:t>
            </w:r>
            <w:r>
              <w:rPr>
                <w:b/>
                <w:smallCaps/>
                <w:sz w:val="22"/>
                <w:szCs w:val="22"/>
              </w:rPr>
              <w:t>, Director</w:t>
            </w:r>
          </w:p>
          <w:p w14:paraId="6F71C521" w14:textId="77777777" w:rsidR="00567D6C" w:rsidRDefault="00263651">
            <w:pPr>
              <w:spacing w:before="120"/>
              <w:rPr>
                <w:sz w:val="22"/>
                <w:szCs w:val="22"/>
              </w:rPr>
            </w:pPr>
            <w:r>
              <w:rPr>
                <w:b/>
                <w:smallCaps/>
                <w:sz w:val="22"/>
                <w:szCs w:val="22"/>
              </w:rPr>
              <w:t>Fiscal Impact Statement</w:t>
            </w:r>
          </w:p>
          <w:p w14:paraId="7AA46F68" w14:textId="77777777" w:rsidR="00567D6C" w:rsidRDefault="00263651" w:rsidP="5DDD319C">
            <w:pPr>
              <w:spacing w:before="120"/>
              <w:rPr>
                <w:b/>
                <w:bCs/>
                <w:sz w:val="22"/>
                <w:szCs w:val="22"/>
              </w:rPr>
            </w:pPr>
            <w:r w:rsidRPr="3743CED7">
              <w:rPr>
                <w:b/>
                <w:bCs/>
                <w:smallCaps/>
                <w:sz w:val="22"/>
                <w:szCs w:val="22"/>
              </w:rPr>
              <w:t>Proposed Intro. No</w:t>
            </w:r>
            <w:r w:rsidRPr="3743CED7">
              <w:rPr>
                <w:b/>
                <w:bCs/>
                <w:sz w:val="22"/>
                <w:szCs w:val="22"/>
              </w:rPr>
              <w:t xml:space="preserve">: </w:t>
            </w:r>
            <w:r w:rsidR="00C96069">
              <w:rPr>
                <w:b/>
                <w:bCs/>
                <w:sz w:val="22"/>
                <w:szCs w:val="22"/>
              </w:rPr>
              <w:t>946</w:t>
            </w:r>
            <w:r w:rsidR="00107082">
              <w:rPr>
                <w:b/>
                <w:bCs/>
                <w:sz w:val="22"/>
                <w:szCs w:val="22"/>
              </w:rPr>
              <w:t>-</w:t>
            </w:r>
            <w:r w:rsidR="00C96069">
              <w:rPr>
                <w:b/>
                <w:bCs/>
                <w:sz w:val="22"/>
                <w:szCs w:val="22"/>
              </w:rPr>
              <w:t>B</w:t>
            </w:r>
          </w:p>
          <w:p w14:paraId="1152E2B1" w14:textId="77777777" w:rsidR="00567D6C" w:rsidRDefault="00263651" w:rsidP="56A63D9C">
            <w:pPr>
              <w:spacing w:before="120"/>
              <w:ind w:left="1440" w:hanging="1440"/>
              <w:rPr>
                <w:color w:val="FF0000"/>
                <w:sz w:val="22"/>
                <w:szCs w:val="22"/>
              </w:rPr>
            </w:pPr>
            <w:r w:rsidRPr="56A63D9C">
              <w:rPr>
                <w:b/>
                <w:bCs/>
                <w:smallCaps/>
                <w:sz w:val="22"/>
                <w:szCs w:val="22"/>
              </w:rPr>
              <w:t>Committee</w:t>
            </w:r>
            <w:r w:rsidRPr="56A63D9C">
              <w:rPr>
                <w:sz w:val="22"/>
                <w:szCs w:val="22"/>
              </w:rPr>
              <w:t xml:space="preserve">:  </w:t>
            </w:r>
            <w:r w:rsidRPr="56A63D9C">
              <w:rPr>
                <w:b/>
                <w:bCs/>
                <w:sz w:val="22"/>
                <w:szCs w:val="22"/>
              </w:rPr>
              <w:t>Transportation</w:t>
            </w:r>
          </w:p>
        </w:tc>
      </w:tr>
      <w:tr w:rsidR="00567D6C" w14:paraId="0F9310B2" w14:textId="77777777" w:rsidTr="6C2AFBF1">
        <w:trPr>
          <w:jc w:val="center"/>
        </w:trPr>
        <w:tc>
          <w:tcPr>
            <w:tcW w:w="5760" w:type="dxa"/>
            <w:tcBorders>
              <w:top w:val="single" w:sz="4" w:space="0" w:color="000000" w:themeColor="text1"/>
            </w:tcBorders>
          </w:tcPr>
          <w:p w14:paraId="36DBA7CA" w14:textId="616847FA" w:rsidR="00107082" w:rsidRDefault="00263651" w:rsidP="00107082">
            <w:pPr>
              <w:pStyle w:val="Body"/>
              <w:shd w:val="clear" w:color="auto" w:fill="FFFFFF"/>
              <w:jc w:val="both"/>
            </w:pPr>
            <w:r w:rsidRPr="3743CED7">
              <w:rPr>
                <w:b/>
                <w:bCs/>
                <w:smallCaps/>
                <w:color w:val="000000" w:themeColor="text1"/>
              </w:rPr>
              <w:t>Title:</w:t>
            </w:r>
            <w:r w:rsidRPr="3743CED7">
              <w:rPr>
                <w:color w:val="000000" w:themeColor="text1"/>
              </w:rPr>
              <w:t xml:space="preserve"> </w:t>
            </w:r>
            <w:r w:rsidR="00107082" w:rsidRPr="00107082">
              <w:rPr>
                <w:rFonts w:cs="Times New Roman"/>
              </w:rPr>
              <w:t xml:space="preserve">A Local Law </w:t>
            </w:r>
            <w:r w:rsidR="00107082" w:rsidRPr="00107082">
              <w:t xml:space="preserve">to amend the administrative code of the city of New York, in relation </w:t>
            </w:r>
            <w:r w:rsidR="001D716D">
              <w:t>to</w:t>
            </w:r>
            <w:r w:rsidR="00C96069">
              <w:t xml:space="preserve"> prohibiting on-call scheduling for utility safety employees and providing advance notice of work schedules to utility safety employees</w:t>
            </w:r>
          </w:p>
          <w:p w14:paraId="23C0C162" w14:textId="77777777" w:rsidR="00C96069" w:rsidRDefault="00C96069" w:rsidP="00107082">
            <w:pPr>
              <w:pStyle w:val="Body"/>
              <w:shd w:val="clear" w:color="auto" w:fill="FFFFFF"/>
              <w:jc w:val="both"/>
              <w:rPr>
                <w:sz w:val="24"/>
                <w:szCs w:val="24"/>
              </w:rPr>
            </w:pPr>
          </w:p>
          <w:p w14:paraId="34C78DA4" w14:textId="77777777" w:rsidR="00567D6C" w:rsidRDefault="00567D6C" w:rsidP="5DDD319C">
            <w:pPr>
              <w:pBdr>
                <w:top w:val="nil"/>
                <w:left w:val="nil"/>
                <w:bottom w:val="nil"/>
                <w:right w:val="nil"/>
                <w:between w:val="nil"/>
              </w:pBdr>
              <w:rPr>
                <w:color w:val="000000"/>
                <w:sz w:val="22"/>
                <w:szCs w:val="22"/>
              </w:rPr>
            </w:pPr>
          </w:p>
        </w:tc>
        <w:tc>
          <w:tcPr>
            <w:tcW w:w="5115" w:type="dxa"/>
            <w:tcBorders>
              <w:top w:val="single" w:sz="4" w:space="0" w:color="000000" w:themeColor="text1"/>
            </w:tcBorders>
          </w:tcPr>
          <w:p w14:paraId="72176DC5" w14:textId="789E1BF5" w:rsidR="00134E88" w:rsidRPr="00134E88" w:rsidRDefault="00263651" w:rsidP="000766A7">
            <w:pPr>
              <w:rPr>
                <w:rFonts w:eastAsia="Arial Unicode MS" w:cs="Arial Unicode MS"/>
                <w:color w:val="000000"/>
                <w:sz w:val="22"/>
                <w:szCs w:val="22"/>
                <w:u w:color="000000"/>
                <w:bdr w:val="nil"/>
              </w:rPr>
            </w:pPr>
            <w:r w:rsidRPr="56A63D9C">
              <w:rPr>
                <w:b/>
                <w:bCs/>
                <w:smallCaps/>
                <w:sz w:val="22"/>
                <w:szCs w:val="22"/>
              </w:rPr>
              <w:t>Sponsors</w:t>
            </w:r>
            <w:r w:rsidRPr="56A63D9C">
              <w:rPr>
                <w:b/>
                <w:bCs/>
                <w:sz w:val="22"/>
                <w:szCs w:val="22"/>
              </w:rPr>
              <w:t xml:space="preserve">: </w:t>
            </w:r>
            <w:r w:rsidR="00C96069" w:rsidRPr="00587665">
              <w:rPr>
                <w:rFonts w:eastAsia="Arial Unicode MS" w:cs="Arial Unicode MS"/>
                <w:color w:val="000000"/>
                <w:sz w:val="22"/>
                <w:szCs w:val="22"/>
                <w:u w:color="000000"/>
                <w:bdr w:val="nil"/>
              </w:rPr>
              <w:t>Council Members Lander, Brannan, Reynoso, Powers, Menchaca, Levine, Levin, Kallos, Maisel, Cabrera, Rivera, Rosenthal, Ayala, Gibson, Grodenchik</w:t>
            </w:r>
            <w:r w:rsidR="00C96069" w:rsidRPr="00134E88">
              <w:rPr>
                <w:rFonts w:eastAsia="Arial Unicode MS" w:cs="Arial Unicode MS"/>
                <w:color w:val="000000"/>
                <w:sz w:val="22"/>
                <w:szCs w:val="22"/>
                <w:u w:color="000000"/>
                <w:bdr w:val="nil"/>
              </w:rPr>
              <w:t>, Van Bramer, Cumbo, Perkins, Chin, Ampry-Samuel, Salamanca, Adams, Dromm, the Public Advocate (Mr. Williams), Moya, Treyger, Koslowitz, Eugene, B</w:t>
            </w:r>
            <w:r w:rsidR="00C96069" w:rsidRPr="0077411A">
              <w:rPr>
                <w:rFonts w:eastAsia="Arial Unicode MS" w:cs="Arial Unicode MS"/>
                <w:color w:val="000000"/>
                <w:sz w:val="22"/>
                <w:szCs w:val="22"/>
                <w:u w:color="000000"/>
                <w:bdr w:val="nil"/>
              </w:rPr>
              <w:t>arron, Rose, Rodriguez</w:t>
            </w:r>
            <w:r w:rsidR="00134E88" w:rsidRPr="00134E88">
              <w:rPr>
                <w:rFonts w:eastAsia="Arial Unicode MS" w:cs="Arial Unicode MS"/>
                <w:color w:val="000000"/>
                <w:sz w:val="22"/>
                <w:szCs w:val="22"/>
                <w:u w:color="000000"/>
                <w:bdr w:val="nil"/>
              </w:rPr>
              <w:t>,</w:t>
            </w:r>
            <w:r w:rsidR="00C96069" w:rsidRPr="00134E88">
              <w:rPr>
                <w:rFonts w:eastAsia="Arial Unicode MS" w:cs="Arial Unicode MS"/>
                <w:color w:val="000000"/>
                <w:sz w:val="22"/>
                <w:szCs w:val="22"/>
                <w:u w:color="000000"/>
                <w:bdr w:val="nil"/>
              </w:rPr>
              <w:t xml:space="preserve"> Louis</w:t>
            </w:r>
            <w:r w:rsidR="00134E88" w:rsidRPr="00134E88">
              <w:rPr>
                <w:rFonts w:eastAsia="Arial Unicode MS" w:cs="Arial Unicode MS"/>
                <w:color w:val="000000"/>
                <w:sz w:val="22"/>
                <w:szCs w:val="22"/>
                <w:u w:color="000000"/>
                <w:bdr w:val="nil"/>
              </w:rPr>
              <w:t xml:space="preserve"> and </w:t>
            </w:r>
            <w:r w:rsidR="00134E88" w:rsidRPr="008705D7">
              <w:rPr>
                <w:color w:val="000000"/>
                <w:sz w:val="22"/>
                <w:szCs w:val="22"/>
                <w:shd w:val="clear" w:color="auto" w:fill="FFFFFF"/>
              </w:rPr>
              <w:t>Brooks-Powers</w:t>
            </w:r>
          </w:p>
          <w:p w14:paraId="7ABBBEC9" w14:textId="77777777" w:rsidR="00107082" w:rsidRDefault="00107082" w:rsidP="56A63D9C">
            <w:pPr>
              <w:widowControl w:val="0"/>
              <w:rPr>
                <w:color w:val="000000" w:themeColor="text1"/>
                <w:sz w:val="22"/>
                <w:szCs w:val="22"/>
              </w:rPr>
            </w:pPr>
          </w:p>
        </w:tc>
      </w:tr>
    </w:tbl>
    <w:p w14:paraId="17F430E4" w14:textId="77777777" w:rsidR="00C96069" w:rsidRPr="00C96069" w:rsidRDefault="00263651" w:rsidP="00C960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96069">
        <w:rPr>
          <w:b/>
          <w:bCs/>
          <w:smallCaps/>
          <w:sz w:val="22"/>
          <w:szCs w:val="22"/>
        </w:rPr>
        <w:t>Summary of Legislation:</w:t>
      </w:r>
      <w:r w:rsidRPr="00C96069">
        <w:rPr>
          <w:sz w:val="22"/>
          <w:szCs w:val="22"/>
        </w:rPr>
        <w:t xml:space="preserve">  Proposed Intro. No. </w:t>
      </w:r>
      <w:r w:rsidR="00C96069" w:rsidRPr="00C96069">
        <w:rPr>
          <w:sz w:val="22"/>
          <w:szCs w:val="22"/>
        </w:rPr>
        <w:t>946</w:t>
      </w:r>
      <w:r w:rsidR="001D716D" w:rsidRPr="00C96069">
        <w:rPr>
          <w:sz w:val="22"/>
          <w:szCs w:val="22"/>
        </w:rPr>
        <w:t>-</w:t>
      </w:r>
      <w:r w:rsidR="00C96069" w:rsidRPr="00C96069">
        <w:rPr>
          <w:sz w:val="22"/>
          <w:szCs w:val="22"/>
        </w:rPr>
        <w:t>B</w:t>
      </w:r>
      <w:r w:rsidRPr="00C96069">
        <w:rPr>
          <w:sz w:val="22"/>
          <w:szCs w:val="22"/>
        </w:rPr>
        <w:t xml:space="preserve"> </w:t>
      </w:r>
      <w:r w:rsidR="001D716D" w:rsidRPr="00C96069">
        <w:rPr>
          <w:sz w:val="22"/>
          <w:szCs w:val="22"/>
        </w:rPr>
        <w:t xml:space="preserve">would </w:t>
      </w:r>
      <w:r w:rsidR="001462D6">
        <w:rPr>
          <w:sz w:val="22"/>
          <w:szCs w:val="22"/>
        </w:rPr>
        <w:t xml:space="preserve">prohibit </w:t>
      </w:r>
      <w:r w:rsidR="00C96069" w:rsidRPr="00C96069">
        <w:rPr>
          <w:sz w:val="22"/>
          <w:szCs w:val="22"/>
        </w:rPr>
        <w:t xml:space="preserve">the practice of on-call scheduling for utility safety employees who locate and mark underground infrastructure. The bill would prohibit employers from canceling, </w:t>
      </w:r>
      <w:r w:rsidR="001462D6" w:rsidRPr="00C96069">
        <w:rPr>
          <w:sz w:val="22"/>
          <w:szCs w:val="22"/>
        </w:rPr>
        <w:t>changing,</w:t>
      </w:r>
      <w:r w:rsidR="00C96069" w:rsidRPr="00C96069">
        <w:rPr>
          <w:sz w:val="22"/>
          <w:szCs w:val="22"/>
        </w:rPr>
        <w:t xml:space="preserve"> or adding work shifts within 72 hours of the start of the shift, except in limited circumstances. The bill would also require the employer to provide a utility safety employee with a written work schedule no later than 72 hours before the first shift on the work schedule, to post the schedule at the work location 72 hours before the beginning of the scheduled hours of work, and to provide the employee, at the employee’s request, a written copy of the work schedule for any week worked within the prior three years. </w:t>
      </w:r>
    </w:p>
    <w:p w14:paraId="0E046576" w14:textId="77777777" w:rsidR="00107082" w:rsidRPr="001D716D" w:rsidRDefault="00107082" w:rsidP="00225854">
      <w:pPr>
        <w:pStyle w:val="NoSpacing"/>
        <w:rPr>
          <w:rFonts w:ascii="Times New Roman" w:hAnsi="Times New Roman" w:cs="Times New Roman"/>
        </w:rPr>
      </w:pPr>
    </w:p>
    <w:p w14:paraId="1CFC24CD" w14:textId="7C61CE73" w:rsidR="0077411A" w:rsidRDefault="00263651" w:rsidP="0077411A">
      <w:pPr>
        <w:spacing w:line="259" w:lineRule="auto"/>
        <w:rPr>
          <w:color w:val="000000"/>
          <w:sz w:val="22"/>
          <w:szCs w:val="22"/>
        </w:rPr>
      </w:pPr>
      <w:r w:rsidRPr="56A63D9C">
        <w:rPr>
          <w:b/>
          <w:bCs/>
          <w:smallCaps/>
          <w:color w:val="000000" w:themeColor="text1"/>
          <w:sz w:val="22"/>
          <w:szCs w:val="22"/>
        </w:rPr>
        <w:t>Effective Date:</w:t>
      </w:r>
      <w:r w:rsidRPr="56A63D9C">
        <w:rPr>
          <w:color w:val="000000" w:themeColor="text1"/>
          <w:sz w:val="22"/>
          <w:szCs w:val="22"/>
        </w:rPr>
        <w:t xml:space="preserve"> This local law would take effect </w:t>
      </w:r>
      <w:r w:rsidR="005D3C94">
        <w:rPr>
          <w:color w:val="000000" w:themeColor="text1"/>
          <w:sz w:val="22"/>
          <w:szCs w:val="22"/>
        </w:rPr>
        <w:t>1</w:t>
      </w:r>
      <w:r w:rsidR="001462D6">
        <w:rPr>
          <w:color w:val="000000" w:themeColor="text1"/>
          <w:sz w:val="22"/>
          <w:szCs w:val="22"/>
        </w:rPr>
        <w:t>80</w:t>
      </w:r>
      <w:r w:rsidR="005D3C94">
        <w:rPr>
          <w:color w:val="000000" w:themeColor="text1"/>
          <w:sz w:val="22"/>
          <w:szCs w:val="22"/>
        </w:rPr>
        <w:t xml:space="preserve"> days after it becomes law</w:t>
      </w:r>
      <w:r w:rsidR="00225854">
        <w:rPr>
          <w:color w:val="000000" w:themeColor="text1"/>
          <w:sz w:val="22"/>
          <w:szCs w:val="22"/>
        </w:rPr>
        <w:t>, ex</w:t>
      </w:r>
      <w:r w:rsidR="008F7888">
        <w:rPr>
          <w:color w:val="000000" w:themeColor="text1"/>
          <w:sz w:val="22"/>
          <w:szCs w:val="22"/>
        </w:rPr>
        <w:t>cept</w:t>
      </w:r>
      <w:r w:rsidR="00225854">
        <w:rPr>
          <w:color w:val="000000" w:themeColor="text1"/>
          <w:sz w:val="22"/>
          <w:szCs w:val="22"/>
        </w:rPr>
        <w:t xml:space="preserve"> that </w:t>
      </w:r>
      <w:r w:rsidR="001462D6">
        <w:rPr>
          <w:color w:val="000000" w:themeColor="text1"/>
          <w:sz w:val="22"/>
          <w:szCs w:val="22"/>
        </w:rPr>
        <w:t>the Department of Consumer and Worker Protection (DCWP)</w:t>
      </w:r>
      <w:r w:rsidR="00225854">
        <w:rPr>
          <w:color w:val="000000" w:themeColor="text1"/>
          <w:sz w:val="22"/>
          <w:szCs w:val="22"/>
        </w:rPr>
        <w:t xml:space="preserve"> Commissioner </w:t>
      </w:r>
      <w:r w:rsidR="001462D6">
        <w:rPr>
          <w:color w:val="000000" w:themeColor="text1"/>
          <w:sz w:val="22"/>
          <w:szCs w:val="22"/>
        </w:rPr>
        <w:t>may</w:t>
      </w:r>
      <w:r w:rsidR="00225854">
        <w:rPr>
          <w:color w:val="000000" w:themeColor="text1"/>
          <w:sz w:val="22"/>
          <w:szCs w:val="22"/>
        </w:rPr>
        <w:t xml:space="preserve"> take </w:t>
      </w:r>
      <w:r w:rsidR="00DE1452">
        <w:rPr>
          <w:color w:val="000000" w:themeColor="text1"/>
          <w:sz w:val="22"/>
          <w:szCs w:val="22"/>
        </w:rPr>
        <w:t xml:space="preserve">the necessary </w:t>
      </w:r>
      <w:r w:rsidR="00225854">
        <w:rPr>
          <w:color w:val="000000" w:themeColor="text1"/>
          <w:sz w:val="22"/>
          <w:szCs w:val="22"/>
        </w:rPr>
        <w:t>measures for the implementation of this local law, includ</w:t>
      </w:r>
      <w:r w:rsidR="00134E88">
        <w:rPr>
          <w:color w:val="000000" w:themeColor="text1"/>
          <w:sz w:val="22"/>
          <w:szCs w:val="22"/>
        </w:rPr>
        <w:t>ing</w:t>
      </w:r>
      <w:r w:rsidR="00DE1452">
        <w:rPr>
          <w:color w:val="000000" w:themeColor="text1"/>
          <w:sz w:val="22"/>
          <w:szCs w:val="22"/>
        </w:rPr>
        <w:t xml:space="preserve"> the </w:t>
      </w:r>
      <w:r w:rsidR="00225854">
        <w:rPr>
          <w:color w:val="000000" w:themeColor="text1"/>
          <w:sz w:val="22"/>
          <w:szCs w:val="22"/>
        </w:rPr>
        <w:t>promulgation of rules, before such date.</w:t>
      </w:r>
      <w:r w:rsidR="001462D6">
        <w:rPr>
          <w:color w:val="000000" w:themeColor="text1"/>
          <w:sz w:val="22"/>
          <w:szCs w:val="22"/>
        </w:rPr>
        <w:t xml:space="preserve"> In addition, DCWP shall not take any enforcement action against</w:t>
      </w:r>
      <w:r w:rsidR="001462D6">
        <w:rPr>
          <w:color w:val="000000"/>
        </w:rPr>
        <w:t xml:space="preserve"> </w:t>
      </w:r>
      <w:r w:rsidR="001462D6" w:rsidRPr="001462D6">
        <w:rPr>
          <w:color w:val="000000"/>
          <w:sz w:val="22"/>
          <w:szCs w:val="22"/>
        </w:rPr>
        <w:t>any utility safety employer</w:t>
      </w:r>
      <w:sdt>
        <w:sdtPr>
          <w:rPr>
            <w:sz w:val="22"/>
            <w:szCs w:val="22"/>
          </w:rPr>
          <w:tag w:val="goog_rdk_16"/>
          <w:id w:val="413291469"/>
        </w:sdtPr>
        <w:sdtEndPr/>
        <w:sdtContent>
          <w:r w:rsidR="001462D6" w:rsidRPr="001462D6">
            <w:rPr>
              <w:color w:val="000000"/>
              <w:sz w:val="22"/>
              <w:szCs w:val="22"/>
            </w:rPr>
            <w:t xml:space="preserve"> for a violation of section 20-1251 or 20-1252 of the administrative code of the city of New York</w:t>
          </w:r>
        </w:sdtContent>
      </w:sdt>
      <w:r w:rsidR="001462D6" w:rsidRPr="001462D6">
        <w:rPr>
          <w:color w:val="000000"/>
          <w:sz w:val="22"/>
          <w:szCs w:val="22"/>
        </w:rPr>
        <w:t xml:space="preserve"> pursuant to section 20-1207 of the administrative code of the city of New York less than 365 days after this local law becomes law</w:t>
      </w:r>
      <w:r w:rsidR="001462D6">
        <w:rPr>
          <w:color w:val="000000"/>
          <w:sz w:val="22"/>
          <w:szCs w:val="22"/>
        </w:rPr>
        <w:t>.</w:t>
      </w:r>
      <w:r w:rsidR="0077411A">
        <w:rPr>
          <w:color w:val="000000"/>
          <w:sz w:val="22"/>
          <w:szCs w:val="22"/>
        </w:rPr>
        <w:t xml:space="preserve"> Moreover, in the case of </w:t>
      </w:r>
      <w:r w:rsidR="0077411A" w:rsidRPr="0077411A">
        <w:rPr>
          <w:color w:val="000000"/>
          <w:sz w:val="22"/>
          <w:szCs w:val="22"/>
        </w:rPr>
        <w:t>utility safety employees covered by a valid collective bargaining agreement in effect 180 days after this local law becomes law, this local law takes effect on the stated date of the expiration of such agreement.</w:t>
      </w:r>
    </w:p>
    <w:p w14:paraId="26D681C8" w14:textId="77777777" w:rsidR="00666061" w:rsidRDefault="00666061" w:rsidP="5DDD319C">
      <w:pPr>
        <w:rPr>
          <w:b/>
          <w:bCs/>
          <w:smallCaps/>
          <w:sz w:val="22"/>
          <w:szCs w:val="22"/>
        </w:rPr>
      </w:pPr>
    </w:p>
    <w:p w14:paraId="0E3D9367" w14:textId="77777777" w:rsidR="00567D6C" w:rsidRDefault="00263651" w:rsidP="5DDD319C">
      <w:pPr>
        <w:rPr>
          <w:smallCaps/>
          <w:sz w:val="22"/>
          <w:szCs w:val="22"/>
        </w:rPr>
      </w:pPr>
      <w:r w:rsidRPr="6C2AFBF1">
        <w:rPr>
          <w:b/>
          <w:bCs/>
          <w:smallCaps/>
          <w:sz w:val="22"/>
          <w:szCs w:val="22"/>
        </w:rPr>
        <w:t xml:space="preserve">Fiscal Year In Which Full Fiscal Impact Anticipated: </w:t>
      </w:r>
      <w:r w:rsidRPr="6C2AFBF1">
        <w:rPr>
          <w:smallCaps/>
          <w:sz w:val="22"/>
          <w:szCs w:val="22"/>
        </w:rPr>
        <w:t>F</w:t>
      </w:r>
      <w:r w:rsidRPr="6C2AFBF1">
        <w:rPr>
          <w:sz w:val="22"/>
          <w:szCs w:val="22"/>
        </w:rPr>
        <w:t xml:space="preserve">iscal </w:t>
      </w:r>
      <w:r w:rsidRPr="6C2AFBF1">
        <w:rPr>
          <w:smallCaps/>
          <w:sz w:val="22"/>
          <w:szCs w:val="22"/>
        </w:rPr>
        <w:t>202</w:t>
      </w:r>
      <w:r w:rsidR="000766A7">
        <w:rPr>
          <w:smallCaps/>
          <w:sz w:val="22"/>
          <w:szCs w:val="22"/>
        </w:rPr>
        <w:t>3</w:t>
      </w:r>
    </w:p>
    <w:p w14:paraId="6B4C7D4E" w14:textId="77777777" w:rsidR="00567D6C" w:rsidRDefault="00263651">
      <w:pPr>
        <w:pBdr>
          <w:top w:val="single" w:sz="4" w:space="1" w:color="000000"/>
        </w:pBdr>
        <w:spacing w:before="240"/>
        <w:rPr>
          <w:b/>
          <w:smallCaps/>
          <w:sz w:val="22"/>
          <w:szCs w:val="22"/>
        </w:rPr>
      </w:pPr>
      <w:r>
        <w:rPr>
          <w:b/>
          <w:smallCaps/>
          <w:sz w:val="22"/>
          <w:szCs w:val="22"/>
        </w:rPr>
        <w:t>Fiscal Impact Statement:</w:t>
      </w:r>
    </w:p>
    <w:tbl>
      <w:tblPr>
        <w:tblW w:w="6954" w:type="dxa"/>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3A3D21" w14:paraId="41453458"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06FFD96" w14:textId="77777777" w:rsidR="003A3D21" w:rsidRDefault="003A3D21" w:rsidP="009D584E">
            <w:pPr>
              <w:spacing w:line="201" w:lineRule="auto"/>
              <w:jc w:val="center"/>
              <w:rPr>
                <w:sz w:val="20"/>
                <w:szCs w:val="20"/>
              </w:rPr>
            </w:pPr>
          </w:p>
          <w:p w14:paraId="13606532" w14:textId="77777777" w:rsidR="003A3D21" w:rsidRDefault="003A3D21"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416F2D2" w14:textId="77777777" w:rsidR="003A3D21" w:rsidRDefault="003A3D21" w:rsidP="009D584E">
            <w:pPr>
              <w:jc w:val="center"/>
              <w:rPr>
                <w:b/>
                <w:bCs/>
                <w:sz w:val="20"/>
                <w:szCs w:val="20"/>
              </w:rPr>
            </w:pPr>
            <w:r w:rsidRPr="6C2AFBF1">
              <w:rPr>
                <w:b/>
                <w:bCs/>
                <w:sz w:val="20"/>
                <w:szCs w:val="20"/>
              </w:rPr>
              <w:t>Effective FY22</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2F6E6351" w14:textId="77777777" w:rsidR="003A3D21" w:rsidRDefault="003A3D21" w:rsidP="009D584E">
            <w:pPr>
              <w:jc w:val="center"/>
              <w:rPr>
                <w:b/>
                <w:bCs/>
                <w:sz w:val="20"/>
                <w:szCs w:val="20"/>
              </w:rPr>
            </w:pPr>
            <w:r w:rsidRPr="6C2AFBF1">
              <w:rPr>
                <w:b/>
                <w:bCs/>
                <w:sz w:val="20"/>
                <w:szCs w:val="20"/>
              </w:rPr>
              <w:t>FY Succeeding Effective FY2</w:t>
            </w:r>
            <w:r>
              <w:rPr>
                <w:b/>
                <w:bCs/>
                <w:sz w:val="20"/>
                <w:szCs w:val="20"/>
              </w:rPr>
              <w:t>3</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38E4EC2C" w14:textId="77777777" w:rsidR="003A3D21" w:rsidRPr="6C2AFBF1" w:rsidRDefault="003A3D21" w:rsidP="009D584E">
            <w:pPr>
              <w:jc w:val="center"/>
              <w:rPr>
                <w:b/>
                <w:bCs/>
                <w:sz w:val="20"/>
                <w:szCs w:val="20"/>
              </w:rPr>
            </w:pPr>
            <w:r w:rsidRPr="6C2AFBF1">
              <w:rPr>
                <w:b/>
                <w:bCs/>
                <w:sz w:val="20"/>
                <w:szCs w:val="20"/>
              </w:rPr>
              <w:t>Full Fiscal Impact FY2</w:t>
            </w:r>
            <w:r w:rsidR="00C83B49">
              <w:rPr>
                <w:b/>
                <w:bCs/>
                <w:sz w:val="20"/>
                <w:szCs w:val="20"/>
              </w:rPr>
              <w:t>2</w:t>
            </w:r>
          </w:p>
        </w:tc>
      </w:tr>
      <w:tr w:rsidR="003A3D21" w14:paraId="6B3BF226"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6F5DE13" w14:textId="77777777" w:rsidR="003A3D21" w:rsidRDefault="003A3D21"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1554B07"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702C3A5C"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6BC7CE22" w14:textId="77777777" w:rsidR="003A3D21" w:rsidRDefault="003A3D21" w:rsidP="009D584E">
            <w:pPr>
              <w:jc w:val="center"/>
              <w:rPr>
                <w:sz w:val="20"/>
                <w:szCs w:val="20"/>
              </w:rPr>
            </w:pPr>
            <w:r>
              <w:rPr>
                <w:sz w:val="20"/>
                <w:szCs w:val="20"/>
              </w:rPr>
              <w:t>$0</w:t>
            </w:r>
          </w:p>
        </w:tc>
      </w:tr>
      <w:tr w:rsidR="003A3D21" w14:paraId="64EC336F"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75C5891F" w14:textId="77777777" w:rsidR="003A3D21" w:rsidRDefault="003A3D21"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362A6B10" w14:textId="77777777" w:rsidR="003A3D21" w:rsidRDefault="003A3D21" w:rsidP="009D584E">
            <w:pPr>
              <w:jc w:val="center"/>
              <w:rPr>
                <w:sz w:val="20"/>
                <w:szCs w:val="20"/>
              </w:rPr>
            </w:pPr>
            <w:r w:rsidRPr="6C2AFBF1">
              <w:rPr>
                <w:sz w:val="20"/>
                <w:szCs w:val="20"/>
              </w:rPr>
              <w:t>$</w:t>
            </w:r>
            <w:r w:rsidR="001462D6">
              <w:rPr>
                <w:sz w:val="20"/>
                <w:szCs w:val="20"/>
              </w:rPr>
              <w:t>211,525</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145A27F2" w14:textId="77777777" w:rsidR="003A3D21" w:rsidRDefault="003A3D21" w:rsidP="009D584E">
            <w:pPr>
              <w:jc w:val="center"/>
              <w:rPr>
                <w:sz w:val="20"/>
                <w:szCs w:val="20"/>
              </w:rPr>
            </w:pPr>
            <w:r w:rsidRPr="440A625D">
              <w:rPr>
                <w:sz w:val="20"/>
                <w:szCs w:val="20"/>
              </w:rPr>
              <w:t>$</w:t>
            </w:r>
            <w:r w:rsidR="001462D6">
              <w:rPr>
                <w:sz w:val="20"/>
                <w:szCs w:val="20"/>
              </w:rPr>
              <w:t>154,525</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61BB2E4D" w14:textId="77777777" w:rsidR="003A3D21" w:rsidRPr="440A625D" w:rsidRDefault="003A3D21" w:rsidP="009D584E">
            <w:pPr>
              <w:jc w:val="center"/>
              <w:rPr>
                <w:sz w:val="20"/>
                <w:szCs w:val="20"/>
              </w:rPr>
            </w:pPr>
            <w:r w:rsidRPr="6C2AFBF1">
              <w:rPr>
                <w:sz w:val="20"/>
                <w:szCs w:val="20"/>
              </w:rPr>
              <w:t>$</w:t>
            </w:r>
            <w:r w:rsidR="00C83B49">
              <w:rPr>
                <w:sz w:val="20"/>
                <w:szCs w:val="20"/>
              </w:rPr>
              <w:t>154,525</w:t>
            </w:r>
          </w:p>
        </w:tc>
      </w:tr>
      <w:tr w:rsidR="003A3D21" w14:paraId="42E1FC92" w14:textId="77777777" w:rsidTr="00A85D43">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547E2601" w14:textId="77777777" w:rsidR="003A3D21" w:rsidRDefault="003A3D21" w:rsidP="009D584E">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0684D7CC" w14:textId="77777777" w:rsidR="003A3D21" w:rsidRDefault="003A3D21" w:rsidP="009D584E">
            <w:pPr>
              <w:jc w:val="center"/>
              <w:rPr>
                <w:sz w:val="20"/>
                <w:szCs w:val="20"/>
              </w:rPr>
            </w:pPr>
            <w:r w:rsidRPr="6C2AFBF1">
              <w:rPr>
                <w:sz w:val="20"/>
                <w:szCs w:val="20"/>
              </w:rPr>
              <w:t>$</w:t>
            </w:r>
            <w:r w:rsidR="004D08CA">
              <w:rPr>
                <w:sz w:val="20"/>
                <w:szCs w:val="20"/>
              </w:rPr>
              <w:t>211,525</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1576203" w14:textId="77777777" w:rsidR="003A3D21" w:rsidRDefault="003A3D21" w:rsidP="009D584E">
            <w:pPr>
              <w:jc w:val="center"/>
              <w:rPr>
                <w:sz w:val="20"/>
                <w:szCs w:val="20"/>
              </w:rPr>
            </w:pPr>
            <w:r w:rsidRPr="440A625D">
              <w:rPr>
                <w:sz w:val="20"/>
                <w:szCs w:val="20"/>
              </w:rPr>
              <w:t>$</w:t>
            </w:r>
            <w:r w:rsidR="004D08CA">
              <w:rPr>
                <w:sz w:val="20"/>
                <w:szCs w:val="20"/>
              </w:rPr>
              <w:t>154,525</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57C9B6" w14:textId="77777777" w:rsidR="003A3D21" w:rsidRPr="440A625D" w:rsidRDefault="003A3D21" w:rsidP="009D584E">
            <w:pPr>
              <w:jc w:val="center"/>
              <w:rPr>
                <w:sz w:val="20"/>
                <w:szCs w:val="20"/>
              </w:rPr>
            </w:pPr>
            <w:r w:rsidRPr="6C2AFBF1">
              <w:rPr>
                <w:sz w:val="20"/>
                <w:szCs w:val="20"/>
              </w:rPr>
              <w:t>$</w:t>
            </w:r>
            <w:r w:rsidR="00D11597">
              <w:rPr>
                <w:sz w:val="20"/>
                <w:szCs w:val="20"/>
              </w:rPr>
              <w:t>154,525</w:t>
            </w:r>
          </w:p>
        </w:tc>
      </w:tr>
    </w:tbl>
    <w:p w14:paraId="72A34262" w14:textId="38F853F9" w:rsidR="008A2D2F" w:rsidRDefault="00263651">
      <w:pPr>
        <w:spacing w:before="120"/>
        <w:rPr>
          <w:sz w:val="22"/>
          <w:szCs w:val="22"/>
        </w:rPr>
      </w:pPr>
      <w:r>
        <w:rPr>
          <w:b/>
          <w:smallCaps/>
          <w:sz w:val="22"/>
          <w:szCs w:val="22"/>
        </w:rPr>
        <w:t xml:space="preserve">Impact on Revenues: </w:t>
      </w:r>
      <w:r>
        <w:rPr>
          <w:sz w:val="22"/>
          <w:szCs w:val="22"/>
        </w:rPr>
        <w:t>It</w:t>
      </w:r>
      <w:r w:rsidR="008A2D2F" w:rsidRPr="008A2D2F">
        <w:t xml:space="preserve"> </w:t>
      </w:r>
      <w:r w:rsidR="008A2D2F" w:rsidRPr="008A2D2F">
        <w:rPr>
          <w:sz w:val="22"/>
          <w:szCs w:val="22"/>
        </w:rPr>
        <w:t xml:space="preserve">is estimated that there would be no impact on revenues resulting from the enactment of this legislation. </w:t>
      </w:r>
    </w:p>
    <w:p w14:paraId="7C368D8D" w14:textId="77777777" w:rsidR="00567D6C" w:rsidRDefault="00567D6C">
      <w:pPr>
        <w:rPr>
          <w:b/>
          <w:smallCaps/>
          <w:sz w:val="22"/>
          <w:szCs w:val="22"/>
        </w:rPr>
      </w:pPr>
    </w:p>
    <w:p w14:paraId="53E1666A" w14:textId="527D5AAD" w:rsidR="00C83B49" w:rsidRDefault="00263651" w:rsidP="440A625D">
      <w:pPr>
        <w:rPr>
          <w:sz w:val="22"/>
          <w:szCs w:val="22"/>
        </w:rPr>
      </w:pPr>
      <w:r w:rsidRPr="440A625D">
        <w:rPr>
          <w:b/>
          <w:bCs/>
          <w:smallCaps/>
          <w:sz w:val="22"/>
          <w:szCs w:val="22"/>
        </w:rPr>
        <w:t>Impact on Expenditures:</w:t>
      </w:r>
      <w:r w:rsidRPr="440A625D">
        <w:rPr>
          <w:sz w:val="22"/>
          <w:szCs w:val="22"/>
        </w:rPr>
        <w:t xml:space="preserve"> </w:t>
      </w:r>
      <w:r w:rsidR="00670678">
        <w:rPr>
          <w:sz w:val="22"/>
          <w:szCs w:val="22"/>
        </w:rPr>
        <w:t xml:space="preserve">It is estimated that </w:t>
      </w:r>
      <w:r w:rsidR="00DE1452">
        <w:rPr>
          <w:sz w:val="22"/>
          <w:szCs w:val="22"/>
        </w:rPr>
        <w:t>there</w:t>
      </w:r>
      <w:r w:rsidR="00670678" w:rsidRPr="440A625D">
        <w:rPr>
          <w:sz w:val="22"/>
          <w:szCs w:val="22"/>
        </w:rPr>
        <w:t xml:space="preserve"> would </w:t>
      </w:r>
      <w:r w:rsidR="00DE1452">
        <w:rPr>
          <w:sz w:val="22"/>
          <w:szCs w:val="22"/>
        </w:rPr>
        <w:t>be</w:t>
      </w:r>
      <w:r w:rsidR="00C83B49">
        <w:rPr>
          <w:sz w:val="22"/>
          <w:szCs w:val="22"/>
        </w:rPr>
        <w:t xml:space="preserve"> an additional expenditure of $211,525 in Fiscal 2022 and $154,525 in Fiscal 2023 and </w:t>
      </w:r>
      <w:r w:rsidR="00F14B29">
        <w:rPr>
          <w:sz w:val="22"/>
          <w:szCs w:val="22"/>
        </w:rPr>
        <w:t xml:space="preserve">in </w:t>
      </w:r>
      <w:r w:rsidR="00C83B49">
        <w:rPr>
          <w:sz w:val="22"/>
          <w:szCs w:val="22"/>
        </w:rPr>
        <w:t>the outyears for DCWP. Th</w:t>
      </w:r>
      <w:r w:rsidR="004A3694">
        <w:rPr>
          <w:sz w:val="22"/>
          <w:szCs w:val="22"/>
        </w:rPr>
        <w:t>e</w:t>
      </w:r>
      <w:r w:rsidR="00C83B49">
        <w:rPr>
          <w:sz w:val="22"/>
          <w:szCs w:val="22"/>
        </w:rPr>
        <w:t xml:space="preserve"> funding would support</w:t>
      </w:r>
      <w:r w:rsidR="004A3694">
        <w:rPr>
          <w:sz w:val="22"/>
          <w:szCs w:val="22"/>
        </w:rPr>
        <w:t xml:space="preserve"> two additional headcount positions and related OTPS costs associated with the </w:t>
      </w:r>
      <w:r w:rsidR="00C83B49">
        <w:rPr>
          <w:sz w:val="22"/>
          <w:szCs w:val="22"/>
        </w:rPr>
        <w:t xml:space="preserve">enforcement of this legislation.  </w:t>
      </w:r>
    </w:p>
    <w:p w14:paraId="0922C4A8" w14:textId="4F3A1414" w:rsidR="00567D6C" w:rsidRDefault="00263651">
      <w:pPr>
        <w:spacing w:before="240"/>
        <w:rPr>
          <w:sz w:val="22"/>
          <w:szCs w:val="22"/>
        </w:rPr>
      </w:pPr>
      <w:r w:rsidRPr="56A63D9C">
        <w:rPr>
          <w:b/>
          <w:bCs/>
          <w:smallCaps/>
          <w:sz w:val="22"/>
          <w:szCs w:val="22"/>
        </w:rPr>
        <w:t>Source of Funds to Cover Estimated Costs:</w:t>
      </w:r>
      <w:r w:rsidRPr="56A63D9C">
        <w:rPr>
          <w:sz w:val="22"/>
          <w:szCs w:val="22"/>
        </w:rPr>
        <w:t xml:space="preserve"> </w:t>
      </w:r>
      <w:r w:rsidR="00134E88">
        <w:rPr>
          <w:sz w:val="22"/>
          <w:szCs w:val="22"/>
        </w:rPr>
        <w:t>General Fund</w:t>
      </w:r>
    </w:p>
    <w:p w14:paraId="15DF13D6" w14:textId="77777777" w:rsidR="00567D6C" w:rsidRDefault="00263651">
      <w:pPr>
        <w:spacing w:before="240"/>
        <w:rPr>
          <w:sz w:val="22"/>
          <w:szCs w:val="22"/>
        </w:rPr>
      </w:pPr>
      <w:r>
        <w:rPr>
          <w:b/>
          <w:smallCaps/>
          <w:sz w:val="22"/>
          <w:szCs w:val="22"/>
        </w:rPr>
        <w:t>Source of Information:</w:t>
      </w:r>
      <w:r>
        <w:rPr>
          <w:sz w:val="22"/>
          <w:szCs w:val="22"/>
        </w:rPr>
        <w:t xml:space="preserve">    </w:t>
      </w:r>
      <w:r>
        <w:rPr>
          <w:sz w:val="22"/>
          <w:szCs w:val="22"/>
        </w:rPr>
        <w:tab/>
        <w:t>New York City Council Finance Division</w:t>
      </w:r>
    </w:p>
    <w:p w14:paraId="2A08B210" w14:textId="77777777" w:rsidR="00567D6C" w:rsidRDefault="00263651" w:rsidP="001D716D">
      <w:pPr>
        <w:pBdr>
          <w:top w:val="nil"/>
          <w:left w:val="nil"/>
          <w:bottom w:val="nil"/>
          <w:right w:val="nil"/>
          <w:between w:val="nil"/>
        </w:pBdr>
        <w:ind w:left="2160"/>
        <w:rPr>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color w:val="000000"/>
          <w:sz w:val="22"/>
          <w:szCs w:val="22"/>
        </w:rPr>
        <w:t>Mayor’s Office of Legislative Affairs</w:t>
      </w:r>
      <w:r>
        <w:rPr>
          <w:rFonts w:ascii="Calibri" w:eastAsia="Calibri" w:hAnsi="Calibri" w:cs="Calibri"/>
          <w:color w:val="000000"/>
          <w:sz w:val="22"/>
          <w:szCs w:val="22"/>
        </w:rPr>
        <w:t xml:space="preserve"> </w:t>
      </w:r>
    </w:p>
    <w:p w14:paraId="2AA3E7EE" w14:textId="77777777" w:rsidR="00567D6C" w:rsidRDefault="00263651">
      <w:pPr>
        <w:spacing w:before="240"/>
        <w:rPr>
          <w:smallCaps/>
          <w:sz w:val="22"/>
          <w:szCs w:val="22"/>
        </w:rPr>
      </w:pPr>
      <w:r>
        <w:rPr>
          <w:b/>
          <w:smallCaps/>
          <w:sz w:val="22"/>
          <w:szCs w:val="22"/>
        </w:rPr>
        <w:lastRenderedPageBreak/>
        <w:t xml:space="preserve">Estimate Prepared by:    </w:t>
      </w:r>
      <w:r>
        <w:rPr>
          <w:b/>
          <w:smallCaps/>
          <w:sz w:val="22"/>
          <w:szCs w:val="22"/>
        </w:rPr>
        <w:tab/>
      </w:r>
      <w:r>
        <w:rPr>
          <w:sz w:val="22"/>
          <w:szCs w:val="22"/>
        </w:rPr>
        <w:t>John Basile, Senior Financial Analyst</w:t>
      </w:r>
    </w:p>
    <w:p w14:paraId="6D056050" w14:textId="77777777" w:rsidR="00567D6C" w:rsidRDefault="00263651">
      <w:pPr>
        <w:rPr>
          <w:sz w:val="22"/>
          <w:szCs w:val="22"/>
        </w:rPr>
      </w:pP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p>
    <w:p w14:paraId="024CC884" w14:textId="77777777" w:rsidR="00567D6C" w:rsidRDefault="00263651">
      <w:pPr>
        <w:rPr>
          <w:sz w:val="22"/>
          <w:szCs w:val="22"/>
        </w:rPr>
      </w:pPr>
      <w:r>
        <w:rPr>
          <w:b/>
          <w:smallCaps/>
          <w:sz w:val="22"/>
          <w:szCs w:val="22"/>
        </w:rPr>
        <w:t>Estimate Reviewed by:</w:t>
      </w:r>
      <w:r>
        <w:rPr>
          <w:b/>
          <w:smallCaps/>
          <w:sz w:val="22"/>
          <w:szCs w:val="22"/>
        </w:rPr>
        <w:tab/>
      </w:r>
      <w:r w:rsidR="005D3C94">
        <w:rPr>
          <w:sz w:val="22"/>
          <w:szCs w:val="22"/>
        </w:rPr>
        <w:t>Nathaniel Toth</w:t>
      </w:r>
      <w:r>
        <w:rPr>
          <w:sz w:val="22"/>
          <w:szCs w:val="22"/>
        </w:rPr>
        <w:t>, Deputy Director</w:t>
      </w:r>
    </w:p>
    <w:p w14:paraId="56B50F59" w14:textId="77777777" w:rsidR="00567D6C" w:rsidRDefault="00263651">
      <w:pPr>
        <w:rPr>
          <w:sz w:val="22"/>
          <w:szCs w:val="22"/>
        </w:rPr>
      </w:pPr>
      <w:r>
        <w:rPr>
          <w:b/>
          <w:smallCaps/>
          <w:sz w:val="22"/>
          <w:szCs w:val="22"/>
        </w:rPr>
        <w:tab/>
      </w:r>
      <w:r>
        <w:rPr>
          <w:b/>
          <w:smallCaps/>
          <w:sz w:val="22"/>
          <w:szCs w:val="22"/>
        </w:rPr>
        <w:tab/>
      </w:r>
      <w:r>
        <w:rPr>
          <w:b/>
          <w:smallCaps/>
          <w:sz w:val="22"/>
          <w:szCs w:val="22"/>
        </w:rPr>
        <w:tab/>
      </w:r>
      <w:r>
        <w:rPr>
          <w:b/>
          <w:smallCaps/>
          <w:sz w:val="22"/>
          <w:szCs w:val="22"/>
        </w:rPr>
        <w:tab/>
      </w:r>
      <w:r>
        <w:rPr>
          <w:sz w:val="22"/>
          <w:szCs w:val="22"/>
        </w:rPr>
        <w:t>Chima Obichere, Unit Head</w:t>
      </w:r>
    </w:p>
    <w:p w14:paraId="7B1AA74B" w14:textId="4AAE6EC2" w:rsidR="00567D6C" w:rsidRDefault="00263651">
      <w:pPr>
        <w:rPr>
          <w:sz w:val="22"/>
          <w:szCs w:val="22"/>
        </w:rPr>
      </w:pPr>
      <w:r>
        <w:rPr>
          <w:sz w:val="22"/>
          <w:szCs w:val="22"/>
        </w:rPr>
        <w:tab/>
      </w:r>
      <w:r>
        <w:rPr>
          <w:sz w:val="22"/>
          <w:szCs w:val="22"/>
        </w:rPr>
        <w:tab/>
      </w:r>
      <w:r>
        <w:rPr>
          <w:sz w:val="22"/>
          <w:szCs w:val="22"/>
        </w:rPr>
        <w:tab/>
      </w:r>
      <w:r>
        <w:rPr>
          <w:sz w:val="22"/>
          <w:szCs w:val="22"/>
        </w:rPr>
        <w:tab/>
      </w:r>
      <w:r w:rsidR="00134E88" w:rsidRPr="008705D7">
        <w:rPr>
          <w:sz w:val="22"/>
          <w:szCs w:val="22"/>
        </w:rPr>
        <w:t>Noah Brick</w:t>
      </w:r>
      <w:r w:rsidRPr="008705D7">
        <w:rPr>
          <w:sz w:val="22"/>
          <w:szCs w:val="22"/>
        </w:rPr>
        <w:t>, Assistant Counsel</w:t>
      </w:r>
      <w:r>
        <w:t xml:space="preserve"> </w:t>
      </w:r>
    </w:p>
    <w:p w14:paraId="4890D08C" w14:textId="306498E2" w:rsidR="00567D6C" w:rsidRDefault="00263651" w:rsidP="00134E88">
      <w:pPr>
        <w:spacing w:before="240" w:after="240"/>
        <w:rPr>
          <w:color w:val="000000" w:themeColor="text1"/>
          <w:sz w:val="22"/>
          <w:szCs w:val="22"/>
        </w:rPr>
      </w:pPr>
      <w:r w:rsidRPr="3743CED7">
        <w:rPr>
          <w:b/>
          <w:bCs/>
          <w:smallCaps/>
          <w:sz w:val="22"/>
          <w:szCs w:val="22"/>
        </w:rPr>
        <w:t>Legislative History:</w:t>
      </w:r>
      <w:r w:rsidRPr="3743CED7">
        <w:rPr>
          <w:sz w:val="22"/>
          <w:szCs w:val="22"/>
        </w:rPr>
        <w:t xml:space="preserve"> </w:t>
      </w:r>
      <w:r w:rsidR="6DDB868F" w:rsidRPr="3743CED7">
        <w:rPr>
          <w:color w:val="000000" w:themeColor="text1"/>
          <w:sz w:val="22"/>
          <w:szCs w:val="22"/>
        </w:rPr>
        <w:t xml:space="preserve">This legislation was first introduced to the Council as Intro. No. </w:t>
      </w:r>
      <w:r w:rsidR="00C83B49">
        <w:rPr>
          <w:color w:val="000000" w:themeColor="text1"/>
          <w:sz w:val="22"/>
          <w:szCs w:val="22"/>
        </w:rPr>
        <w:t>946</w:t>
      </w:r>
      <w:r w:rsidR="6DDB868F" w:rsidRPr="3743CED7">
        <w:rPr>
          <w:color w:val="000000" w:themeColor="text1"/>
          <w:sz w:val="22"/>
          <w:szCs w:val="22"/>
        </w:rPr>
        <w:t xml:space="preserve"> on</w:t>
      </w:r>
      <w:r w:rsidR="00A50EB3">
        <w:rPr>
          <w:color w:val="000000" w:themeColor="text1"/>
          <w:sz w:val="22"/>
          <w:szCs w:val="22"/>
        </w:rPr>
        <w:t xml:space="preserve"> </w:t>
      </w:r>
      <w:r w:rsidR="00C83B49">
        <w:rPr>
          <w:color w:val="000000" w:themeColor="text1"/>
          <w:sz w:val="22"/>
          <w:szCs w:val="22"/>
        </w:rPr>
        <w:t>May</w:t>
      </w:r>
      <w:r w:rsidR="00A50EB3">
        <w:rPr>
          <w:color w:val="000000" w:themeColor="text1"/>
          <w:sz w:val="22"/>
          <w:szCs w:val="22"/>
        </w:rPr>
        <w:t xml:space="preserve"> </w:t>
      </w:r>
      <w:r w:rsidR="000C7596">
        <w:rPr>
          <w:color w:val="000000" w:themeColor="text1"/>
          <w:sz w:val="22"/>
          <w:szCs w:val="22"/>
        </w:rPr>
        <w:t>2</w:t>
      </w:r>
      <w:r w:rsidR="00C83B49">
        <w:rPr>
          <w:color w:val="000000" w:themeColor="text1"/>
          <w:sz w:val="22"/>
          <w:szCs w:val="22"/>
        </w:rPr>
        <w:t>3</w:t>
      </w:r>
      <w:r w:rsidR="6DDB868F" w:rsidRPr="3743CED7">
        <w:rPr>
          <w:color w:val="000000" w:themeColor="text1"/>
          <w:sz w:val="22"/>
          <w:szCs w:val="22"/>
        </w:rPr>
        <w:t>, 20</w:t>
      </w:r>
      <w:r w:rsidR="00C83B49">
        <w:rPr>
          <w:color w:val="000000" w:themeColor="text1"/>
          <w:sz w:val="22"/>
          <w:szCs w:val="22"/>
        </w:rPr>
        <w:t>18</w:t>
      </w:r>
      <w:r w:rsidR="6DDB868F" w:rsidRPr="3743CED7">
        <w:rPr>
          <w:color w:val="000000" w:themeColor="text1"/>
          <w:sz w:val="22"/>
          <w:szCs w:val="22"/>
        </w:rPr>
        <w:t xml:space="preserve"> and referred to the</w:t>
      </w:r>
      <w:r w:rsidR="00134E88">
        <w:rPr>
          <w:color w:val="000000" w:themeColor="text1"/>
          <w:sz w:val="22"/>
          <w:szCs w:val="22"/>
        </w:rPr>
        <w:t xml:space="preserve"> </w:t>
      </w:r>
      <w:r w:rsidR="00134E88" w:rsidRPr="00134E88">
        <w:rPr>
          <w:color w:val="000000" w:themeColor="text1"/>
          <w:sz w:val="22"/>
          <w:szCs w:val="22"/>
        </w:rPr>
        <w:t>Committee on Civil Service and Labor</w:t>
      </w:r>
      <w:r w:rsidR="6DDB868F" w:rsidRPr="3743CED7">
        <w:rPr>
          <w:color w:val="000000" w:themeColor="text1"/>
          <w:sz w:val="22"/>
          <w:szCs w:val="22"/>
        </w:rPr>
        <w:t xml:space="preserve">. </w:t>
      </w:r>
      <w:r w:rsidR="00C37451">
        <w:rPr>
          <w:color w:val="000000" w:themeColor="text1"/>
          <w:sz w:val="22"/>
          <w:szCs w:val="22"/>
        </w:rPr>
        <w:t>The legislation was subsequently</w:t>
      </w:r>
      <w:r w:rsidR="00134E88">
        <w:rPr>
          <w:color w:val="000000" w:themeColor="text1"/>
          <w:sz w:val="22"/>
          <w:szCs w:val="22"/>
        </w:rPr>
        <w:t xml:space="preserve"> </w:t>
      </w:r>
      <w:r w:rsidR="0077411A">
        <w:rPr>
          <w:color w:val="000000" w:themeColor="text1"/>
          <w:sz w:val="22"/>
          <w:szCs w:val="22"/>
        </w:rPr>
        <w:t xml:space="preserve">amended and </w:t>
      </w:r>
      <w:r w:rsidR="00C37451">
        <w:rPr>
          <w:color w:val="000000" w:themeColor="text1"/>
          <w:sz w:val="22"/>
          <w:szCs w:val="22"/>
        </w:rPr>
        <w:t xml:space="preserve">re-referred to the Committee </w:t>
      </w:r>
      <w:r w:rsidR="00134E88">
        <w:rPr>
          <w:color w:val="000000" w:themeColor="text1"/>
          <w:sz w:val="22"/>
          <w:szCs w:val="22"/>
        </w:rPr>
        <w:t xml:space="preserve">on Transportation </w:t>
      </w:r>
      <w:r w:rsidR="00C37451">
        <w:rPr>
          <w:color w:val="000000" w:themeColor="text1"/>
          <w:sz w:val="22"/>
          <w:szCs w:val="22"/>
        </w:rPr>
        <w:t>on December 3, 2019</w:t>
      </w:r>
      <w:r w:rsidR="00134E88">
        <w:rPr>
          <w:color w:val="000000" w:themeColor="text1"/>
          <w:sz w:val="22"/>
          <w:szCs w:val="22"/>
        </w:rPr>
        <w:t>.</w:t>
      </w:r>
      <w:r w:rsidR="00C37451">
        <w:rPr>
          <w:color w:val="000000" w:themeColor="text1"/>
          <w:sz w:val="22"/>
          <w:szCs w:val="22"/>
        </w:rPr>
        <w:t xml:space="preserve"> </w:t>
      </w:r>
      <w:r w:rsidR="0077411A">
        <w:rPr>
          <w:color w:val="000000" w:themeColor="text1"/>
          <w:sz w:val="22"/>
          <w:szCs w:val="22"/>
        </w:rPr>
        <w:t>T</w:t>
      </w:r>
      <w:r w:rsidR="00134E88">
        <w:rPr>
          <w:color w:val="000000" w:themeColor="text1"/>
          <w:sz w:val="22"/>
          <w:szCs w:val="22"/>
        </w:rPr>
        <w:t xml:space="preserve">he </w:t>
      </w:r>
      <w:r w:rsidR="00134E88" w:rsidRPr="00134E88">
        <w:rPr>
          <w:color w:val="000000" w:themeColor="text1"/>
          <w:sz w:val="22"/>
          <w:szCs w:val="22"/>
        </w:rPr>
        <w:t xml:space="preserve">Committee on Transportation </w:t>
      </w:r>
      <w:r w:rsidR="00134E88">
        <w:rPr>
          <w:color w:val="000000" w:themeColor="text1"/>
          <w:sz w:val="22"/>
          <w:szCs w:val="22"/>
        </w:rPr>
        <w:t>heard the amended version</w:t>
      </w:r>
      <w:r w:rsidR="0077411A">
        <w:rPr>
          <w:color w:val="000000" w:themeColor="text1"/>
          <w:sz w:val="22"/>
          <w:szCs w:val="22"/>
        </w:rPr>
        <w:t>,</w:t>
      </w:r>
      <w:r w:rsidR="00134E88">
        <w:rPr>
          <w:color w:val="000000" w:themeColor="text1"/>
          <w:sz w:val="22"/>
          <w:szCs w:val="22"/>
        </w:rPr>
        <w:t xml:space="preserve"> and proposed a further amendment</w:t>
      </w:r>
      <w:r w:rsidR="0077411A">
        <w:rPr>
          <w:color w:val="000000" w:themeColor="text1"/>
          <w:sz w:val="22"/>
          <w:szCs w:val="22"/>
        </w:rPr>
        <w:t>,</w:t>
      </w:r>
      <w:r w:rsidR="00134E88">
        <w:rPr>
          <w:color w:val="000000" w:themeColor="text1"/>
          <w:sz w:val="22"/>
          <w:szCs w:val="22"/>
        </w:rPr>
        <w:t xml:space="preserve"> on </w:t>
      </w:r>
      <w:r w:rsidR="00C83B49">
        <w:rPr>
          <w:color w:val="000000" w:themeColor="text1"/>
          <w:sz w:val="22"/>
          <w:szCs w:val="22"/>
        </w:rPr>
        <w:t>December</w:t>
      </w:r>
      <w:r w:rsidR="6DDB868F" w:rsidRPr="3743CED7">
        <w:rPr>
          <w:color w:val="000000" w:themeColor="text1"/>
          <w:sz w:val="22"/>
          <w:szCs w:val="22"/>
        </w:rPr>
        <w:t xml:space="preserve"> </w:t>
      </w:r>
      <w:r w:rsidR="00C83B49">
        <w:rPr>
          <w:color w:val="000000" w:themeColor="text1"/>
          <w:sz w:val="22"/>
          <w:szCs w:val="22"/>
        </w:rPr>
        <w:t>16</w:t>
      </w:r>
      <w:r w:rsidR="6DDB868F" w:rsidRPr="3743CED7">
        <w:rPr>
          <w:color w:val="000000" w:themeColor="text1"/>
          <w:sz w:val="22"/>
          <w:szCs w:val="22"/>
        </w:rPr>
        <w:t>, 20</w:t>
      </w:r>
      <w:r w:rsidR="00C83B49">
        <w:rPr>
          <w:color w:val="000000" w:themeColor="text1"/>
          <w:sz w:val="22"/>
          <w:szCs w:val="22"/>
        </w:rPr>
        <w:t>19</w:t>
      </w:r>
      <w:r w:rsidR="6DDB868F" w:rsidRPr="3743CED7">
        <w:rPr>
          <w:color w:val="000000" w:themeColor="text1"/>
          <w:sz w:val="22"/>
          <w:szCs w:val="22"/>
        </w:rPr>
        <w:t xml:space="preserve"> and the bill was laid over. The </w:t>
      </w:r>
      <w:r w:rsidR="00134E88">
        <w:rPr>
          <w:color w:val="000000" w:themeColor="text1"/>
          <w:sz w:val="22"/>
          <w:szCs w:val="22"/>
        </w:rPr>
        <w:t>most</w:t>
      </w:r>
      <w:r w:rsidR="0077411A">
        <w:rPr>
          <w:color w:val="000000" w:themeColor="text1"/>
          <w:sz w:val="22"/>
          <w:szCs w:val="22"/>
        </w:rPr>
        <w:t>-</w:t>
      </w:r>
      <w:r w:rsidR="00134E88">
        <w:rPr>
          <w:color w:val="000000" w:themeColor="text1"/>
          <w:sz w:val="22"/>
          <w:szCs w:val="22"/>
        </w:rPr>
        <w:t xml:space="preserve">recently amended version, </w:t>
      </w:r>
      <w:r w:rsidR="6DDB868F" w:rsidRPr="3743CED7">
        <w:rPr>
          <w:color w:val="000000" w:themeColor="text1"/>
          <w:sz w:val="22"/>
          <w:szCs w:val="22"/>
        </w:rPr>
        <w:t xml:space="preserve">Proposed Intro. No. </w:t>
      </w:r>
      <w:r w:rsidR="00C83B49">
        <w:rPr>
          <w:color w:val="000000" w:themeColor="text1"/>
          <w:sz w:val="22"/>
          <w:szCs w:val="22"/>
        </w:rPr>
        <w:t>946</w:t>
      </w:r>
      <w:r w:rsidR="6DDB868F" w:rsidRPr="3743CED7">
        <w:rPr>
          <w:color w:val="000000" w:themeColor="text1"/>
          <w:sz w:val="22"/>
          <w:szCs w:val="22"/>
        </w:rPr>
        <w:t>-</w:t>
      </w:r>
      <w:r w:rsidR="00C83B49">
        <w:rPr>
          <w:color w:val="000000" w:themeColor="text1"/>
          <w:sz w:val="22"/>
          <w:szCs w:val="22"/>
        </w:rPr>
        <w:t>B</w:t>
      </w:r>
      <w:r w:rsidR="6DDB868F" w:rsidRPr="3743CED7">
        <w:rPr>
          <w:color w:val="000000" w:themeColor="text1"/>
          <w:sz w:val="22"/>
          <w:szCs w:val="22"/>
        </w:rPr>
        <w:t xml:space="preserve">, will be considered by the Committee </w:t>
      </w:r>
      <w:r w:rsidR="00134E88" w:rsidRPr="00134E88">
        <w:rPr>
          <w:color w:val="000000" w:themeColor="text1"/>
          <w:sz w:val="22"/>
          <w:szCs w:val="22"/>
        </w:rPr>
        <w:t xml:space="preserve">on Transportation </w:t>
      </w:r>
      <w:r w:rsidR="6DDB868F" w:rsidRPr="3743CED7">
        <w:rPr>
          <w:color w:val="000000" w:themeColor="text1"/>
          <w:sz w:val="22"/>
          <w:szCs w:val="22"/>
        </w:rPr>
        <w:t xml:space="preserve">on </w:t>
      </w:r>
      <w:r w:rsidR="00C83B49">
        <w:rPr>
          <w:color w:val="000000" w:themeColor="text1"/>
          <w:sz w:val="22"/>
          <w:szCs w:val="22"/>
        </w:rPr>
        <w:t>June</w:t>
      </w:r>
      <w:r w:rsidR="000C7596">
        <w:rPr>
          <w:color w:val="000000" w:themeColor="text1"/>
          <w:sz w:val="22"/>
          <w:szCs w:val="22"/>
        </w:rPr>
        <w:t xml:space="preserve"> </w:t>
      </w:r>
      <w:r w:rsidR="001D716D">
        <w:rPr>
          <w:color w:val="000000" w:themeColor="text1"/>
          <w:sz w:val="22"/>
          <w:szCs w:val="22"/>
        </w:rPr>
        <w:t>1</w:t>
      </w:r>
      <w:r w:rsidR="00C83B49">
        <w:rPr>
          <w:color w:val="000000" w:themeColor="text1"/>
          <w:sz w:val="22"/>
          <w:szCs w:val="22"/>
        </w:rPr>
        <w:t>7</w:t>
      </w:r>
      <w:r w:rsidR="6DDB868F" w:rsidRPr="3743CED7">
        <w:rPr>
          <w:color w:val="000000" w:themeColor="text1"/>
          <w:sz w:val="22"/>
          <w:szCs w:val="22"/>
        </w:rPr>
        <w:t>, 202</w:t>
      </w:r>
      <w:r w:rsidR="00A50EB3">
        <w:rPr>
          <w:color w:val="000000" w:themeColor="text1"/>
          <w:sz w:val="22"/>
          <w:szCs w:val="22"/>
        </w:rPr>
        <w:t>1</w:t>
      </w:r>
      <w:r w:rsidR="6DDB868F" w:rsidRPr="3743CED7">
        <w:rPr>
          <w:color w:val="000000" w:themeColor="text1"/>
          <w:sz w:val="22"/>
          <w:szCs w:val="22"/>
        </w:rPr>
        <w:t>. Upon a successful vote by the Committee</w:t>
      </w:r>
      <w:r w:rsidR="00134E88" w:rsidRPr="00134E88">
        <w:rPr>
          <w:color w:val="000000" w:themeColor="text1"/>
          <w:sz w:val="22"/>
          <w:szCs w:val="22"/>
        </w:rPr>
        <w:t xml:space="preserve"> on Transportation</w:t>
      </w:r>
      <w:r w:rsidR="6DDB868F" w:rsidRPr="3743CED7">
        <w:rPr>
          <w:color w:val="000000" w:themeColor="text1"/>
          <w:sz w:val="22"/>
          <w:szCs w:val="22"/>
        </w:rPr>
        <w:t xml:space="preserve">, Proposed Intro. No. </w:t>
      </w:r>
      <w:r w:rsidR="00C83B49">
        <w:rPr>
          <w:color w:val="000000" w:themeColor="text1"/>
          <w:sz w:val="22"/>
          <w:szCs w:val="22"/>
        </w:rPr>
        <w:t>946</w:t>
      </w:r>
      <w:r w:rsidR="59D0F26A" w:rsidRPr="3743CED7">
        <w:rPr>
          <w:color w:val="000000" w:themeColor="text1"/>
          <w:sz w:val="22"/>
          <w:szCs w:val="22"/>
        </w:rPr>
        <w:t>-</w:t>
      </w:r>
      <w:r w:rsidR="00C83B49">
        <w:rPr>
          <w:color w:val="000000" w:themeColor="text1"/>
          <w:sz w:val="22"/>
          <w:szCs w:val="22"/>
        </w:rPr>
        <w:t>B</w:t>
      </w:r>
      <w:r w:rsidR="6DDB868F" w:rsidRPr="3743CED7">
        <w:rPr>
          <w:color w:val="000000" w:themeColor="text1"/>
          <w:sz w:val="22"/>
          <w:szCs w:val="22"/>
        </w:rPr>
        <w:t xml:space="preserve"> will be submitted to the full Council for a vote on</w:t>
      </w:r>
      <w:r w:rsidR="00C83B49">
        <w:rPr>
          <w:color w:val="000000" w:themeColor="text1"/>
          <w:sz w:val="22"/>
          <w:szCs w:val="22"/>
        </w:rPr>
        <w:t xml:space="preserve"> June</w:t>
      </w:r>
      <w:r w:rsidR="000C7596">
        <w:rPr>
          <w:color w:val="000000" w:themeColor="text1"/>
          <w:sz w:val="22"/>
          <w:szCs w:val="22"/>
        </w:rPr>
        <w:t xml:space="preserve"> </w:t>
      </w:r>
      <w:r w:rsidR="00C83B49">
        <w:rPr>
          <w:color w:val="000000" w:themeColor="text1"/>
          <w:sz w:val="22"/>
          <w:szCs w:val="22"/>
        </w:rPr>
        <w:t>17</w:t>
      </w:r>
      <w:r w:rsidR="00A50EB3">
        <w:rPr>
          <w:color w:val="000000" w:themeColor="text1"/>
          <w:sz w:val="22"/>
          <w:szCs w:val="22"/>
        </w:rPr>
        <w:t xml:space="preserve">, </w:t>
      </w:r>
      <w:r w:rsidR="6DDB868F" w:rsidRPr="3743CED7">
        <w:rPr>
          <w:color w:val="000000" w:themeColor="text1"/>
          <w:sz w:val="22"/>
          <w:szCs w:val="22"/>
        </w:rPr>
        <w:t>202</w:t>
      </w:r>
      <w:r w:rsidR="00A50EB3">
        <w:rPr>
          <w:color w:val="000000" w:themeColor="text1"/>
          <w:sz w:val="22"/>
          <w:szCs w:val="22"/>
        </w:rPr>
        <w:t>1</w:t>
      </w:r>
      <w:r w:rsidR="6DDB868F" w:rsidRPr="3743CED7">
        <w:rPr>
          <w:color w:val="000000" w:themeColor="text1"/>
          <w:sz w:val="22"/>
          <w:szCs w:val="22"/>
        </w:rPr>
        <w:t>.</w:t>
      </w:r>
    </w:p>
    <w:p w14:paraId="769D5EB3" w14:textId="77777777" w:rsidR="000C7596" w:rsidRDefault="00263651">
      <w:pPr>
        <w:spacing w:before="120"/>
        <w:rPr>
          <w:sz w:val="22"/>
          <w:szCs w:val="22"/>
        </w:rPr>
      </w:pPr>
      <w:r w:rsidRPr="440A625D">
        <w:rPr>
          <w:b/>
          <w:bCs/>
          <w:smallCaps/>
          <w:sz w:val="22"/>
          <w:szCs w:val="22"/>
        </w:rPr>
        <w:t xml:space="preserve">Date Prepared: </w:t>
      </w:r>
      <w:r w:rsidR="00C83B49">
        <w:rPr>
          <w:sz w:val="22"/>
          <w:szCs w:val="22"/>
        </w:rPr>
        <w:t>June</w:t>
      </w:r>
      <w:r w:rsidR="000C7596" w:rsidRPr="440A625D">
        <w:rPr>
          <w:sz w:val="22"/>
          <w:szCs w:val="22"/>
        </w:rPr>
        <w:t xml:space="preserve"> </w:t>
      </w:r>
      <w:r w:rsidR="001D716D">
        <w:rPr>
          <w:sz w:val="22"/>
          <w:szCs w:val="22"/>
        </w:rPr>
        <w:t>1</w:t>
      </w:r>
      <w:r w:rsidR="00C83B49">
        <w:rPr>
          <w:sz w:val="22"/>
          <w:szCs w:val="22"/>
        </w:rPr>
        <w:t>5</w:t>
      </w:r>
      <w:r w:rsidR="000C7596" w:rsidRPr="440A625D">
        <w:rPr>
          <w:sz w:val="22"/>
          <w:szCs w:val="22"/>
        </w:rPr>
        <w:t>, 202</w:t>
      </w:r>
      <w:r w:rsidR="00C83B49">
        <w:rPr>
          <w:sz w:val="22"/>
          <w:szCs w:val="22"/>
        </w:rPr>
        <w:t>1</w:t>
      </w:r>
    </w:p>
    <w:sectPr w:rsidR="000C7596">
      <w:footerReference w:type="default" r:id="rId10"/>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56C2F" w14:textId="77777777" w:rsidR="000D0CBF" w:rsidRDefault="000D0CBF">
      <w:r>
        <w:separator/>
      </w:r>
    </w:p>
  </w:endnote>
  <w:endnote w:type="continuationSeparator" w:id="0">
    <w:p w14:paraId="53432B8C" w14:textId="77777777" w:rsidR="000D0CBF" w:rsidRDefault="000D0CBF">
      <w:r>
        <w:continuationSeparator/>
      </w:r>
    </w:p>
  </w:endnote>
  <w:endnote w:type="continuationNotice" w:id="1">
    <w:p w14:paraId="07096FD7" w14:textId="77777777" w:rsidR="000D0CBF" w:rsidRDefault="000D0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雀̻怀"/>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4877" w14:textId="77777777" w:rsidR="00567D6C" w:rsidRDefault="014260E4"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014260E4">
      <w:rPr>
        <w:rFonts w:ascii="Cambria" w:eastAsia="Cambria" w:hAnsi="Cambria" w:cs="Cambria"/>
        <w:color w:val="000000" w:themeColor="text1"/>
      </w:rPr>
      <w:t xml:space="preserve">Proposed Intro. No. </w:t>
    </w:r>
    <w:r w:rsidR="00C83B49">
      <w:rPr>
        <w:rFonts w:ascii="Cambria" w:eastAsia="Cambria" w:hAnsi="Cambria" w:cs="Cambria"/>
        <w:color w:val="000000" w:themeColor="text1"/>
      </w:rPr>
      <w:t>946</w:t>
    </w:r>
    <w:r w:rsidRPr="014260E4">
      <w:rPr>
        <w:rFonts w:ascii="Cambria" w:eastAsia="Cambria" w:hAnsi="Cambria" w:cs="Cambria"/>
        <w:color w:val="000000" w:themeColor="text1"/>
      </w:rPr>
      <w:t>-</w:t>
    </w:r>
    <w:r w:rsidR="00C83B49">
      <w:rPr>
        <w:rFonts w:ascii="Cambria" w:eastAsia="Cambria" w:hAnsi="Cambria" w:cs="Cambria"/>
        <w:color w:val="000000" w:themeColor="text1"/>
      </w:rPr>
      <w:t>B</w:t>
    </w:r>
    <w:r w:rsidRPr="014260E4">
      <w:rPr>
        <w:rFonts w:ascii="Cambria" w:eastAsia="Cambria" w:hAnsi="Cambria" w:cs="Cambri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3A45E" w14:textId="77777777" w:rsidR="000D0CBF" w:rsidRDefault="000D0CBF">
      <w:r>
        <w:separator/>
      </w:r>
    </w:p>
  </w:footnote>
  <w:footnote w:type="continuationSeparator" w:id="0">
    <w:p w14:paraId="18FC8776" w14:textId="77777777" w:rsidR="000D0CBF" w:rsidRDefault="000D0CBF">
      <w:r>
        <w:continuationSeparator/>
      </w:r>
    </w:p>
  </w:footnote>
  <w:footnote w:type="continuationNotice" w:id="1">
    <w:p w14:paraId="42F068FB" w14:textId="77777777" w:rsidR="000D0CBF" w:rsidRDefault="000D0CB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10B49"/>
    <w:rsid w:val="000766A7"/>
    <w:rsid w:val="00084F1C"/>
    <w:rsid w:val="000A5E0C"/>
    <w:rsid w:val="000C7596"/>
    <w:rsid w:val="000D0CBF"/>
    <w:rsid w:val="001004F4"/>
    <w:rsid w:val="00107082"/>
    <w:rsid w:val="00134E88"/>
    <w:rsid w:val="001462D6"/>
    <w:rsid w:val="0016015A"/>
    <w:rsid w:val="001979EB"/>
    <w:rsid w:val="001B7BF5"/>
    <w:rsid w:val="001C3BDD"/>
    <w:rsid w:val="001C783D"/>
    <w:rsid w:val="001D716D"/>
    <w:rsid w:val="00225854"/>
    <w:rsid w:val="00230B79"/>
    <w:rsid w:val="002314BE"/>
    <w:rsid w:val="00240C91"/>
    <w:rsid w:val="00257631"/>
    <w:rsid w:val="00263651"/>
    <w:rsid w:val="002A222A"/>
    <w:rsid w:val="002F6735"/>
    <w:rsid w:val="003468E2"/>
    <w:rsid w:val="00351419"/>
    <w:rsid w:val="00375E26"/>
    <w:rsid w:val="00396140"/>
    <w:rsid w:val="003A09F8"/>
    <w:rsid w:val="003A3D21"/>
    <w:rsid w:val="003B46E7"/>
    <w:rsid w:val="00400E8F"/>
    <w:rsid w:val="00410075"/>
    <w:rsid w:val="00424A38"/>
    <w:rsid w:val="0043368C"/>
    <w:rsid w:val="00442F83"/>
    <w:rsid w:val="00451DDA"/>
    <w:rsid w:val="004633AE"/>
    <w:rsid w:val="00484D83"/>
    <w:rsid w:val="00484E71"/>
    <w:rsid w:val="004A3694"/>
    <w:rsid w:val="004C7BC3"/>
    <w:rsid w:val="004D08CA"/>
    <w:rsid w:val="004D7B78"/>
    <w:rsid w:val="004F6270"/>
    <w:rsid w:val="00521C69"/>
    <w:rsid w:val="005326A3"/>
    <w:rsid w:val="005379D3"/>
    <w:rsid w:val="00567D6C"/>
    <w:rsid w:val="00576A7E"/>
    <w:rsid w:val="00580E5B"/>
    <w:rsid w:val="00587665"/>
    <w:rsid w:val="005A3566"/>
    <w:rsid w:val="005D3C94"/>
    <w:rsid w:val="005E5BCF"/>
    <w:rsid w:val="005E6A0A"/>
    <w:rsid w:val="00610EDE"/>
    <w:rsid w:val="00623E08"/>
    <w:rsid w:val="00644758"/>
    <w:rsid w:val="00666061"/>
    <w:rsid w:val="00670678"/>
    <w:rsid w:val="00694C06"/>
    <w:rsid w:val="006D5BFC"/>
    <w:rsid w:val="006F28DB"/>
    <w:rsid w:val="00725362"/>
    <w:rsid w:val="00734566"/>
    <w:rsid w:val="00742005"/>
    <w:rsid w:val="00751AF1"/>
    <w:rsid w:val="00763454"/>
    <w:rsid w:val="0077411A"/>
    <w:rsid w:val="007C751B"/>
    <w:rsid w:val="007D02ED"/>
    <w:rsid w:val="008162D6"/>
    <w:rsid w:val="0083596F"/>
    <w:rsid w:val="008705D7"/>
    <w:rsid w:val="00872EF0"/>
    <w:rsid w:val="008930E8"/>
    <w:rsid w:val="008A2D2F"/>
    <w:rsid w:val="008B0107"/>
    <w:rsid w:val="008D08BF"/>
    <w:rsid w:val="008F2B73"/>
    <w:rsid w:val="008F7888"/>
    <w:rsid w:val="00920A7B"/>
    <w:rsid w:val="00946BBF"/>
    <w:rsid w:val="0095779C"/>
    <w:rsid w:val="00974453"/>
    <w:rsid w:val="00985339"/>
    <w:rsid w:val="00986791"/>
    <w:rsid w:val="009D2045"/>
    <w:rsid w:val="009D584E"/>
    <w:rsid w:val="009E510C"/>
    <w:rsid w:val="009F1FF5"/>
    <w:rsid w:val="00A009C3"/>
    <w:rsid w:val="00A24772"/>
    <w:rsid w:val="00A26C55"/>
    <w:rsid w:val="00A50EB3"/>
    <w:rsid w:val="00A61305"/>
    <w:rsid w:val="00A85D43"/>
    <w:rsid w:val="00A97B87"/>
    <w:rsid w:val="00AD5802"/>
    <w:rsid w:val="00B11DE9"/>
    <w:rsid w:val="00B57C7B"/>
    <w:rsid w:val="00B74BC3"/>
    <w:rsid w:val="00B826BC"/>
    <w:rsid w:val="00BE2233"/>
    <w:rsid w:val="00C01ADB"/>
    <w:rsid w:val="00C37451"/>
    <w:rsid w:val="00C54BC5"/>
    <w:rsid w:val="00C628F2"/>
    <w:rsid w:val="00C6436A"/>
    <w:rsid w:val="00C83A5F"/>
    <w:rsid w:val="00C83B49"/>
    <w:rsid w:val="00C96069"/>
    <w:rsid w:val="00CF600E"/>
    <w:rsid w:val="00CF7C0C"/>
    <w:rsid w:val="00D11597"/>
    <w:rsid w:val="00D232B6"/>
    <w:rsid w:val="00D56D03"/>
    <w:rsid w:val="00D721C5"/>
    <w:rsid w:val="00D80F0C"/>
    <w:rsid w:val="00DE1452"/>
    <w:rsid w:val="00DE246D"/>
    <w:rsid w:val="00DF2580"/>
    <w:rsid w:val="00DF6EC4"/>
    <w:rsid w:val="00E045B0"/>
    <w:rsid w:val="00E80D0C"/>
    <w:rsid w:val="00E922FA"/>
    <w:rsid w:val="00E9489C"/>
    <w:rsid w:val="00EA1403"/>
    <w:rsid w:val="00EA2B23"/>
    <w:rsid w:val="00ED3059"/>
    <w:rsid w:val="00EF2B06"/>
    <w:rsid w:val="00EF4F89"/>
    <w:rsid w:val="00F14B29"/>
    <w:rsid w:val="00F729A0"/>
    <w:rsid w:val="00F77EA5"/>
    <w:rsid w:val="00F80C02"/>
    <w:rsid w:val="00F92022"/>
    <w:rsid w:val="00F93C88"/>
    <w:rsid w:val="014260E4"/>
    <w:rsid w:val="01EC1334"/>
    <w:rsid w:val="02D7240D"/>
    <w:rsid w:val="03779358"/>
    <w:rsid w:val="03DC2BD4"/>
    <w:rsid w:val="03DE066E"/>
    <w:rsid w:val="04060983"/>
    <w:rsid w:val="0429EA35"/>
    <w:rsid w:val="051F3E34"/>
    <w:rsid w:val="054E6CE4"/>
    <w:rsid w:val="0579D6CF"/>
    <w:rsid w:val="05C732F0"/>
    <w:rsid w:val="06BE3BE2"/>
    <w:rsid w:val="06D69940"/>
    <w:rsid w:val="0844707E"/>
    <w:rsid w:val="094BDAC1"/>
    <w:rsid w:val="0AF02B5C"/>
    <w:rsid w:val="0B1E65E1"/>
    <w:rsid w:val="0B69A7B1"/>
    <w:rsid w:val="0CBA96BB"/>
    <w:rsid w:val="1019BDBB"/>
    <w:rsid w:val="1046FE98"/>
    <w:rsid w:val="1223D471"/>
    <w:rsid w:val="1380BD38"/>
    <w:rsid w:val="13D246B1"/>
    <w:rsid w:val="14BC8340"/>
    <w:rsid w:val="14E7ED2B"/>
    <w:rsid w:val="150F8DD8"/>
    <w:rsid w:val="152096D9"/>
    <w:rsid w:val="15CDCE4B"/>
    <w:rsid w:val="16ADEB6C"/>
    <w:rsid w:val="16F74594"/>
    <w:rsid w:val="18A41EF6"/>
    <w:rsid w:val="192EDBD1"/>
    <w:rsid w:val="197CD49A"/>
    <w:rsid w:val="1B5A88AE"/>
    <w:rsid w:val="1B624363"/>
    <w:rsid w:val="1CBFE9C4"/>
    <w:rsid w:val="1D5E13E5"/>
    <w:rsid w:val="1DD78519"/>
    <w:rsid w:val="20267BD2"/>
    <w:rsid w:val="211A9673"/>
    <w:rsid w:val="215B6C2E"/>
    <w:rsid w:val="220B6722"/>
    <w:rsid w:val="232FF8E0"/>
    <w:rsid w:val="236998A4"/>
    <w:rsid w:val="242A999C"/>
    <w:rsid w:val="243EAD9D"/>
    <w:rsid w:val="266F41B4"/>
    <w:rsid w:val="26F40C17"/>
    <w:rsid w:val="2787AFFC"/>
    <w:rsid w:val="27B2CDC3"/>
    <w:rsid w:val="27EF949A"/>
    <w:rsid w:val="27FA0914"/>
    <w:rsid w:val="281F7EB2"/>
    <w:rsid w:val="2923805D"/>
    <w:rsid w:val="294D4D7C"/>
    <w:rsid w:val="297A6619"/>
    <w:rsid w:val="299B6607"/>
    <w:rsid w:val="2B7D9131"/>
    <w:rsid w:val="2B94BA6F"/>
    <w:rsid w:val="2BD306E2"/>
    <w:rsid w:val="2C12CBDF"/>
    <w:rsid w:val="2C9534FF"/>
    <w:rsid w:val="2CAE2BB7"/>
    <w:rsid w:val="2D861D58"/>
    <w:rsid w:val="2E71C243"/>
    <w:rsid w:val="2E93B864"/>
    <w:rsid w:val="30150D19"/>
    <w:rsid w:val="3048B122"/>
    <w:rsid w:val="305102D6"/>
    <w:rsid w:val="314CE4A3"/>
    <w:rsid w:val="3158C940"/>
    <w:rsid w:val="3168EF86"/>
    <w:rsid w:val="33751B3F"/>
    <w:rsid w:val="33A5862C"/>
    <w:rsid w:val="33EAD8A0"/>
    <w:rsid w:val="3428CCA9"/>
    <w:rsid w:val="349330FF"/>
    <w:rsid w:val="34EEC5D8"/>
    <w:rsid w:val="355C1D3A"/>
    <w:rsid w:val="35794477"/>
    <w:rsid w:val="36B68915"/>
    <w:rsid w:val="3743CED7"/>
    <w:rsid w:val="37681F70"/>
    <w:rsid w:val="3779291E"/>
    <w:rsid w:val="37D092C4"/>
    <w:rsid w:val="3853F4DD"/>
    <w:rsid w:val="3ACBD354"/>
    <w:rsid w:val="3B14B0D1"/>
    <w:rsid w:val="3B6523E2"/>
    <w:rsid w:val="3B9E3233"/>
    <w:rsid w:val="3BDA0691"/>
    <w:rsid w:val="3C0A99C0"/>
    <w:rsid w:val="3C3076D0"/>
    <w:rsid w:val="3CB410C9"/>
    <w:rsid w:val="3DCC89AE"/>
    <w:rsid w:val="3E36125F"/>
    <w:rsid w:val="3E9638DF"/>
    <w:rsid w:val="3EB0F1AC"/>
    <w:rsid w:val="4082BF4B"/>
    <w:rsid w:val="41ECC28C"/>
    <w:rsid w:val="42A8402D"/>
    <w:rsid w:val="42C72C3A"/>
    <w:rsid w:val="42DFBD58"/>
    <w:rsid w:val="43068A0B"/>
    <w:rsid w:val="43AD7201"/>
    <w:rsid w:val="43F2A103"/>
    <w:rsid w:val="440A625D"/>
    <w:rsid w:val="444812D5"/>
    <w:rsid w:val="44711044"/>
    <w:rsid w:val="44B1D69E"/>
    <w:rsid w:val="45203EED"/>
    <w:rsid w:val="4606EC58"/>
    <w:rsid w:val="46EC434C"/>
    <w:rsid w:val="479133B6"/>
    <w:rsid w:val="479B997C"/>
    <w:rsid w:val="47C8359A"/>
    <w:rsid w:val="4860FD2C"/>
    <w:rsid w:val="48C48E38"/>
    <w:rsid w:val="48C5931B"/>
    <w:rsid w:val="49BCEB24"/>
    <w:rsid w:val="4AE051C8"/>
    <w:rsid w:val="4B0E1898"/>
    <w:rsid w:val="4B8B276C"/>
    <w:rsid w:val="4C602D95"/>
    <w:rsid w:val="4CCF5E97"/>
    <w:rsid w:val="4ECF4291"/>
    <w:rsid w:val="4ED64692"/>
    <w:rsid w:val="4EDB94BE"/>
    <w:rsid w:val="4F94A641"/>
    <w:rsid w:val="4F9E8C05"/>
    <w:rsid w:val="4FD0313A"/>
    <w:rsid w:val="501F2B97"/>
    <w:rsid w:val="513A5C66"/>
    <w:rsid w:val="51417FA3"/>
    <w:rsid w:val="51EDCC10"/>
    <w:rsid w:val="5206E353"/>
    <w:rsid w:val="52311C6F"/>
    <w:rsid w:val="52D23B50"/>
    <w:rsid w:val="54F58B26"/>
    <w:rsid w:val="54FFE61A"/>
    <w:rsid w:val="550E3137"/>
    <w:rsid w:val="55EDD73E"/>
    <w:rsid w:val="55FEF71B"/>
    <w:rsid w:val="56A63D9C"/>
    <w:rsid w:val="56E53D3E"/>
    <w:rsid w:val="575CBA70"/>
    <w:rsid w:val="59049E2C"/>
    <w:rsid w:val="59B0441A"/>
    <w:rsid w:val="59D0F26A"/>
    <w:rsid w:val="5B4192A4"/>
    <w:rsid w:val="5B59BEE2"/>
    <w:rsid w:val="5B949D3C"/>
    <w:rsid w:val="5D61E467"/>
    <w:rsid w:val="5D69A7D0"/>
    <w:rsid w:val="5DBEE50D"/>
    <w:rsid w:val="5DDD319C"/>
    <w:rsid w:val="5E8D3B2E"/>
    <w:rsid w:val="5F14580A"/>
    <w:rsid w:val="60FD10F1"/>
    <w:rsid w:val="6478A643"/>
    <w:rsid w:val="64B70867"/>
    <w:rsid w:val="64B9E3D1"/>
    <w:rsid w:val="6609720D"/>
    <w:rsid w:val="660EC505"/>
    <w:rsid w:val="6694522D"/>
    <w:rsid w:val="66BAA6A5"/>
    <w:rsid w:val="6705AF26"/>
    <w:rsid w:val="6786EE61"/>
    <w:rsid w:val="67AA0B8C"/>
    <w:rsid w:val="68028D94"/>
    <w:rsid w:val="68A17F87"/>
    <w:rsid w:val="699B0490"/>
    <w:rsid w:val="6A2F3692"/>
    <w:rsid w:val="6AC7D53E"/>
    <w:rsid w:val="6B1ADFD6"/>
    <w:rsid w:val="6BE04386"/>
    <w:rsid w:val="6C256010"/>
    <w:rsid w:val="6C2AFBF1"/>
    <w:rsid w:val="6C2C2AE1"/>
    <w:rsid w:val="6CCDDF5B"/>
    <w:rsid w:val="6CF18E91"/>
    <w:rsid w:val="6D600F8C"/>
    <w:rsid w:val="6DDB868F"/>
    <w:rsid w:val="6E312A5E"/>
    <w:rsid w:val="6E863BB5"/>
    <w:rsid w:val="6ED9464D"/>
    <w:rsid w:val="6EE42939"/>
    <w:rsid w:val="6EF902C0"/>
    <w:rsid w:val="6F61292A"/>
    <w:rsid w:val="6FEFB76E"/>
    <w:rsid w:val="7011442C"/>
    <w:rsid w:val="70837988"/>
    <w:rsid w:val="70FDBACD"/>
    <w:rsid w:val="71976ABA"/>
    <w:rsid w:val="719870C9"/>
    <w:rsid w:val="71FB7E53"/>
    <w:rsid w:val="722C90CD"/>
    <w:rsid w:val="722D4921"/>
    <w:rsid w:val="7295DCBF"/>
    <w:rsid w:val="73A6DEDA"/>
    <w:rsid w:val="743DF85B"/>
    <w:rsid w:val="745BE2EC"/>
    <w:rsid w:val="74C7E83F"/>
    <w:rsid w:val="757F0670"/>
    <w:rsid w:val="7620BAEA"/>
    <w:rsid w:val="763AC8C2"/>
    <w:rsid w:val="76B95496"/>
    <w:rsid w:val="7766BE2C"/>
    <w:rsid w:val="77AE0240"/>
    <w:rsid w:val="785CB613"/>
    <w:rsid w:val="78A0FD0C"/>
    <w:rsid w:val="78E82E33"/>
    <w:rsid w:val="79559033"/>
    <w:rsid w:val="7A1DBF5C"/>
    <w:rsid w:val="7A70C9F4"/>
    <w:rsid w:val="7A8802FD"/>
    <w:rsid w:val="7B033B12"/>
    <w:rsid w:val="7BE62898"/>
    <w:rsid w:val="7D44571D"/>
    <w:rsid w:val="7D44EE95"/>
    <w:rsid w:val="7D69CCBB"/>
    <w:rsid w:val="7D6EC4E9"/>
    <w:rsid w:val="7D75956F"/>
    <w:rsid w:val="7DF1EF8E"/>
    <w:rsid w:val="7E24B4FB"/>
    <w:rsid w:val="7E37E83A"/>
    <w:rsid w:val="7E475CA9"/>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DA8B"/>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88"/>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semiHidden/>
    <w:unhideWhenUsed/>
    <w:rsid w:val="000C7596"/>
    <w:rPr>
      <w:color w:val="0000FF"/>
      <w:u w:val="single"/>
    </w:rPr>
  </w:style>
  <w:style w:type="paragraph" w:styleId="NormalWeb">
    <w:name w:val="Normal (Web)"/>
    <w:basedOn w:val="Normal"/>
    <w:uiPriority w:val="99"/>
    <w:unhideWhenUsed/>
    <w:rsid w:val="00C960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61">
      <w:bodyDiv w:val="1"/>
      <w:marLeft w:val="0"/>
      <w:marRight w:val="0"/>
      <w:marTop w:val="0"/>
      <w:marBottom w:val="0"/>
      <w:divBdr>
        <w:top w:val="none" w:sz="0" w:space="0" w:color="auto"/>
        <w:left w:val="none" w:sz="0" w:space="0" w:color="auto"/>
        <w:bottom w:val="none" w:sz="0" w:space="0" w:color="auto"/>
        <w:right w:val="none" w:sz="0" w:space="0" w:color="auto"/>
      </w:divBdr>
      <w:divsChild>
        <w:div w:id="386729845">
          <w:marLeft w:val="0"/>
          <w:marRight w:val="0"/>
          <w:marTop w:val="0"/>
          <w:marBottom w:val="0"/>
          <w:divBdr>
            <w:top w:val="none" w:sz="0" w:space="0" w:color="auto"/>
            <w:left w:val="none" w:sz="0" w:space="0" w:color="auto"/>
            <w:bottom w:val="none" w:sz="0" w:space="0" w:color="auto"/>
            <w:right w:val="none" w:sz="0" w:space="0" w:color="auto"/>
          </w:divBdr>
        </w:div>
        <w:div w:id="216821498">
          <w:marLeft w:val="0"/>
          <w:marRight w:val="0"/>
          <w:marTop w:val="0"/>
          <w:marBottom w:val="0"/>
          <w:divBdr>
            <w:top w:val="none" w:sz="0" w:space="0" w:color="auto"/>
            <w:left w:val="none" w:sz="0" w:space="0" w:color="auto"/>
            <w:bottom w:val="none" w:sz="0" w:space="0" w:color="auto"/>
            <w:right w:val="none" w:sz="0" w:space="0" w:color="auto"/>
          </w:divBdr>
        </w:div>
        <w:div w:id="215166052">
          <w:marLeft w:val="0"/>
          <w:marRight w:val="0"/>
          <w:marTop w:val="0"/>
          <w:marBottom w:val="0"/>
          <w:divBdr>
            <w:top w:val="none" w:sz="0" w:space="0" w:color="auto"/>
            <w:left w:val="none" w:sz="0" w:space="0" w:color="auto"/>
            <w:bottom w:val="none" w:sz="0" w:space="0" w:color="auto"/>
            <w:right w:val="none" w:sz="0" w:space="0" w:color="auto"/>
          </w:divBdr>
        </w:div>
      </w:divsChild>
    </w:div>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454566598">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1178366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338728377">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D75DE547AD54DB3FB04D3CD44C042" ma:contentTypeVersion="12" ma:contentTypeDescription="Create a new document." ma:contentTypeScope="" ma:versionID="a4c4c0dbbf1b1d941480600cab18781e">
  <xsd:schema xmlns:xsd="http://www.w3.org/2001/XMLSchema" xmlns:xs="http://www.w3.org/2001/XMLSchema" xmlns:p="http://schemas.microsoft.com/office/2006/metadata/properties" xmlns:ns3="b1dfc10c-283f-4e27-9002-c334f7ba68af" xmlns:ns4="cb2d9fee-ee6e-4bc5-8e56-469bc74d2806" targetNamespace="http://schemas.microsoft.com/office/2006/metadata/properties" ma:root="true" ma:fieldsID="befae3807d952bf52d644ba49538023b" ns3:_="" ns4:_="">
    <xsd:import namespace="b1dfc10c-283f-4e27-9002-c334f7ba68af"/>
    <xsd:import namespace="cb2d9fee-ee6e-4bc5-8e56-469bc74d2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c10c-283f-4e27-9002-c334f7b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d9fee-ee6e-4bc5-8e56-469bc74d2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2.xml><?xml version="1.0" encoding="utf-8"?>
<ds:datastoreItem xmlns:ds="http://schemas.openxmlformats.org/officeDocument/2006/customXml" ds:itemID="{25F93AD2-F7ED-4E61-89C0-07EA23559282}">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cb2d9fee-ee6e-4bc5-8e56-469bc74d2806"/>
    <ds:schemaRef ds:uri="http://purl.org/dc/dcmitype/"/>
    <ds:schemaRef ds:uri="b1dfc10c-283f-4e27-9002-c334f7ba68af"/>
    <ds:schemaRef ds:uri="http://purl.org/dc/elements/1.1/"/>
  </ds:schemaRefs>
</ds:datastoreItem>
</file>

<file path=customXml/itemProps3.xml><?xml version="1.0" encoding="utf-8"?>
<ds:datastoreItem xmlns:ds="http://schemas.openxmlformats.org/officeDocument/2006/customXml" ds:itemID="{4C678B22-4055-4355-B387-CAF11A4B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c10c-283f-4e27-9002-c334f7ba68af"/>
    <ds:schemaRef ds:uri="cb2d9fee-ee6e-4bc5-8e56-469bc74d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Obichere, Chima</dc:creator>
  <cp:keywords/>
  <cp:lastModifiedBy>DelFranco, Ruthie</cp:lastModifiedBy>
  <cp:revision>2</cp:revision>
  <dcterms:created xsi:type="dcterms:W3CDTF">2021-06-17T00:41:00Z</dcterms:created>
  <dcterms:modified xsi:type="dcterms:W3CDTF">2021-06-17T00:41:00Z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0x01010040BD75DE547AD54DB3FB04D3CD44C042</vt:lpwstr>
  </property>
</Properties>
</file>