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DB442D" w14:paraId="3AA37586" w14:textId="77777777" w:rsidTr="00F25382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0994996C" w14:textId="77777777" w:rsidR="00DB442D" w:rsidRDefault="00DB442D" w:rsidP="00FF017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AE04862" wp14:editId="4945A3E1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E765D" w14:textId="77777777" w:rsidR="00DB442D" w:rsidRDefault="00DB442D" w:rsidP="00D23C20">
            <w:pPr>
              <w:jc w:val="center"/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1F9F951F" w14:textId="77777777" w:rsidR="00DB442D" w:rsidRDefault="00DB442D" w:rsidP="00D23C20">
            <w:pPr>
              <w:jc w:val="lef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482876BD" w14:textId="77777777" w:rsidR="00DB442D" w:rsidRDefault="00DB442D" w:rsidP="00D23C20">
            <w:pPr>
              <w:jc w:val="lef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53601E81" w14:textId="77777777" w:rsidR="00DB442D" w:rsidRPr="00D67E2E" w:rsidRDefault="00DB442D" w:rsidP="00D23C20">
            <w:pPr>
              <w:spacing w:before="120"/>
              <w:jc w:val="left"/>
              <w:rPr>
                <w:bCs/>
                <w:smallCaps/>
              </w:rPr>
            </w:pPr>
            <w:r w:rsidRPr="00D67E2E">
              <w:rPr>
                <w:bCs/>
                <w:smallCaps/>
              </w:rPr>
              <w:t>Latonia McKinney, Director</w:t>
            </w:r>
          </w:p>
          <w:p w14:paraId="297F1FA5" w14:textId="77777777" w:rsidR="00DB442D" w:rsidRDefault="00DB442D" w:rsidP="00D23C20">
            <w:pPr>
              <w:spacing w:before="120"/>
              <w:jc w:val="left"/>
            </w:pPr>
            <w:r>
              <w:rPr>
                <w:b/>
                <w:bCs/>
                <w:smallCaps/>
              </w:rPr>
              <w:t>Fiscal Impact Statement</w:t>
            </w:r>
          </w:p>
          <w:p w14:paraId="0CEDBC2F" w14:textId="77777777" w:rsidR="00DB442D" w:rsidRPr="00ED74D9" w:rsidRDefault="00DB442D" w:rsidP="00D23C20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1759163E" w14:textId="77777777" w:rsidR="00DB442D" w:rsidRPr="00A267C7" w:rsidRDefault="00DB442D" w:rsidP="00D23C20">
            <w:pPr>
              <w:jc w:val="left"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Intro.</w:t>
            </w:r>
            <w:r w:rsidR="00C22979">
              <w:rPr>
                <w:b/>
                <w:bCs/>
                <w:smallCaps/>
              </w:rPr>
              <w:t xml:space="preserve"> </w:t>
            </w:r>
            <w:r w:rsidR="001E3EFD">
              <w:rPr>
                <w:b/>
                <w:bCs/>
                <w:smallCaps/>
              </w:rPr>
              <w:t>No</w:t>
            </w:r>
            <w:r w:rsidR="00886309">
              <w:rPr>
                <w:b/>
                <w:bCs/>
                <w:smallCaps/>
              </w:rPr>
              <w:t>.</w:t>
            </w:r>
            <w:r w:rsidR="001A33FF">
              <w:rPr>
                <w:b/>
                <w:bCs/>
                <w:smallCaps/>
              </w:rPr>
              <w:t xml:space="preserve"> </w:t>
            </w:r>
            <w:r w:rsidR="00E54BBF">
              <w:rPr>
                <w:b/>
                <w:bCs/>
                <w:smallCaps/>
              </w:rPr>
              <w:t>2268</w:t>
            </w:r>
            <w:r w:rsidR="001A33FF" w:rsidRPr="001A33FF">
              <w:rPr>
                <w:b/>
                <w:bCs/>
                <w:smallCaps/>
              </w:rPr>
              <w:cr/>
            </w:r>
          </w:p>
          <w:p w14:paraId="4FB700B8" w14:textId="77777777" w:rsidR="00DB442D" w:rsidRPr="00A267C7" w:rsidRDefault="00DB442D" w:rsidP="00D23C20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="00D23C20">
              <w:rPr>
                <w:b/>
                <w:bCs/>
              </w:rPr>
              <w:t>Finance</w:t>
            </w:r>
          </w:p>
        </w:tc>
      </w:tr>
      <w:tr w:rsidR="00DB442D" w:rsidRPr="00ED74D9" w14:paraId="75B10AF1" w14:textId="77777777" w:rsidTr="00F25382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2BE077FD" w14:textId="77777777" w:rsidR="00DB442D" w:rsidRPr="00300CC8" w:rsidRDefault="00814B2B" w:rsidP="00300CC8">
            <w:pPr>
              <w:pStyle w:val="BlockNarrow"/>
              <w:spacing w:after="0"/>
              <w:ind w:left="0" w:right="0"/>
              <w:rPr>
                <w:spacing w:val="-3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title:</w:t>
            </w:r>
            <w:r w:rsidRPr="005E650C">
              <w:rPr>
                <w:b/>
                <w:bCs/>
                <w:sz w:val="22"/>
                <w:szCs w:val="22"/>
              </w:rPr>
              <w:t xml:space="preserve"> </w:t>
            </w:r>
            <w:r w:rsidR="00E54BBF">
              <w:t xml:space="preserve">A Local Law to amend the </w:t>
            </w:r>
            <w:r w:rsidR="00E54BBF">
              <w:rPr>
                <w:spacing w:val="-3"/>
              </w:rPr>
              <w:t>administrative code of the city of New York, in relation to amending the District Plan of the Queens Plaza/Court Square business improvement district to change the method of assessment upon wh</w:t>
            </w:r>
            <w:r w:rsidR="00300CC8">
              <w:rPr>
                <w:spacing w:val="-3"/>
              </w:rPr>
              <w:t>ich the district charge is based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5D67E45F" w14:textId="194B1ADD" w:rsidR="00DB442D" w:rsidRPr="00706E47" w:rsidRDefault="00D15D2A" w:rsidP="009B17D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Sponsor</w:t>
            </w:r>
            <w:r w:rsidR="00DB442D" w:rsidRPr="002C0403">
              <w:rPr>
                <w:b/>
                <w:bCs/>
                <w:sz w:val="22"/>
                <w:szCs w:val="22"/>
              </w:rPr>
              <w:t xml:space="preserve">: </w:t>
            </w:r>
            <w:r w:rsidR="00590D91">
              <w:t>Council Member Dromm</w:t>
            </w:r>
            <w:r w:rsidR="00E54BBF">
              <w:t xml:space="preserve"> </w:t>
            </w:r>
            <w:r w:rsidR="00D23C20" w:rsidRPr="00A25F14">
              <w:t>(by request of the Mayor)</w:t>
            </w:r>
          </w:p>
        </w:tc>
      </w:tr>
    </w:tbl>
    <w:p w14:paraId="23FDB81D" w14:textId="77777777" w:rsidR="00D23C20" w:rsidRDefault="00D23C20" w:rsidP="00D23C20">
      <w:pPr>
        <w:rPr>
          <w:b/>
          <w:smallCaps/>
        </w:rPr>
      </w:pPr>
    </w:p>
    <w:p w14:paraId="578CEE0D" w14:textId="77777777" w:rsidR="00D23C20" w:rsidRDefault="00D23C20" w:rsidP="005D25F2">
      <w:r w:rsidRPr="00E94C45">
        <w:rPr>
          <w:b/>
          <w:smallCaps/>
        </w:rPr>
        <w:t>Summary of Legislation:</w:t>
      </w:r>
      <w:r w:rsidRPr="00E94C45">
        <w:t xml:space="preserve">  </w:t>
      </w:r>
      <w:r w:rsidR="00066E75">
        <w:t>Business Improvement Districts (BIDs) raise fundi</w:t>
      </w:r>
      <w:r w:rsidR="00797A41">
        <w:t>ng</w:t>
      </w:r>
      <w:r w:rsidR="00F13F11">
        <w:t>, primarily through special assessments,</w:t>
      </w:r>
      <w:r w:rsidR="00797A41">
        <w:t xml:space="preserve"> to provide services </w:t>
      </w:r>
      <w:r w:rsidR="00066E75">
        <w:t>independent of those already provided by the City.</w:t>
      </w:r>
      <w:r w:rsidR="00F13F11">
        <w:t xml:space="preserve"> S</w:t>
      </w:r>
      <w:r w:rsidR="00066E75">
        <w:t>pecial assessments are</w:t>
      </w:r>
      <w:r w:rsidR="00F13F11">
        <w:t xml:space="preserve"> additional charges</w:t>
      </w:r>
      <w:r w:rsidR="00066E75">
        <w:t xml:space="preserve"> </w:t>
      </w:r>
      <w:r w:rsidR="00ED4CE7">
        <w:t>billed to proper</w:t>
      </w:r>
      <w:r w:rsidR="00066E75">
        <w:t xml:space="preserve">ty owners within a </w:t>
      </w:r>
      <w:r w:rsidR="00F13F11">
        <w:t xml:space="preserve">BID that </w:t>
      </w:r>
      <w:r w:rsidR="00ED4CE7">
        <w:t>are collected as part of</w:t>
      </w:r>
      <w:r w:rsidRPr="00E94C45">
        <w:t xml:space="preserve"> the City</w:t>
      </w:r>
      <w:r w:rsidR="00F13F11">
        <w:t>’s property tax collection system.</w:t>
      </w:r>
      <w:r w:rsidR="005D25F2">
        <w:t xml:space="preserve"> </w:t>
      </w:r>
      <w:r w:rsidR="005D25F2" w:rsidRPr="00E94C45">
        <w:t>Th</w:t>
      </w:r>
      <w:r w:rsidR="005D25F2">
        <w:t xml:space="preserve">is legislation </w:t>
      </w:r>
      <w:r w:rsidR="00E54BBF">
        <w:t>would authorize a change</w:t>
      </w:r>
      <w:r w:rsidR="006B3BC3">
        <w:t xml:space="preserve"> in the method of assessment for the</w:t>
      </w:r>
      <w:r w:rsidR="00E54BBF">
        <w:t xml:space="preserve"> district charge for the Queens Plaza/Court Square BID</w:t>
      </w:r>
      <w:r w:rsidR="006B3BC3">
        <w:t xml:space="preserve">. </w:t>
      </w:r>
    </w:p>
    <w:p w14:paraId="5495476E" w14:textId="77777777" w:rsidR="00066E75" w:rsidRPr="00E94C45" w:rsidRDefault="00066E75" w:rsidP="00D23C20"/>
    <w:p w14:paraId="7DE23793" w14:textId="2B8BD403" w:rsidR="00D23C20" w:rsidRPr="00E94C45" w:rsidRDefault="00D23C20" w:rsidP="00D23C20">
      <w:r w:rsidRPr="00E94C45">
        <w:rPr>
          <w:b/>
          <w:smallCaps/>
        </w:rPr>
        <w:t>Effective Date:</w:t>
      </w:r>
      <w:r w:rsidR="00300CC8">
        <w:t xml:space="preserve"> This local law </w:t>
      </w:r>
      <w:r w:rsidR="00054EFC">
        <w:t xml:space="preserve">would </w:t>
      </w:r>
      <w:r w:rsidR="00300CC8">
        <w:t>take effect on June 30, 2021, provided that if it become</w:t>
      </w:r>
      <w:r w:rsidR="00054EFC">
        <w:t>s</w:t>
      </w:r>
      <w:r w:rsidR="00300CC8">
        <w:t xml:space="preserve"> a law subsequent to such day, this local law </w:t>
      </w:r>
      <w:r w:rsidR="00054EFC">
        <w:t xml:space="preserve">would </w:t>
      </w:r>
      <w:r w:rsidR="00300CC8">
        <w:t xml:space="preserve">take effect immediately and shall be retroactive to and deemed to have been in full force and effect as of June 30, 2021. </w:t>
      </w:r>
      <w:r w:rsidRPr="00E94C45">
        <w:tab/>
      </w:r>
    </w:p>
    <w:p w14:paraId="6A7B02D4" w14:textId="77777777" w:rsidR="00D23C20" w:rsidRPr="00E94C45" w:rsidRDefault="00D23C20" w:rsidP="00D23C20"/>
    <w:p w14:paraId="0C2865BF" w14:textId="77777777" w:rsidR="00D23C20" w:rsidRPr="003D4901" w:rsidRDefault="00D23C20" w:rsidP="00D23C20">
      <w:pPr>
        <w:rPr>
          <w:color w:val="FF0000"/>
        </w:rPr>
      </w:pPr>
      <w:r w:rsidRPr="00E94C45">
        <w:rPr>
          <w:b/>
          <w:smallCaps/>
        </w:rPr>
        <w:t>Fiscal Year in Which Full Fiscal Impact Anticipated:</w:t>
      </w:r>
      <w:r w:rsidRPr="00E94C45">
        <w:t xml:space="preserve"> Fiscal </w:t>
      </w:r>
      <w:r w:rsidR="002E324A">
        <w:t xml:space="preserve">Year </w:t>
      </w:r>
      <w:r w:rsidR="00300CC8">
        <w:t>2022</w:t>
      </w:r>
    </w:p>
    <w:p w14:paraId="04D404FE" w14:textId="77777777" w:rsidR="002E324A" w:rsidRPr="00E94C45" w:rsidRDefault="002E324A" w:rsidP="00D23C20"/>
    <w:p w14:paraId="54D02504" w14:textId="77777777" w:rsidR="00D23C20" w:rsidRPr="00F53788" w:rsidRDefault="00D23C20" w:rsidP="00D23C20">
      <w:pPr>
        <w:spacing w:line="28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FACC522" wp14:editId="72136D62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778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8F01ADC" id="Rectangle 2" o:spid="_x0000_s1026" style="position:absolute;margin-left:36pt;margin-top:0;width:540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nH5wIAADA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kcYCdJCij6CaERsOEWRlafvdA5eT92jsgR19yDLrxoJuWjAi86Ukn1DSQWgQuvvX12whoaraN2/&#10;kxVEJ1sjnVL7WrU2IGiA9i4hh3NC6N6gEjYn6TgNAshbCWdhkqQuYT7JT5c7pc0bKltkFwVWAN0F&#10;J7sHbSwYkp9cHHjJWbVinDtDbdYLrtCO2NpwP4cfOF66cWGdhbTXhojDDnXVNTxDckAMS+tpsbvM&#10;/8jCKA7mUeatJmnixat47GVJkHpBmM2zSRBn8f3qp4UbxnnDqoqKByboqQrD+GVZPvbDUD+uDlFv&#10;hXQUL4nol/FtmYGO5KwtsNUe1AfWJLcpXorKrQ1hfFj719id4CDAtQ6z1ThI4lHqJcl45MWjZeDN&#10;09XCmy3CySRZzhfzZXitw9Jpq/9dCgfklChryC2we2qqHlXMVsxonEUhBgNmQpQMfBHhGxhmpVEY&#10;KWm+MNO4TjyreilkGtj/sXDO0Qchnh++0OnI7VkqqNFT9bjese0ytN1aVgdoHcBgn7ZjFhaNVN8x&#10;6mFkFVh/2xJFMeJvBbRfFsaxnXHOiMdJBIa6PFlfnhBRQqgCG4yG5cIMc3HbKbZp4KXQ1ZCQM2jZ&#10;mrl2su08oAL81oCx5JgcR6ide5e283oe9NNfAAAA//8DAFBLAwQUAAYACAAAACEAI2KpldoAAAAG&#10;AQAADwAAAGRycy9kb3ducmV2LnhtbEyPwU7DMBBE70j8g7VI3KjTlIYojVMBElekply4OfGSRI3X&#10;Jnbb8PdsTnBZaTSrmTflfrajuOAUBkcK1qsEBFLrzECdgo/j20MOIkRNRo+OUMEPBthXtzelLoy7&#10;0gEvdewEh1AotII+Rl9IGdoerQ4r55HY+3KT1ZHl1Ekz6SuH21GmSZJJqwfihl57fO2xPdVny72f&#10;mzrx+fdLR/b98dBkftNkW6Xu7+bnHYiIc/x7hgWf0aFipsadyQQxKnhKeUpUwHdx19tFNwrSHGRV&#10;yv/41S8AAAD//wMAUEsBAi0AFAAGAAgAAAAhALaDOJL+AAAA4QEAABMAAAAAAAAAAAAAAAAAAAAA&#10;AFtDb250ZW50X1R5cGVzXS54bWxQSwECLQAUAAYACAAAACEAOP0h/9YAAACUAQAACwAAAAAAAAAA&#10;AAAAAAAvAQAAX3JlbHMvLnJlbHNQSwECLQAUAAYACAAAACEAgXg5x+cCAAAwBgAADgAAAAAAAAAA&#10;AAAAAAAuAgAAZHJzL2Uyb0RvYy54bWxQSwECLQAUAAYACAAAACEAI2KpldoAAAAG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028F2C1" w14:textId="77777777" w:rsidR="00D23C20" w:rsidRPr="00F53788" w:rsidRDefault="00D23C20" w:rsidP="00D23C20">
      <w:pPr>
        <w:rPr>
          <w:sz w:val="22"/>
          <w:szCs w:val="22"/>
        </w:rPr>
      </w:pPr>
    </w:p>
    <w:p w14:paraId="4DF5A9F5" w14:textId="77777777" w:rsidR="00D23C20" w:rsidRDefault="00D23C20" w:rsidP="005D25F2">
      <w:pPr>
        <w:rPr>
          <w:b/>
          <w:smallCaps/>
        </w:rPr>
      </w:pPr>
      <w:r w:rsidRPr="00E94C45">
        <w:rPr>
          <w:b/>
          <w:smallCaps/>
        </w:rPr>
        <w:t>Fiscal Impact Statement:</w:t>
      </w:r>
    </w:p>
    <w:p w14:paraId="6485FFA8" w14:textId="77777777" w:rsidR="00D23C20" w:rsidRPr="00E94C45" w:rsidRDefault="00D23C20" w:rsidP="005D25F2"/>
    <w:tbl>
      <w:tblPr>
        <w:tblW w:w="7920" w:type="dxa"/>
        <w:jc w:val="center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16"/>
        <w:gridCol w:w="1810"/>
        <w:gridCol w:w="1997"/>
        <w:gridCol w:w="1997"/>
      </w:tblGrid>
      <w:tr w:rsidR="00D23C20" w:rsidRPr="00F53788" w14:paraId="5CD07D0D" w14:textId="77777777" w:rsidTr="00B61E7A">
        <w:trPr>
          <w:jc w:val="center"/>
        </w:trPr>
        <w:tc>
          <w:tcPr>
            <w:tcW w:w="1966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3ADC034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B33B25" w14:textId="77777777" w:rsidR="00D23C20" w:rsidRPr="00F53788" w:rsidRDefault="0051480B" w:rsidP="00B61E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Effective FY21</w:t>
            </w:r>
          </w:p>
        </w:tc>
        <w:tc>
          <w:tcPr>
            <w:tcW w:w="185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5F0D361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  <w:r w:rsidRPr="00F53788">
              <w:rPr>
                <w:b/>
                <w:sz w:val="22"/>
                <w:szCs w:val="22"/>
              </w:rPr>
              <w:t>FY Succeeding</w:t>
            </w:r>
          </w:p>
          <w:p w14:paraId="62EA2161" w14:textId="77777777" w:rsidR="00D23C20" w:rsidRPr="00F53788" w:rsidRDefault="00FA1456" w:rsidP="00B61E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Effective FY</w:t>
            </w:r>
            <w:r w:rsidR="00FC0FB2">
              <w:rPr>
                <w:b/>
                <w:sz w:val="22"/>
                <w:szCs w:val="22"/>
              </w:rPr>
              <w:t>2</w:t>
            </w:r>
            <w:r w:rsidR="002277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B0F6AB7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  <w:r w:rsidRPr="00F53788">
              <w:rPr>
                <w:b/>
                <w:sz w:val="22"/>
                <w:szCs w:val="22"/>
              </w:rPr>
              <w:t>Full Fiscal</w:t>
            </w:r>
          </w:p>
          <w:p w14:paraId="297DDE93" w14:textId="77777777" w:rsidR="00D23C20" w:rsidRPr="00F53788" w:rsidRDefault="00880AA5" w:rsidP="00B61E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Impact FY2</w:t>
            </w:r>
            <w:r w:rsidR="005D75F0">
              <w:rPr>
                <w:b/>
                <w:sz w:val="22"/>
                <w:szCs w:val="22"/>
              </w:rPr>
              <w:t>2</w:t>
            </w:r>
          </w:p>
        </w:tc>
      </w:tr>
      <w:tr w:rsidR="00D23C20" w:rsidRPr="00F53788" w14:paraId="4FA28D5E" w14:textId="77777777" w:rsidTr="00B61E7A">
        <w:trPr>
          <w:jc w:val="center"/>
        </w:trPr>
        <w:tc>
          <w:tcPr>
            <w:tcW w:w="196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55A38C9" w14:textId="77777777" w:rsidR="00B61E7A" w:rsidRDefault="00B61E7A" w:rsidP="00B61E7A">
            <w:pPr>
              <w:jc w:val="center"/>
              <w:rPr>
                <w:b/>
                <w:sz w:val="22"/>
                <w:szCs w:val="22"/>
              </w:rPr>
            </w:pPr>
          </w:p>
          <w:p w14:paraId="3141416D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  <w:r w:rsidRPr="00F53788">
              <w:rPr>
                <w:b/>
                <w:sz w:val="22"/>
                <w:szCs w:val="22"/>
              </w:rPr>
              <w:t>Revenues (+)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77B43C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</w:p>
          <w:p w14:paraId="1E4A4022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  <w:r w:rsidRPr="00F53788">
              <w:rPr>
                <w:b/>
                <w:sz w:val="22"/>
                <w:szCs w:val="22"/>
              </w:rPr>
              <w:t>$0</w:t>
            </w: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8B2621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</w:p>
          <w:p w14:paraId="7242884B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  <w:r w:rsidRPr="00F53788">
              <w:rPr>
                <w:b/>
                <w:sz w:val="22"/>
                <w:szCs w:val="22"/>
              </w:rPr>
              <w:t>$0</w:t>
            </w: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D7389F2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</w:p>
          <w:p w14:paraId="54800DE9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  <w:r w:rsidRPr="00F53788">
              <w:rPr>
                <w:b/>
                <w:sz w:val="22"/>
                <w:szCs w:val="22"/>
              </w:rPr>
              <w:t>$0</w:t>
            </w:r>
          </w:p>
        </w:tc>
      </w:tr>
      <w:tr w:rsidR="00D23C20" w:rsidRPr="00F53788" w14:paraId="5A508F02" w14:textId="77777777" w:rsidTr="00B61E7A">
        <w:trPr>
          <w:jc w:val="center"/>
        </w:trPr>
        <w:tc>
          <w:tcPr>
            <w:tcW w:w="196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A16344E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</w:p>
          <w:p w14:paraId="30E1500E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  <w:r w:rsidRPr="00F53788">
              <w:rPr>
                <w:b/>
                <w:sz w:val="22"/>
                <w:szCs w:val="22"/>
              </w:rPr>
              <w:t>Expenditures (-)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EC8FA02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</w:p>
          <w:p w14:paraId="0F2BFF2A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  <w:r w:rsidRPr="00F53788">
              <w:rPr>
                <w:b/>
                <w:sz w:val="22"/>
                <w:szCs w:val="22"/>
              </w:rPr>
              <w:t>$0</w:t>
            </w: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5E898F8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</w:p>
          <w:p w14:paraId="67412A19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  <w:r w:rsidRPr="00F53788">
              <w:rPr>
                <w:b/>
                <w:sz w:val="22"/>
                <w:szCs w:val="22"/>
              </w:rPr>
              <w:t>$0</w:t>
            </w: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9F8F046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</w:p>
          <w:p w14:paraId="6E269C8C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  <w:r w:rsidRPr="00F53788">
              <w:rPr>
                <w:b/>
                <w:sz w:val="22"/>
                <w:szCs w:val="22"/>
              </w:rPr>
              <w:t>$0</w:t>
            </w:r>
          </w:p>
        </w:tc>
      </w:tr>
      <w:tr w:rsidR="00D23C20" w:rsidRPr="00F53788" w14:paraId="36E61162" w14:textId="77777777" w:rsidTr="00B61E7A">
        <w:trPr>
          <w:jc w:val="center"/>
        </w:trPr>
        <w:tc>
          <w:tcPr>
            <w:tcW w:w="1966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5F8B2C25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</w:p>
          <w:p w14:paraId="79298146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  <w:r w:rsidRPr="00F53788">
              <w:rPr>
                <w:b/>
                <w:sz w:val="22"/>
                <w:szCs w:val="22"/>
              </w:rPr>
              <w:t>Net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4851419B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</w:p>
          <w:p w14:paraId="704EB5CA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  <w:r w:rsidRPr="00F53788">
              <w:rPr>
                <w:b/>
                <w:sz w:val="22"/>
                <w:szCs w:val="22"/>
              </w:rPr>
              <w:t>$0</w:t>
            </w: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16A10876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</w:p>
          <w:p w14:paraId="3ACE56EE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  <w:r w:rsidRPr="00F53788">
              <w:rPr>
                <w:b/>
                <w:sz w:val="22"/>
                <w:szCs w:val="22"/>
              </w:rPr>
              <w:t>$0</w:t>
            </w: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18E9CDEB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</w:p>
          <w:p w14:paraId="5C8D6199" w14:textId="77777777" w:rsidR="00D23C20" w:rsidRPr="00F53788" w:rsidRDefault="00D23C20" w:rsidP="00B61E7A">
            <w:pPr>
              <w:jc w:val="center"/>
              <w:rPr>
                <w:b/>
                <w:sz w:val="22"/>
                <w:szCs w:val="22"/>
              </w:rPr>
            </w:pPr>
            <w:r w:rsidRPr="00F53788">
              <w:rPr>
                <w:b/>
                <w:sz w:val="22"/>
                <w:szCs w:val="22"/>
              </w:rPr>
              <w:t>$0</w:t>
            </w:r>
          </w:p>
        </w:tc>
      </w:tr>
    </w:tbl>
    <w:p w14:paraId="3335BE89" w14:textId="77777777" w:rsidR="00D23C20" w:rsidRPr="00F53788" w:rsidRDefault="00D23C20" w:rsidP="005D25F2">
      <w:pPr>
        <w:rPr>
          <w:sz w:val="22"/>
          <w:szCs w:val="22"/>
        </w:rPr>
      </w:pPr>
    </w:p>
    <w:p w14:paraId="2FDB50C2" w14:textId="77777777" w:rsidR="00B61E7A" w:rsidRPr="00E94C45" w:rsidRDefault="00D23C20" w:rsidP="00B61E7A">
      <w:r w:rsidRPr="00E94C45">
        <w:rPr>
          <w:b/>
          <w:smallCaps/>
        </w:rPr>
        <w:t>Impact on Revenues And Expenditures</w:t>
      </w:r>
      <w:r w:rsidRPr="00E94C45">
        <w:rPr>
          <w:b/>
        </w:rPr>
        <w:t>:</w:t>
      </w:r>
      <w:r w:rsidRPr="00E94C45">
        <w:t xml:space="preserve"> There </w:t>
      </w:r>
      <w:r w:rsidR="005D25F2">
        <w:t>would</w:t>
      </w:r>
      <w:r w:rsidR="005D25F2" w:rsidRPr="00E94C45">
        <w:t xml:space="preserve"> </w:t>
      </w:r>
      <w:r w:rsidRPr="00E94C45">
        <w:t>be no net impact on revenues or expenditures resulting from the enactment of this legislation. The BID assessments are charges separate from the Ci</w:t>
      </w:r>
      <w:r w:rsidR="00ED4CE7">
        <w:t xml:space="preserve">ty’s property tax levy and </w:t>
      </w:r>
      <w:r w:rsidRPr="00E94C45">
        <w:t xml:space="preserve">do not </w:t>
      </w:r>
      <w:r w:rsidR="005D25F2">
        <w:t>contribute to</w:t>
      </w:r>
      <w:r w:rsidR="005D25F2" w:rsidRPr="00E94C45">
        <w:t xml:space="preserve"> </w:t>
      </w:r>
      <w:r w:rsidRPr="00E94C45">
        <w:t>the General Fund. The assessments are levied on the businesses located in the impacted BIDs.</w:t>
      </w:r>
      <w:r w:rsidR="00ED4CE7">
        <w:t xml:space="preserve"> </w:t>
      </w:r>
    </w:p>
    <w:p w14:paraId="0BB5E4CB" w14:textId="77777777" w:rsidR="00D23C20" w:rsidRPr="00F53788" w:rsidRDefault="00D23C20" w:rsidP="005D25F2">
      <w:pPr>
        <w:rPr>
          <w:sz w:val="22"/>
          <w:szCs w:val="22"/>
        </w:rPr>
      </w:pPr>
    </w:p>
    <w:p w14:paraId="5C16E9B4" w14:textId="2E514B89" w:rsidR="00D23C20" w:rsidRPr="00E94C45" w:rsidRDefault="00D23C20" w:rsidP="00B61E7A">
      <w:r w:rsidRPr="00E94C45">
        <w:rPr>
          <w:b/>
          <w:smallCaps/>
        </w:rPr>
        <w:t>Source of Funds to Cover Estimated Costs</w:t>
      </w:r>
      <w:r w:rsidRPr="00E94C45">
        <w:rPr>
          <w:b/>
        </w:rPr>
        <w:t>:</w:t>
      </w:r>
      <w:r w:rsidRPr="00E94C45">
        <w:t xml:space="preserve"> </w:t>
      </w:r>
      <w:r w:rsidR="00054EFC">
        <w:t>N/A</w:t>
      </w:r>
    </w:p>
    <w:p w14:paraId="761093CD" w14:textId="77777777" w:rsidR="00B566B8" w:rsidRDefault="00B566B8" w:rsidP="00B61E7A">
      <w:pPr>
        <w:rPr>
          <w:b/>
          <w:smallCaps/>
        </w:rPr>
      </w:pPr>
    </w:p>
    <w:p w14:paraId="75031183" w14:textId="77777777" w:rsidR="005D25F2" w:rsidRDefault="00D23C20" w:rsidP="00B61E7A">
      <w:r w:rsidRPr="00E94C45">
        <w:rPr>
          <w:b/>
          <w:smallCaps/>
        </w:rPr>
        <w:t>Source of Information</w:t>
      </w:r>
      <w:r w:rsidRPr="00E94C45">
        <w:rPr>
          <w:b/>
        </w:rPr>
        <w:t>:</w:t>
      </w:r>
      <w:r w:rsidRPr="00E94C45">
        <w:tab/>
      </w:r>
      <w:r w:rsidR="002E324A">
        <w:t xml:space="preserve">New York </w:t>
      </w:r>
      <w:r w:rsidRPr="00E94C45">
        <w:t>City Council Finance Division</w:t>
      </w:r>
    </w:p>
    <w:p w14:paraId="11C3BA1D" w14:textId="77777777" w:rsidR="00D23C20" w:rsidRPr="00E94C45" w:rsidRDefault="00D23C20" w:rsidP="00B61E7A"/>
    <w:p w14:paraId="1CC7B730" w14:textId="77777777" w:rsidR="00D23C20" w:rsidRDefault="00D23C20" w:rsidP="005D25F2">
      <w:pPr>
        <w:tabs>
          <w:tab w:val="left" w:pos="-720"/>
        </w:tabs>
        <w:suppressAutoHyphens/>
      </w:pPr>
      <w:r w:rsidRPr="00E94C45">
        <w:rPr>
          <w:b/>
          <w:smallCaps/>
        </w:rPr>
        <w:t>Estimate Prepared by</w:t>
      </w:r>
      <w:r w:rsidRPr="00E94C45">
        <w:rPr>
          <w:b/>
        </w:rPr>
        <w:t>:</w:t>
      </w:r>
      <w:r w:rsidRPr="00E94C45">
        <w:tab/>
      </w:r>
      <w:r w:rsidR="002A31C9">
        <w:t>Luke Zangerle</w:t>
      </w:r>
      <w:r w:rsidRPr="00E94C45">
        <w:t xml:space="preserve">, </w:t>
      </w:r>
      <w:r w:rsidR="005D75F0">
        <w:t>Financial</w:t>
      </w:r>
      <w:r w:rsidR="007E4DAC">
        <w:t xml:space="preserve"> Analyst</w:t>
      </w:r>
      <w:r>
        <w:t>, Finance Division</w:t>
      </w:r>
    </w:p>
    <w:p w14:paraId="34CB7F4F" w14:textId="77777777" w:rsidR="00E87B15" w:rsidRDefault="00E87B15" w:rsidP="005D25F2">
      <w:pPr>
        <w:rPr>
          <w:b/>
          <w:smallCaps/>
        </w:rPr>
      </w:pPr>
    </w:p>
    <w:p w14:paraId="7DDFCF7D" w14:textId="77777777" w:rsidR="005406FC" w:rsidRPr="00FD069A" w:rsidRDefault="00B566B8" w:rsidP="005406FC">
      <w:r w:rsidRPr="00FD069A">
        <w:rPr>
          <w:b/>
          <w:smallCaps/>
        </w:rPr>
        <w:t>Estimate Reviewed by:</w:t>
      </w:r>
      <w:r w:rsidR="005406FC">
        <w:rPr>
          <w:b/>
          <w:smallCaps/>
        </w:rPr>
        <w:t xml:space="preserve"> </w:t>
      </w:r>
      <w:r w:rsidR="005406FC">
        <w:rPr>
          <w:b/>
          <w:smallCaps/>
        </w:rPr>
        <w:tab/>
      </w:r>
      <w:r w:rsidR="005406FC" w:rsidRPr="00FD069A">
        <w:t>Chima Obichere, Unit Head</w:t>
      </w:r>
    </w:p>
    <w:p w14:paraId="0E27EDCB" w14:textId="7FCB9571" w:rsidR="005406FC" w:rsidRDefault="00E54BBF" w:rsidP="005406FC">
      <w:r>
        <w:lastRenderedPageBreak/>
        <w:tab/>
      </w:r>
      <w:r>
        <w:tab/>
      </w:r>
      <w:r>
        <w:tab/>
      </w:r>
      <w:r>
        <w:tab/>
      </w:r>
      <w:r w:rsidR="00054EFC">
        <w:t>Noah Brick</w:t>
      </w:r>
      <w:r w:rsidR="005406FC" w:rsidRPr="00FD069A">
        <w:t>, Assistant Counsel</w:t>
      </w:r>
      <w:r w:rsidR="005406FC" w:rsidRPr="00B566B8">
        <w:t xml:space="preserve"> </w:t>
      </w:r>
    </w:p>
    <w:p w14:paraId="2CDA3022" w14:textId="77777777" w:rsidR="00B566B8" w:rsidRPr="005406FC" w:rsidRDefault="00B566B8" w:rsidP="005D25F2"/>
    <w:p w14:paraId="49754259" w14:textId="4031059D" w:rsidR="005B7DE1" w:rsidRDefault="00D23C20" w:rsidP="00B61E7A">
      <w:r>
        <w:rPr>
          <w:b/>
          <w:smallCaps/>
        </w:rPr>
        <w:t>Legislative</w:t>
      </w:r>
      <w:r w:rsidRPr="00E94C45">
        <w:rPr>
          <w:b/>
          <w:smallCaps/>
        </w:rPr>
        <w:t xml:space="preserve"> History</w:t>
      </w:r>
      <w:r w:rsidRPr="00E94C45">
        <w:rPr>
          <w:b/>
        </w:rPr>
        <w:t>:</w:t>
      </w:r>
      <w:r w:rsidR="00B358F9">
        <w:t xml:space="preserve">  </w:t>
      </w:r>
      <w:r w:rsidR="00B358F9" w:rsidRPr="00B61DE5">
        <w:t xml:space="preserve">Intro. No. </w:t>
      </w:r>
      <w:r w:rsidR="005D75F0">
        <w:t>2268</w:t>
      </w:r>
      <w:r w:rsidR="002A31C9">
        <w:t xml:space="preserve"> </w:t>
      </w:r>
      <w:r w:rsidRPr="00B61DE5">
        <w:t xml:space="preserve">was introduced to the full Council </w:t>
      </w:r>
      <w:r w:rsidR="0091575B" w:rsidRPr="00B61DE5">
        <w:t xml:space="preserve">on </w:t>
      </w:r>
      <w:r w:rsidR="005D75F0">
        <w:t>April 22, 2021</w:t>
      </w:r>
      <w:r w:rsidR="0091575B">
        <w:t xml:space="preserve"> </w:t>
      </w:r>
      <w:r w:rsidRPr="00B61DE5">
        <w:t xml:space="preserve">and referred to </w:t>
      </w:r>
      <w:r w:rsidR="00222977">
        <w:t xml:space="preserve">the </w:t>
      </w:r>
      <w:r w:rsidRPr="00B61DE5">
        <w:t>Committee on Finance</w:t>
      </w:r>
      <w:r w:rsidR="00222977">
        <w:t xml:space="preserve"> (Committee)</w:t>
      </w:r>
      <w:r w:rsidR="00B61DE5" w:rsidRPr="00B61DE5">
        <w:t>.</w:t>
      </w:r>
      <w:r w:rsidRPr="00B61DE5">
        <w:t xml:space="preserve"> </w:t>
      </w:r>
      <w:r w:rsidR="00222977">
        <w:t>T</w:t>
      </w:r>
      <w:r w:rsidR="002A31C9">
        <w:t>he Committee</w:t>
      </w:r>
      <w:r w:rsidR="0051480B">
        <w:t xml:space="preserve"> </w:t>
      </w:r>
      <w:r w:rsidRPr="00B61DE5">
        <w:t>will con</w:t>
      </w:r>
      <w:r w:rsidR="00B61DE5" w:rsidRPr="00B61DE5">
        <w:t xml:space="preserve">sider and vote on </w:t>
      </w:r>
      <w:r w:rsidR="00B61E7A">
        <w:t>the legislation</w:t>
      </w:r>
      <w:r w:rsidR="00222977" w:rsidRPr="00222977">
        <w:t xml:space="preserve"> </w:t>
      </w:r>
      <w:r w:rsidR="00222977">
        <w:t>o</w:t>
      </w:r>
      <w:r w:rsidR="005D75F0">
        <w:t>n May 12, 2021</w:t>
      </w:r>
      <w:r w:rsidR="00FC0FB2">
        <w:t>.</w:t>
      </w:r>
      <w:r w:rsidRPr="00B61DE5">
        <w:t xml:space="preserve"> </w:t>
      </w:r>
      <w:r w:rsidR="00FC0FB2">
        <w:t>U</w:t>
      </w:r>
      <w:r w:rsidRPr="00B61DE5">
        <w:t xml:space="preserve">pon </w:t>
      </w:r>
      <w:r w:rsidR="00222977">
        <w:t xml:space="preserve">a </w:t>
      </w:r>
      <w:r w:rsidRPr="00B61DE5">
        <w:t>successful vote</w:t>
      </w:r>
      <w:r w:rsidR="00FC0FB2">
        <w:t xml:space="preserve"> by the Committee</w:t>
      </w:r>
      <w:r w:rsidRPr="00B61DE5">
        <w:t xml:space="preserve">, the </w:t>
      </w:r>
      <w:r w:rsidR="00222977">
        <w:t xml:space="preserve">legislation will be submitted to the </w:t>
      </w:r>
      <w:r w:rsidR="0051480B" w:rsidRPr="00B61DE5">
        <w:t xml:space="preserve">full Council </w:t>
      </w:r>
      <w:r w:rsidR="00222977">
        <w:t>for a</w:t>
      </w:r>
      <w:r w:rsidR="0051480B" w:rsidRPr="00B61DE5">
        <w:t xml:space="preserve"> vote </w:t>
      </w:r>
      <w:r w:rsidR="00FC0FB2">
        <w:t xml:space="preserve">on </w:t>
      </w:r>
      <w:r w:rsidR="005D75F0">
        <w:t>May 1</w:t>
      </w:r>
      <w:r w:rsidR="00054EFC">
        <w:t>2</w:t>
      </w:r>
      <w:r w:rsidR="005D75F0">
        <w:t>, 2021</w:t>
      </w:r>
      <w:r w:rsidR="00880AA5">
        <w:t>.</w:t>
      </w:r>
    </w:p>
    <w:p w14:paraId="327F1A70" w14:textId="77777777" w:rsidR="00797A41" w:rsidRPr="008E2D25" w:rsidRDefault="00797A41" w:rsidP="00B61E7A">
      <w:pPr>
        <w:rPr>
          <w:color w:val="FF0000"/>
        </w:rPr>
      </w:pPr>
    </w:p>
    <w:p w14:paraId="512606D0" w14:textId="77777777" w:rsidR="002E324A" w:rsidRDefault="002E324A" w:rsidP="00B61E7A">
      <w:r>
        <w:rPr>
          <w:b/>
          <w:smallCaps/>
        </w:rPr>
        <w:t xml:space="preserve">Date Prepared: </w:t>
      </w:r>
      <w:r w:rsidR="00E54BBF">
        <w:t>May 11, 2021</w:t>
      </w:r>
    </w:p>
    <w:sectPr w:rsidR="002E324A" w:rsidSect="00D61148">
      <w:footerReference w:type="default" r:id="rId9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72BCC" w14:textId="77777777" w:rsidR="00520A41" w:rsidRDefault="00520A41">
      <w:r>
        <w:separator/>
      </w:r>
    </w:p>
  </w:endnote>
  <w:endnote w:type="continuationSeparator" w:id="0">
    <w:p w14:paraId="301A576A" w14:textId="77777777" w:rsidR="00520A41" w:rsidRDefault="0052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3771" w14:textId="726EABC8" w:rsidR="000B7EB0" w:rsidRPr="009B17D3" w:rsidRDefault="00A0641E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 w:rsidRPr="009B17D3">
      <w:rPr>
        <w:rFonts w:eastAsiaTheme="majorEastAsia"/>
      </w:rPr>
      <w:t xml:space="preserve">Intro. No. </w:t>
    </w:r>
    <w:r w:rsidR="00054EFC" w:rsidRPr="009B17D3">
      <w:rPr>
        <w:rFonts w:eastAsiaTheme="majorEastAsia"/>
      </w:rPr>
      <w:t>2268</w:t>
    </w:r>
    <w:r w:rsidR="00B97443" w:rsidRPr="009B17D3">
      <w:rPr>
        <w:rFonts w:eastAsiaTheme="majorEastAsia"/>
      </w:rPr>
      <w:ptab w:relativeTo="margin" w:alignment="right" w:leader="none"/>
    </w:r>
    <w:r w:rsidR="00B97443" w:rsidRPr="009B17D3">
      <w:rPr>
        <w:rFonts w:eastAsiaTheme="majorEastAsia"/>
      </w:rPr>
      <w:t xml:space="preserve">Page </w:t>
    </w:r>
    <w:r w:rsidR="00B97443" w:rsidRPr="009B17D3">
      <w:rPr>
        <w:rFonts w:eastAsiaTheme="minorEastAsia"/>
      </w:rPr>
      <w:fldChar w:fldCharType="begin"/>
    </w:r>
    <w:r w:rsidR="00B97443" w:rsidRPr="00054EFC">
      <w:instrText xml:space="preserve"> PAGE   \* MERGEFORMAT </w:instrText>
    </w:r>
    <w:r w:rsidR="00B97443" w:rsidRPr="009B17D3">
      <w:rPr>
        <w:rFonts w:eastAsiaTheme="minorEastAsia"/>
      </w:rPr>
      <w:fldChar w:fldCharType="separate"/>
    </w:r>
    <w:r w:rsidR="007B13D3" w:rsidRPr="007B13D3">
      <w:rPr>
        <w:rFonts w:eastAsiaTheme="majorEastAsia"/>
        <w:noProof/>
      </w:rPr>
      <w:t>2</w:t>
    </w:r>
    <w:r w:rsidR="00B97443" w:rsidRPr="009B17D3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E7735" w14:textId="77777777" w:rsidR="00520A41" w:rsidRDefault="00520A41">
      <w:r>
        <w:separator/>
      </w:r>
    </w:p>
  </w:footnote>
  <w:footnote w:type="continuationSeparator" w:id="0">
    <w:p w14:paraId="39C10A50" w14:textId="77777777" w:rsidR="00520A41" w:rsidRDefault="0052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3F0F"/>
    <w:multiLevelType w:val="hybridMultilevel"/>
    <w:tmpl w:val="8252F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422"/>
    <w:multiLevelType w:val="hybridMultilevel"/>
    <w:tmpl w:val="FA74B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357"/>
    <w:multiLevelType w:val="hybridMultilevel"/>
    <w:tmpl w:val="907A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2231"/>
    <w:multiLevelType w:val="hybridMultilevel"/>
    <w:tmpl w:val="F8EC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7EC0"/>
    <w:multiLevelType w:val="hybridMultilevel"/>
    <w:tmpl w:val="FA74B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90572"/>
    <w:multiLevelType w:val="hybridMultilevel"/>
    <w:tmpl w:val="CA7C9B52"/>
    <w:lvl w:ilvl="0" w:tplc="4F1EB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0380C"/>
    <w:multiLevelType w:val="hybridMultilevel"/>
    <w:tmpl w:val="BDECB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2D"/>
    <w:rsid w:val="000149C6"/>
    <w:rsid w:val="00054EFC"/>
    <w:rsid w:val="00066E75"/>
    <w:rsid w:val="00070845"/>
    <w:rsid w:val="000A5D8B"/>
    <w:rsid w:val="000A76BB"/>
    <w:rsid w:val="000B233B"/>
    <w:rsid w:val="000E4E2D"/>
    <w:rsid w:val="00110BF3"/>
    <w:rsid w:val="00126C58"/>
    <w:rsid w:val="00136F97"/>
    <w:rsid w:val="0014496B"/>
    <w:rsid w:val="00154154"/>
    <w:rsid w:val="00183067"/>
    <w:rsid w:val="001911B8"/>
    <w:rsid w:val="001A33FF"/>
    <w:rsid w:val="001B26A5"/>
    <w:rsid w:val="001E28F5"/>
    <w:rsid w:val="001E3EFD"/>
    <w:rsid w:val="00207CD5"/>
    <w:rsid w:val="002227B1"/>
    <w:rsid w:val="00222977"/>
    <w:rsid w:val="00227788"/>
    <w:rsid w:val="0023076B"/>
    <w:rsid w:val="00236CB4"/>
    <w:rsid w:val="00253FDF"/>
    <w:rsid w:val="00261941"/>
    <w:rsid w:val="002A31C9"/>
    <w:rsid w:val="002C002B"/>
    <w:rsid w:val="002C0403"/>
    <w:rsid w:val="002C1EB7"/>
    <w:rsid w:val="002C4DAA"/>
    <w:rsid w:val="002E324A"/>
    <w:rsid w:val="002F3650"/>
    <w:rsid w:val="00300CC8"/>
    <w:rsid w:val="00343D39"/>
    <w:rsid w:val="00344C26"/>
    <w:rsid w:val="00370AD1"/>
    <w:rsid w:val="003950EA"/>
    <w:rsid w:val="003B54A1"/>
    <w:rsid w:val="003C4DCE"/>
    <w:rsid w:val="003D4901"/>
    <w:rsid w:val="003F64D1"/>
    <w:rsid w:val="004312F2"/>
    <w:rsid w:val="0043668A"/>
    <w:rsid w:val="00440A01"/>
    <w:rsid w:val="00443D93"/>
    <w:rsid w:val="0047328F"/>
    <w:rsid w:val="004767B9"/>
    <w:rsid w:val="0049187B"/>
    <w:rsid w:val="004E6967"/>
    <w:rsid w:val="004F029E"/>
    <w:rsid w:val="00500ABE"/>
    <w:rsid w:val="0050307F"/>
    <w:rsid w:val="0051480B"/>
    <w:rsid w:val="00520A41"/>
    <w:rsid w:val="00521612"/>
    <w:rsid w:val="00527EC7"/>
    <w:rsid w:val="00532278"/>
    <w:rsid w:val="005406FC"/>
    <w:rsid w:val="005571E0"/>
    <w:rsid w:val="0057694F"/>
    <w:rsid w:val="00583519"/>
    <w:rsid w:val="00590D91"/>
    <w:rsid w:val="005B7DE1"/>
    <w:rsid w:val="005C29A6"/>
    <w:rsid w:val="005C7DFA"/>
    <w:rsid w:val="005D25F2"/>
    <w:rsid w:val="005D5CE4"/>
    <w:rsid w:val="005D75F0"/>
    <w:rsid w:val="005F3E6C"/>
    <w:rsid w:val="006013A3"/>
    <w:rsid w:val="00602FDE"/>
    <w:rsid w:val="006419C8"/>
    <w:rsid w:val="0064551D"/>
    <w:rsid w:val="00655625"/>
    <w:rsid w:val="00665B65"/>
    <w:rsid w:val="006A5254"/>
    <w:rsid w:val="006B3BC3"/>
    <w:rsid w:val="006E2354"/>
    <w:rsid w:val="006E5294"/>
    <w:rsid w:val="007152A3"/>
    <w:rsid w:val="0073024A"/>
    <w:rsid w:val="00751FCD"/>
    <w:rsid w:val="007579BC"/>
    <w:rsid w:val="00770C39"/>
    <w:rsid w:val="00773D2E"/>
    <w:rsid w:val="00791571"/>
    <w:rsid w:val="007944DE"/>
    <w:rsid w:val="00796C22"/>
    <w:rsid w:val="00797A41"/>
    <w:rsid w:val="007B13D3"/>
    <w:rsid w:val="007B74A9"/>
    <w:rsid w:val="007E4DAC"/>
    <w:rsid w:val="007F0303"/>
    <w:rsid w:val="008077D7"/>
    <w:rsid w:val="00814B2B"/>
    <w:rsid w:val="0085363D"/>
    <w:rsid w:val="008553D6"/>
    <w:rsid w:val="008637FE"/>
    <w:rsid w:val="00867846"/>
    <w:rsid w:val="00872F34"/>
    <w:rsid w:val="00880AA5"/>
    <w:rsid w:val="00886309"/>
    <w:rsid w:val="00887264"/>
    <w:rsid w:val="008A02F0"/>
    <w:rsid w:val="008D7AE0"/>
    <w:rsid w:val="008E2D25"/>
    <w:rsid w:val="008F1ECF"/>
    <w:rsid w:val="0090602D"/>
    <w:rsid w:val="009151DD"/>
    <w:rsid w:val="0091575B"/>
    <w:rsid w:val="00916CD0"/>
    <w:rsid w:val="00957F31"/>
    <w:rsid w:val="00961C52"/>
    <w:rsid w:val="009A0976"/>
    <w:rsid w:val="009A28A3"/>
    <w:rsid w:val="009B17D3"/>
    <w:rsid w:val="009B66B8"/>
    <w:rsid w:val="009E237D"/>
    <w:rsid w:val="009E340A"/>
    <w:rsid w:val="009E6BA9"/>
    <w:rsid w:val="009F3DA4"/>
    <w:rsid w:val="009F6A01"/>
    <w:rsid w:val="00A0641E"/>
    <w:rsid w:val="00A17E03"/>
    <w:rsid w:val="00A2791A"/>
    <w:rsid w:val="00A36765"/>
    <w:rsid w:val="00A37F64"/>
    <w:rsid w:val="00A4256C"/>
    <w:rsid w:val="00A4523C"/>
    <w:rsid w:val="00A67016"/>
    <w:rsid w:val="00A752FF"/>
    <w:rsid w:val="00A80586"/>
    <w:rsid w:val="00AB65F1"/>
    <w:rsid w:val="00AC06C8"/>
    <w:rsid w:val="00AC5341"/>
    <w:rsid w:val="00AF2E94"/>
    <w:rsid w:val="00B15A68"/>
    <w:rsid w:val="00B358F9"/>
    <w:rsid w:val="00B5016D"/>
    <w:rsid w:val="00B566B8"/>
    <w:rsid w:val="00B61DE5"/>
    <w:rsid w:val="00B61E7A"/>
    <w:rsid w:val="00B63580"/>
    <w:rsid w:val="00B8241D"/>
    <w:rsid w:val="00B84E74"/>
    <w:rsid w:val="00B92D5F"/>
    <w:rsid w:val="00B97443"/>
    <w:rsid w:val="00BA5549"/>
    <w:rsid w:val="00BA59CD"/>
    <w:rsid w:val="00BB7DFF"/>
    <w:rsid w:val="00BD44DC"/>
    <w:rsid w:val="00C22979"/>
    <w:rsid w:val="00C37D53"/>
    <w:rsid w:val="00C43B28"/>
    <w:rsid w:val="00C742A8"/>
    <w:rsid w:val="00CB451A"/>
    <w:rsid w:val="00CD038D"/>
    <w:rsid w:val="00CD3B80"/>
    <w:rsid w:val="00CD7567"/>
    <w:rsid w:val="00D06796"/>
    <w:rsid w:val="00D1043C"/>
    <w:rsid w:val="00D15D2A"/>
    <w:rsid w:val="00D20C79"/>
    <w:rsid w:val="00D23C20"/>
    <w:rsid w:val="00D61148"/>
    <w:rsid w:val="00D67E2E"/>
    <w:rsid w:val="00D771C3"/>
    <w:rsid w:val="00DB0293"/>
    <w:rsid w:val="00DB442D"/>
    <w:rsid w:val="00DB595E"/>
    <w:rsid w:val="00DD4C8C"/>
    <w:rsid w:val="00E02935"/>
    <w:rsid w:val="00E32A8B"/>
    <w:rsid w:val="00E33F36"/>
    <w:rsid w:val="00E3534B"/>
    <w:rsid w:val="00E35E58"/>
    <w:rsid w:val="00E40739"/>
    <w:rsid w:val="00E54BBF"/>
    <w:rsid w:val="00E62826"/>
    <w:rsid w:val="00E774BF"/>
    <w:rsid w:val="00E83D64"/>
    <w:rsid w:val="00E87B15"/>
    <w:rsid w:val="00E94F86"/>
    <w:rsid w:val="00ED4CE7"/>
    <w:rsid w:val="00ED71B5"/>
    <w:rsid w:val="00EE7882"/>
    <w:rsid w:val="00EF44E4"/>
    <w:rsid w:val="00EF78D2"/>
    <w:rsid w:val="00F1015D"/>
    <w:rsid w:val="00F13F11"/>
    <w:rsid w:val="00F37B58"/>
    <w:rsid w:val="00F45AE4"/>
    <w:rsid w:val="00F50F25"/>
    <w:rsid w:val="00F560E5"/>
    <w:rsid w:val="00F62131"/>
    <w:rsid w:val="00F62F13"/>
    <w:rsid w:val="00F71B37"/>
    <w:rsid w:val="00F738D6"/>
    <w:rsid w:val="00F962EF"/>
    <w:rsid w:val="00FA10A6"/>
    <w:rsid w:val="00FA1456"/>
    <w:rsid w:val="00FC0228"/>
    <w:rsid w:val="00FC0FB2"/>
    <w:rsid w:val="00FC1512"/>
    <w:rsid w:val="00FC2D2C"/>
    <w:rsid w:val="00FD069A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FB4DF"/>
  <w15:docId w15:val="{EDC640E1-B34E-4559-B9C3-3020CDD1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C20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4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4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2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50F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94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1571"/>
    <w:pPr>
      <w:ind w:left="720"/>
      <w:contextualSpacing/>
    </w:pPr>
  </w:style>
  <w:style w:type="paragraph" w:styleId="Revision">
    <w:name w:val="Revision"/>
    <w:hidden/>
    <w:uiPriority w:val="99"/>
    <w:semiHidden/>
    <w:rsid w:val="009A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3C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lockNarrow">
    <w:name w:val="Block Narrow"/>
    <w:aliases w:val="BN"/>
    <w:basedOn w:val="Normal"/>
    <w:next w:val="Normal"/>
    <w:rsid w:val="00E54BBF"/>
    <w:pPr>
      <w:suppressAutoHyphens/>
      <w:spacing w:after="240"/>
      <w:ind w:left="2160" w:right="2160"/>
      <w:outlineLvl w:val="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14EE-F44D-4778-91F1-983D8685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Crilhien Francisco</dc:creator>
  <cp:lastModifiedBy>DelFranco, Ruthie</cp:lastModifiedBy>
  <cp:revision>2</cp:revision>
  <cp:lastPrinted>2019-10-29T17:24:00Z</cp:lastPrinted>
  <dcterms:created xsi:type="dcterms:W3CDTF">2021-05-12T12:41:00Z</dcterms:created>
  <dcterms:modified xsi:type="dcterms:W3CDTF">2021-05-12T12:41:00Z</dcterms:modified>
</cp:coreProperties>
</file>