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62282" w14:textId="77777777" w:rsidR="0056662F" w:rsidRDefault="0056662F" w:rsidP="0056662F">
      <w:pPr>
        <w:pStyle w:val="Body"/>
        <w:spacing w:after="0" w:line="240" w:lineRule="auto"/>
        <w:ind w:left="3600" w:firstLine="720"/>
        <w:jc w:val="right"/>
        <w:rPr>
          <w:rFonts w:ascii="Times New Roman" w:eastAsia="Times New Roman" w:hAnsi="Times New Roman" w:cs="Times New Roman"/>
          <w:sz w:val="24"/>
          <w:szCs w:val="24"/>
          <w:u w:val="single"/>
        </w:rPr>
      </w:pPr>
      <w:bookmarkStart w:id="0" w:name="_GoBack"/>
      <w:bookmarkEnd w:id="0"/>
      <w:r>
        <w:rPr>
          <w:rFonts w:ascii="Times New Roman" w:hAnsi="Times New Roman"/>
          <w:sz w:val="24"/>
          <w:szCs w:val="24"/>
          <w:u w:val="single"/>
        </w:rPr>
        <w:t>Resiliency &amp; Waterfronts Committee</w:t>
      </w:r>
    </w:p>
    <w:p w14:paraId="05668303" w14:textId="77777777" w:rsidR="0056662F" w:rsidRDefault="0056662F" w:rsidP="0056662F">
      <w:pPr>
        <w:pStyle w:val="Body"/>
        <w:spacing w:after="0" w:line="240" w:lineRule="auto"/>
        <w:ind w:left="3600" w:firstLine="720"/>
        <w:jc w:val="right"/>
        <w:rPr>
          <w:rFonts w:ascii="Times New Roman" w:eastAsia="Times New Roman" w:hAnsi="Times New Roman" w:cs="Times New Roman"/>
          <w:sz w:val="24"/>
          <w:szCs w:val="24"/>
        </w:rPr>
      </w:pPr>
      <w:r>
        <w:rPr>
          <w:rFonts w:ascii="Times New Roman" w:hAnsi="Times New Roman"/>
          <w:sz w:val="24"/>
          <w:szCs w:val="24"/>
        </w:rPr>
        <w:t xml:space="preserve"> Jessica Steinberg Albin, Legislative Counsel</w:t>
      </w:r>
    </w:p>
    <w:p w14:paraId="48BCBCE4" w14:textId="77777777" w:rsidR="0056662F" w:rsidRDefault="0056662F" w:rsidP="0056662F">
      <w:pPr>
        <w:pStyle w:val="Body"/>
        <w:spacing w:after="0" w:line="240" w:lineRule="auto"/>
        <w:ind w:left="4320"/>
        <w:jc w:val="right"/>
        <w:rPr>
          <w:rFonts w:ascii="Times New Roman" w:hAnsi="Times New Roman"/>
          <w:sz w:val="24"/>
          <w:szCs w:val="24"/>
        </w:rPr>
      </w:pPr>
      <w:r>
        <w:rPr>
          <w:rFonts w:ascii="Times New Roman" w:hAnsi="Times New Roman"/>
          <w:sz w:val="24"/>
          <w:szCs w:val="24"/>
        </w:rPr>
        <w:t xml:space="preserve"> Patrick Mulvihill, Senior Policy Analyst</w:t>
      </w:r>
    </w:p>
    <w:p w14:paraId="0BA75684" w14:textId="77777777" w:rsidR="0056662F" w:rsidRDefault="0056662F" w:rsidP="0056662F">
      <w:pPr>
        <w:pStyle w:val="Body"/>
        <w:spacing w:after="0" w:line="240" w:lineRule="auto"/>
        <w:ind w:left="4320"/>
        <w:jc w:val="right"/>
        <w:rPr>
          <w:rFonts w:ascii="Times New Roman" w:eastAsia="Times New Roman" w:hAnsi="Times New Roman" w:cs="Times New Roman"/>
          <w:sz w:val="24"/>
          <w:szCs w:val="24"/>
        </w:rPr>
      </w:pPr>
      <w:r>
        <w:rPr>
          <w:rFonts w:ascii="Times New Roman" w:hAnsi="Times New Roman"/>
          <w:sz w:val="24"/>
          <w:szCs w:val="24"/>
        </w:rPr>
        <w:t>Jonathan Seltzer, Senior Finance Analyst</w:t>
      </w:r>
    </w:p>
    <w:p w14:paraId="2DAEB7B5" w14:textId="77777777" w:rsidR="0056662F" w:rsidRDefault="0056662F" w:rsidP="0056662F">
      <w:pPr>
        <w:pStyle w:val="Body"/>
        <w:spacing w:after="0" w:line="240" w:lineRule="auto"/>
        <w:ind w:left="4320"/>
        <w:jc w:val="right"/>
        <w:rPr>
          <w:rFonts w:ascii="Times New Roman" w:eastAsia="Times New Roman" w:hAnsi="Times New Roman" w:cs="Times New Roman"/>
          <w:sz w:val="24"/>
          <w:szCs w:val="24"/>
        </w:rPr>
      </w:pPr>
    </w:p>
    <w:p w14:paraId="22CA659C" w14:textId="77777777" w:rsidR="0056662F" w:rsidRDefault="0056662F" w:rsidP="0056662F">
      <w:pPr>
        <w:pStyle w:val="Body"/>
        <w:spacing w:after="0" w:line="240" w:lineRule="auto"/>
        <w:ind w:left="4320"/>
        <w:jc w:val="right"/>
        <w:rPr>
          <w:rFonts w:ascii="Times New Roman" w:eastAsia="Times New Roman" w:hAnsi="Times New Roman" w:cs="Times New Roman"/>
          <w:sz w:val="24"/>
          <w:szCs w:val="24"/>
        </w:rPr>
      </w:pPr>
    </w:p>
    <w:p w14:paraId="49A8D6C1" w14:textId="77777777" w:rsidR="0056662F" w:rsidRDefault="0056662F" w:rsidP="0056662F">
      <w:pPr>
        <w:pStyle w:val="Body"/>
        <w:spacing w:after="0" w:line="240" w:lineRule="auto"/>
        <w:ind w:left="4320"/>
        <w:jc w:val="right"/>
        <w:rPr>
          <w:rFonts w:ascii="Times New Roman" w:eastAsia="Times New Roman" w:hAnsi="Times New Roman" w:cs="Times New Roman"/>
          <w:sz w:val="24"/>
          <w:szCs w:val="24"/>
        </w:rPr>
      </w:pPr>
    </w:p>
    <w:p w14:paraId="6D439615" w14:textId="77777777" w:rsidR="0056662F" w:rsidRDefault="0056662F" w:rsidP="0056662F">
      <w:pPr>
        <w:pStyle w:val="Body"/>
        <w:spacing w:after="0" w:line="240" w:lineRule="auto"/>
        <w:ind w:left="3600" w:firstLine="720"/>
        <w:rPr>
          <w:rFonts w:ascii="Times New Roman" w:eastAsia="Times New Roman" w:hAnsi="Times New Roman" w:cs="Times New Roman"/>
          <w:sz w:val="24"/>
          <w:szCs w:val="24"/>
        </w:rPr>
      </w:pPr>
    </w:p>
    <w:p w14:paraId="54E19A04" w14:textId="77777777" w:rsidR="0056662F" w:rsidRDefault="0056662F" w:rsidP="0056662F">
      <w:pPr>
        <w:pStyle w:val="Body"/>
        <w:spacing w:after="0" w:line="240" w:lineRule="auto"/>
        <w:ind w:left="3600" w:firstLine="720"/>
        <w:rPr>
          <w:rFonts w:ascii="Times New Roman" w:eastAsia="Times New Roman" w:hAnsi="Times New Roman" w:cs="Times New Roman"/>
          <w:sz w:val="24"/>
          <w:szCs w:val="24"/>
        </w:rPr>
      </w:pPr>
    </w:p>
    <w:p w14:paraId="6DDE64FD" w14:textId="77777777" w:rsidR="0056662F" w:rsidRDefault="0056662F" w:rsidP="0056662F">
      <w:pPr>
        <w:pStyle w:val="Body"/>
        <w:spacing w:after="0" w:line="240" w:lineRule="auto"/>
        <w:ind w:left="3600" w:firstLine="720"/>
        <w:rPr>
          <w:rFonts w:ascii="Times New Roman" w:eastAsia="Times New Roman" w:hAnsi="Times New Roman" w:cs="Times New Roman"/>
          <w:sz w:val="24"/>
          <w:szCs w:val="24"/>
        </w:rPr>
      </w:pPr>
    </w:p>
    <w:p w14:paraId="07D54070" w14:textId="77777777" w:rsidR="0056662F" w:rsidRDefault="0056662F" w:rsidP="0056662F">
      <w:pPr>
        <w:pStyle w:val="Body"/>
        <w:spacing w:after="0" w:line="240" w:lineRule="auto"/>
        <w:ind w:left="3600" w:firstLine="720"/>
        <w:rPr>
          <w:rFonts w:ascii="Times New Roman" w:eastAsia="Times New Roman" w:hAnsi="Times New Roman" w:cs="Times New Roman"/>
          <w:sz w:val="24"/>
          <w:szCs w:val="24"/>
        </w:rPr>
      </w:pPr>
    </w:p>
    <w:p w14:paraId="1B15CC5A" w14:textId="77777777" w:rsidR="0056662F" w:rsidRDefault="0056662F" w:rsidP="0056662F">
      <w:pPr>
        <w:pStyle w:val="Body"/>
        <w:spacing w:after="0" w:line="240" w:lineRule="auto"/>
        <w:ind w:left="3600" w:firstLine="720"/>
        <w:rPr>
          <w:rFonts w:ascii="Times New Roman" w:eastAsia="Times New Roman" w:hAnsi="Times New Roman" w:cs="Times New Roman"/>
          <w:sz w:val="24"/>
          <w:szCs w:val="24"/>
        </w:rPr>
      </w:pPr>
    </w:p>
    <w:p w14:paraId="2E4D4CFF" w14:textId="77777777" w:rsidR="0056662F" w:rsidRDefault="0056662F" w:rsidP="0056662F">
      <w:pPr>
        <w:pStyle w:val="Body"/>
        <w:spacing w:after="0" w:line="240" w:lineRule="auto"/>
        <w:ind w:left="3600" w:firstLine="720"/>
        <w:rPr>
          <w:rFonts w:ascii="Times New Roman" w:eastAsia="Times New Roman" w:hAnsi="Times New Roman" w:cs="Times New Roman"/>
          <w:sz w:val="24"/>
          <w:szCs w:val="24"/>
        </w:rPr>
      </w:pPr>
    </w:p>
    <w:p w14:paraId="668FA43B" w14:textId="77777777" w:rsidR="0056662F" w:rsidRDefault="0056662F" w:rsidP="0056662F">
      <w:pPr>
        <w:pStyle w:val="Body"/>
        <w:spacing w:after="0" w:line="240" w:lineRule="auto"/>
        <w:jc w:val="center"/>
        <w:rPr>
          <w:rFonts w:ascii="Times New Roman" w:eastAsia="Times New Roman" w:hAnsi="Times New Roman" w:cs="Times New Roman"/>
          <w:sz w:val="24"/>
          <w:szCs w:val="24"/>
        </w:rPr>
      </w:pPr>
      <w:r w:rsidRPr="001E0D31">
        <w:rPr>
          <w:rFonts w:ascii="Times New Roman" w:eastAsia="Times New Roman" w:hAnsi="Times New Roman" w:cs="Times New Roman"/>
          <w:noProof/>
          <w:sz w:val="24"/>
          <w:szCs w:val="24"/>
        </w:rPr>
        <w:drawing>
          <wp:inline distT="0" distB="0" distL="0" distR="0" wp14:anchorId="17EC464E" wp14:editId="5E51E165">
            <wp:extent cx="1323975" cy="1333500"/>
            <wp:effectExtent l="0" t="0" r="9525" b="0"/>
            <wp:docPr id="5" name="Picture 5"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333500"/>
                    </a:xfrm>
                    <a:prstGeom prst="rect">
                      <a:avLst/>
                    </a:prstGeom>
                    <a:noFill/>
                    <a:ln>
                      <a:noFill/>
                    </a:ln>
                  </pic:spPr>
                </pic:pic>
              </a:graphicData>
            </a:graphic>
          </wp:inline>
        </w:drawing>
      </w:r>
    </w:p>
    <w:p w14:paraId="2F9C6438" w14:textId="77777777" w:rsidR="0056662F" w:rsidRDefault="0056662F" w:rsidP="0056662F">
      <w:pPr>
        <w:pStyle w:val="Body"/>
        <w:widowControl w:val="0"/>
        <w:spacing w:after="0" w:line="240" w:lineRule="auto"/>
        <w:jc w:val="center"/>
        <w:outlineLvl w:val="5"/>
        <w:rPr>
          <w:rFonts w:ascii="Times New Roman" w:eastAsia="Times New Roman" w:hAnsi="Times New Roman" w:cs="Times New Roman"/>
          <w:b/>
          <w:bCs/>
          <w:caps/>
          <w:sz w:val="24"/>
          <w:szCs w:val="24"/>
          <w:u w:val="single"/>
        </w:rPr>
      </w:pPr>
    </w:p>
    <w:p w14:paraId="1DBD8AB1" w14:textId="77777777" w:rsidR="0056662F" w:rsidRDefault="0056662F" w:rsidP="0056662F">
      <w:pPr>
        <w:pStyle w:val="Body"/>
        <w:widowControl w:val="0"/>
        <w:spacing w:after="0" w:line="240" w:lineRule="auto"/>
        <w:jc w:val="center"/>
        <w:outlineLvl w:val="5"/>
        <w:rPr>
          <w:rFonts w:ascii="Times New Roman" w:eastAsia="Times New Roman" w:hAnsi="Times New Roman" w:cs="Times New Roman"/>
          <w:b/>
          <w:bCs/>
          <w:caps/>
          <w:sz w:val="24"/>
          <w:szCs w:val="24"/>
          <w:u w:val="single"/>
        </w:rPr>
      </w:pPr>
      <w:r>
        <w:rPr>
          <w:rFonts w:ascii="Times New Roman" w:hAnsi="Times New Roman"/>
          <w:b/>
          <w:bCs/>
          <w:caps/>
          <w:sz w:val="24"/>
          <w:szCs w:val="24"/>
          <w:u w:val="single"/>
        </w:rPr>
        <w:t>The New York City Council</w:t>
      </w:r>
    </w:p>
    <w:p w14:paraId="0B7E73AF" w14:textId="77777777" w:rsidR="0056662F" w:rsidRDefault="0056662F" w:rsidP="0056662F">
      <w:pPr>
        <w:tabs>
          <w:tab w:val="center" w:pos="4680"/>
        </w:tabs>
        <w:ind w:firstLine="0"/>
        <w:jc w:val="center"/>
        <w:rPr>
          <w:iCs/>
        </w:rPr>
      </w:pPr>
      <w:r w:rsidRPr="00B96377">
        <w:rPr>
          <w:iCs/>
        </w:rPr>
        <w:t>Jeff</w:t>
      </w:r>
      <w:r>
        <w:rPr>
          <w:iCs/>
        </w:rPr>
        <w:t>rey Baker, Legislative Director</w:t>
      </w:r>
    </w:p>
    <w:p w14:paraId="0D28A9B7" w14:textId="77777777" w:rsidR="0056662F" w:rsidRPr="0048038C" w:rsidRDefault="0056662F" w:rsidP="0056662F">
      <w:pPr>
        <w:tabs>
          <w:tab w:val="center" w:pos="4680"/>
        </w:tabs>
        <w:ind w:firstLine="0"/>
        <w:jc w:val="center"/>
        <w:rPr>
          <w:rFonts w:eastAsia="Arial Unicode MS"/>
          <w:iCs/>
        </w:rPr>
      </w:pPr>
    </w:p>
    <w:p w14:paraId="6C037A3D" w14:textId="77777777" w:rsidR="0056662F" w:rsidRDefault="0056662F" w:rsidP="0056662F">
      <w:pPr>
        <w:pStyle w:val="Body"/>
        <w:spacing w:after="0" w:line="240" w:lineRule="auto"/>
        <w:jc w:val="center"/>
        <w:rPr>
          <w:rFonts w:ascii="Times New Roman" w:eastAsia="Times New Roman" w:hAnsi="Times New Roman" w:cs="Times New Roman"/>
          <w:sz w:val="24"/>
          <w:szCs w:val="24"/>
        </w:rPr>
      </w:pPr>
    </w:p>
    <w:p w14:paraId="5C756F2B" w14:textId="77777777" w:rsidR="0056662F" w:rsidRPr="00B96377" w:rsidRDefault="0056662F" w:rsidP="0056662F">
      <w:pPr>
        <w:ind w:firstLine="0"/>
        <w:jc w:val="center"/>
        <w:outlineLvl w:val="4"/>
        <w:rPr>
          <w:b/>
          <w:iCs/>
          <w:u w:val="single"/>
        </w:rPr>
      </w:pPr>
      <w:r>
        <w:rPr>
          <w:b/>
          <w:iCs/>
          <w:u w:val="single"/>
        </w:rPr>
        <w:t>COMMITTEE REPORT</w:t>
      </w:r>
      <w:r w:rsidRPr="00B96377">
        <w:rPr>
          <w:b/>
          <w:iCs/>
          <w:u w:val="single"/>
        </w:rPr>
        <w:t xml:space="preserve"> OF THE INFRASTRUCTURE DIVISION</w:t>
      </w:r>
    </w:p>
    <w:p w14:paraId="2036ABF3" w14:textId="77777777" w:rsidR="0056662F" w:rsidRDefault="0056662F" w:rsidP="0056662F">
      <w:pPr>
        <w:tabs>
          <w:tab w:val="center" w:pos="4680"/>
        </w:tabs>
        <w:ind w:firstLine="0"/>
        <w:jc w:val="center"/>
        <w:rPr>
          <w:iCs/>
        </w:rPr>
      </w:pPr>
      <w:r>
        <w:rPr>
          <w:iCs/>
        </w:rPr>
        <w:t>Terzah Nasser, Deputy Director</w:t>
      </w:r>
    </w:p>
    <w:p w14:paraId="6C6F4F42" w14:textId="77777777" w:rsidR="0056662F" w:rsidRDefault="0056662F" w:rsidP="0056662F">
      <w:pPr>
        <w:pStyle w:val="Body"/>
        <w:spacing w:after="0" w:line="240" w:lineRule="auto"/>
        <w:jc w:val="center"/>
        <w:rPr>
          <w:rFonts w:ascii="Times New Roman" w:eastAsia="Times New Roman" w:hAnsi="Times New Roman" w:cs="Times New Roman"/>
          <w:sz w:val="24"/>
          <w:szCs w:val="24"/>
        </w:rPr>
      </w:pPr>
    </w:p>
    <w:p w14:paraId="054089D8" w14:textId="77777777" w:rsidR="0056662F" w:rsidRDefault="0056662F" w:rsidP="0056662F">
      <w:pPr>
        <w:pStyle w:val="Body"/>
        <w:spacing w:after="0" w:line="240" w:lineRule="auto"/>
        <w:jc w:val="center"/>
        <w:rPr>
          <w:rFonts w:ascii="Times New Roman" w:eastAsia="Times New Roman" w:hAnsi="Times New Roman" w:cs="Times New Roman"/>
          <w:sz w:val="24"/>
          <w:szCs w:val="24"/>
        </w:rPr>
      </w:pPr>
    </w:p>
    <w:p w14:paraId="17F4E87B" w14:textId="77777777" w:rsidR="0056662F" w:rsidRPr="005F268B" w:rsidRDefault="0056662F" w:rsidP="0056662F">
      <w:pPr>
        <w:pStyle w:val="Body"/>
        <w:spacing w:after="0" w:line="240" w:lineRule="auto"/>
        <w:jc w:val="center"/>
        <w:rPr>
          <w:rFonts w:ascii="Times New Roman" w:eastAsia="Times New Roman" w:hAnsi="Times New Roman" w:cs="Times New Roman"/>
          <w:b/>
          <w:caps/>
          <w:sz w:val="24"/>
          <w:szCs w:val="24"/>
          <w:u w:val="single"/>
        </w:rPr>
      </w:pPr>
      <w:r w:rsidRPr="005F268B">
        <w:rPr>
          <w:rFonts w:ascii="Times New Roman" w:hAnsi="Times New Roman"/>
          <w:b/>
          <w:caps/>
          <w:sz w:val="24"/>
          <w:szCs w:val="24"/>
          <w:u w:val="single"/>
        </w:rPr>
        <w:t xml:space="preserve">Committee on </w:t>
      </w:r>
      <w:r>
        <w:rPr>
          <w:rFonts w:ascii="Times New Roman" w:hAnsi="Times New Roman"/>
          <w:b/>
          <w:caps/>
          <w:sz w:val="24"/>
          <w:szCs w:val="24"/>
          <w:u w:val="single"/>
        </w:rPr>
        <w:t>Resiliency and waterfronts</w:t>
      </w:r>
    </w:p>
    <w:p w14:paraId="29877553" w14:textId="77777777" w:rsidR="0056662F" w:rsidRDefault="0056662F" w:rsidP="0056662F">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pt-PT"/>
        </w:rPr>
        <w:t>Hon. Justin Brannan, Chair</w:t>
      </w:r>
    </w:p>
    <w:p w14:paraId="4CACC54C" w14:textId="77777777" w:rsidR="0056662F" w:rsidRDefault="0056662F" w:rsidP="0056662F">
      <w:pPr>
        <w:pStyle w:val="Body"/>
        <w:spacing w:after="0" w:line="240" w:lineRule="auto"/>
        <w:jc w:val="center"/>
        <w:rPr>
          <w:rFonts w:ascii="Times New Roman" w:eastAsia="Times New Roman" w:hAnsi="Times New Roman" w:cs="Times New Roman"/>
          <w:sz w:val="24"/>
          <w:szCs w:val="24"/>
        </w:rPr>
      </w:pPr>
    </w:p>
    <w:p w14:paraId="1B19CDC7" w14:textId="77777777" w:rsidR="0056662F" w:rsidRDefault="0056662F" w:rsidP="0056662F">
      <w:pPr>
        <w:pStyle w:val="Body"/>
        <w:spacing w:after="0" w:line="240" w:lineRule="auto"/>
        <w:jc w:val="center"/>
        <w:rPr>
          <w:rFonts w:ascii="Times New Roman" w:eastAsia="Times New Roman" w:hAnsi="Times New Roman" w:cs="Times New Roman"/>
          <w:sz w:val="24"/>
          <w:szCs w:val="24"/>
        </w:rPr>
      </w:pPr>
    </w:p>
    <w:p w14:paraId="47F8049D" w14:textId="77777777" w:rsidR="0056662F" w:rsidRDefault="0056662F" w:rsidP="0056662F">
      <w:pPr>
        <w:pStyle w:val="Body"/>
        <w:spacing w:after="0" w:line="240" w:lineRule="auto"/>
        <w:jc w:val="center"/>
        <w:rPr>
          <w:rFonts w:ascii="Times New Roman" w:hAnsi="Times New Roman"/>
          <w:sz w:val="24"/>
          <w:szCs w:val="24"/>
          <w:lang w:val="fr-FR"/>
        </w:rPr>
      </w:pPr>
    </w:p>
    <w:p w14:paraId="10D5D327" w14:textId="77777777" w:rsidR="0056662F" w:rsidRDefault="0056662F" w:rsidP="0056662F">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fr-FR"/>
        </w:rPr>
        <w:t>March 18, 2021</w:t>
      </w:r>
    </w:p>
    <w:p w14:paraId="76124A05" w14:textId="77777777" w:rsidR="0056662F" w:rsidRDefault="0056662F" w:rsidP="0056662F">
      <w:pPr>
        <w:pStyle w:val="Body"/>
        <w:spacing w:after="0" w:line="240" w:lineRule="auto"/>
        <w:jc w:val="center"/>
        <w:rPr>
          <w:rFonts w:ascii="Times New Roman" w:eastAsia="Times New Roman" w:hAnsi="Times New Roman" w:cs="Times New Roman"/>
          <w:sz w:val="24"/>
          <w:szCs w:val="24"/>
        </w:rPr>
      </w:pPr>
    </w:p>
    <w:p w14:paraId="36AE8D44" w14:textId="77777777" w:rsidR="0056662F" w:rsidRDefault="0056662F" w:rsidP="0056662F">
      <w:pPr>
        <w:pStyle w:val="Body"/>
        <w:spacing w:after="0" w:line="240" w:lineRule="auto"/>
        <w:ind w:left="2880" w:hanging="2880"/>
        <w:jc w:val="center"/>
        <w:rPr>
          <w:rFonts w:ascii="Times New Roman" w:eastAsia="Times New Roman" w:hAnsi="Times New Roman" w:cs="Times New Roman"/>
          <w:b/>
          <w:smallCaps/>
          <w:sz w:val="24"/>
          <w:szCs w:val="24"/>
        </w:rPr>
      </w:pPr>
    </w:p>
    <w:p w14:paraId="616E2F76" w14:textId="77777777" w:rsidR="0056662F" w:rsidRPr="001D07CF" w:rsidRDefault="0056662F" w:rsidP="0056662F">
      <w:pPr>
        <w:ind w:left="5040" w:hanging="5040"/>
        <w:jc w:val="both"/>
        <w:rPr>
          <w:rFonts w:eastAsia="MS Mincho"/>
          <w:b/>
        </w:rPr>
      </w:pPr>
      <w:r>
        <w:rPr>
          <w:rFonts w:eastAsia="MS Mincho"/>
          <w:b/>
          <w:u w:val="single"/>
        </w:rPr>
        <w:t>PROPOSED INT. NO.</w:t>
      </w:r>
      <w:r w:rsidRPr="001D07CF">
        <w:rPr>
          <w:rFonts w:eastAsia="MS Mincho"/>
          <w:b/>
          <w:u w:val="single"/>
        </w:rPr>
        <w:t xml:space="preserve"> </w:t>
      </w:r>
      <w:r>
        <w:rPr>
          <w:rFonts w:eastAsia="MS Mincho"/>
          <w:b/>
          <w:u w:val="single"/>
        </w:rPr>
        <w:t>2092-A</w:t>
      </w:r>
      <w:r w:rsidRPr="001D07CF">
        <w:rPr>
          <w:rFonts w:eastAsia="MS Mincho"/>
          <w:b/>
        </w:rPr>
        <w:t xml:space="preserve">:                       </w:t>
      </w:r>
      <w:r w:rsidRPr="001D07CF">
        <w:rPr>
          <w:rFonts w:eastAsia="MS Mincho"/>
          <w:b/>
        </w:rPr>
        <w:tab/>
      </w:r>
      <w:r w:rsidRPr="001D07CF">
        <w:rPr>
          <w:rFonts w:eastAsia="MS Mincho"/>
        </w:rPr>
        <w:t xml:space="preserve">By Council Members </w:t>
      </w:r>
      <w:r w:rsidR="00E4258D">
        <w:rPr>
          <w:color w:val="000000"/>
          <w:shd w:val="clear" w:color="auto" w:fill="FFFFFF"/>
        </w:rPr>
        <w:t>Constantinides, Kallos, Rosenthal, Lander, Cornegy, Levin, Rose, Vallone, Brannan and Rivera</w:t>
      </w:r>
    </w:p>
    <w:p w14:paraId="5B1F9FD3" w14:textId="77777777" w:rsidR="0056662F" w:rsidRPr="001D07CF" w:rsidRDefault="0056662F" w:rsidP="0056662F">
      <w:pPr>
        <w:ind w:left="5040" w:hanging="5040"/>
        <w:jc w:val="both"/>
        <w:rPr>
          <w:rFonts w:eastAsia="MS Mincho"/>
          <w:b/>
        </w:rPr>
      </w:pPr>
    </w:p>
    <w:p w14:paraId="67435950" w14:textId="77777777" w:rsidR="0056662F" w:rsidRDefault="0056662F" w:rsidP="0056662F">
      <w:pPr>
        <w:pStyle w:val="NormalWeb"/>
        <w:shd w:val="clear" w:color="auto" w:fill="FFFFFF"/>
        <w:spacing w:before="0" w:beforeAutospacing="0" w:after="0" w:afterAutospacing="0"/>
        <w:ind w:left="5040" w:hanging="5040"/>
        <w:jc w:val="both"/>
        <w:rPr>
          <w:color w:val="000000"/>
        </w:rPr>
      </w:pPr>
      <w:r w:rsidRPr="001D07CF">
        <w:rPr>
          <w:rFonts w:eastAsia="MS Mincho"/>
          <w:b/>
          <w:u w:val="single"/>
        </w:rPr>
        <w:t>TITLE</w:t>
      </w:r>
      <w:r w:rsidRPr="001D07CF">
        <w:rPr>
          <w:rFonts w:eastAsia="MS Mincho"/>
          <w:b/>
        </w:rPr>
        <w:t>:</w:t>
      </w:r>
      <w:r>
        <w:rPr>
          <w:rFonts w:eastAsia="MS Mincho"/>
          <w:b/>
        </w:rPr>
        <w:t xml:space="preserve"> </w:t>
      </w:r>
      <w:r>
        <w:rPr>
          <w:rFonts w:eastAsia="MS Mincho"/>
          <w:b/>
        </w:rPr>
        <w:tab/>
      </w:r>
      <w:r>
        <w:rPr>
          <w:rFonts w:eastAsia="MS Mincho"/>
        </w:rPr>
        <w:t>A</w:t>
      </w:r>
      <w:r>
        <w:rPr>
          <w:color w:val="000000"/>
        </w:rPr>
        <w:t xml:space="preserve"> Local Law to amend the administrative code of the city of New York, in relation to climate resiliency design guidelines and resiliency scoring</w:t>
      </w:r>
    </w:p>
    <w:p w14:paraId="1DC62EFA" w14:textId="77777777" w:rsidR="0056662F" w:rsidRDefault="0056662F" w:rsidP="0056662F">
      <w:pPr>
        <w:ind w:left="5040" w:hanging="5040"/>
        <w:jc w:val="both"/>
        <w:rPr>
          <w:rFonts w:eastAsia="MS Mincho"/>
          <w:b/>
          <w:u w:val="single"/>
        </w:rPr>
      </w:pPr>
    </w:p>
    <w:p w14:paraId="5704E949" w14:textId="77777777" w:rsidR="0056662F" w:rsidRPr="00423C34" w:rsidRDefault="0056662F" w:rsidP="0056662F">
      <w:pPr>
        <w:ind w:left="5040" w:hanging="5040"/>
        <w:jc w:val="both"/>
        <w:rPr>
          <w:rFonts w:eastAsia="MS Mincho"/>
        </w:rPr>
      </w:pPr>
      <w:r>
        <w:rPr>
          <w:rFonts w:eastAsia="MS Mincho"/>
          <w:b/>
          <w:u w:val="single"/>
        </w:rPr>
        <w:lastRenderedPageBreak/>
        <w:t>ADMINISTRATIVE CODE</w:t>
      </w:r>
      <w:r>
        <w:rPr>
          <w:rFonts w:eastAsia="MS Mincho"/>
          <w:b/>
        </w:rPr>
        <w:t>:</w:t>
      </w:r>
      <w:r>
        <w:rPr>
          <w:rFonts w:eastAsia="MS Mincho"/>
        </w:rPr>
        <w:tab/>
        <w:t>Adds sections 3-131 and 3-132</w:t>
      </w:r>
    </w:p>
    <w:p w14:paraId="727685C2" w14:textId="77777777" w:rsidR="0056662F" w:rsidRDefault="0056662F" w:rsidP="0056662F">
      <w:pPr>
        <w:ind w:left="5040" w:hanging="5040"/>
        <w:jc w:val="both"/>
        <w:rPr>
          <w:rFonts w:eastAsia="MS Mincho"/>
          <w:b/>
          <w:u w:val="single"/>
        </w:rPr>
      </w:pPr>
    </w:p>
    <w:p w14:paraId="47F6676D" w14:textId="77777777" w:rsidR="0056662F" w:rsidRDefault="0056662F" w:rsidP="0056662F">
      <w:pPr>
        <w:ind w:left="5040" w:hanging="5040"/>
        <w:jc w:val="both"/>
        <w:rPr>
          <w:rFonts w:eastAsia="MS Mincho"/>
          <w:b/>
          <w:u w:val="single"/>
        </w:rPr>
      </w:pPr>
    </w:p>
    <w:p w14:paraId="52EA957E" w14:textId="77777777" w:rsidR="0056662F" w:rsidRPr="001D07CF" w:rsidRDefault="0056662F" w:rsidP="0056662F">
      <w:pPr>
        <w:ind w:left="5040" w:hanging="5040"/>
        <w:jc w:val="both"/>
        <w:rPr>
          <w:rFonts w:eastAsia="MS Mincho"/>
          <w:b/>
        </w:rPr>
      </w:pPr>
      <w:r>
        <w:rPr>
          <w:rFonts w:eastAsia="MS Mincho"/>
          <w:b/>
          <w:u w:val="single"/>
        </w:rPr>
        <w:t>PROPOSED INT. NO.</w:t>
      </w:r>
      <w:r w:rsidRPr="001D07CF">
        <w:rPr>
          <w:rFonts w:eastAsia="MS Mincho"/>
          <w:b/>
          <w:u w:val="single"/>
        </w:rPr>
        <w:t xml:space="preserve"> </w:t>
      </w:r>
      <w:r>
        <w:rPr>
          <w:rFonts w:eastAsia="MS Mincho"/>
          <w:b/>
          <w:u w:val="single"/>
        </w:rPr>
        <w:t>2198-A</w:t>
      </w:r>
      <w:r w:rsidRPr="001D07CF">
        <w:rPr>
          <w:rFonts w:eastAsia="MS Mincho"/>
          <w:b/>
        </w:rPr>
        <w:t xml:space="preserve">:                       </w:t>
      </w:r>
      <w:r w:rsidRPr="001D07CF">
        <w:rPr>
          <w:rFonts w:eastAsia="MS Mincho"/>
          <w:b/>
        </w:rPr>
        <w:tab/>
      </w:r>
      <w:r w:rsidRPr="001D07CF">
        <w:rPr>
          <w:rFonts w:eastAsia="MS Mincho"/>
        </w:rPr>
        <w:t xml:space="preserve">By Council Members </w:t>
      </w:r>
      <w:r>
        <w:rPr>
          <w:rFonts w:eastAsia="MS Mincho"/>
        </w:rPr>
        <w:t>Matteo</w:t>
      </w:r>
      <w:r w:rsidR="00E4258D">
        <w:rPr>
          <w:rFonts w:eastAsia="MS Mincho"/>
        </w:rPr>
        <w:t>,</w:t>
      </w:r>
      <w:r w:rsidRPr="001D07CF">
        <w:rPr>
          <w:rFonts w:eastAsia="MS Mincho"/>
        </w:rPr>
        <w:t xml:space="preserve"> </w:t>
      </w:r>
      <w:r>
        <w:rPr>
          <w:rFonts w:eastAsia="MS Mincho"/>
        </w:rPr>
        <w:t>Rosenthal</w:t>
      </w:r>
      <w:r w:rsidR="00E4258D">
        <w:rPr>
          <w:rFonts w:eastAsia="MS Mincho"/>
        </w:rPr>
        <w:t xml:space="preserve"> and Rose</w:t>
      </w:r>
    </w:p>
    <w:p w14:paraId="0C75D4E6" w14:textId="77777777" w:rsidR="0056662F" w:rsidRPr="001D07CF" w:rsidRDefault="0056662F" w:rsidP="0056662F">
      <w:pPr>
        <w:ind w:left="5040" w:hanging="5040"/>
        <w:jc w:val="both"/>
        <w:rPr>
          <w:rFonts w:eastAsia="MS Mincho"/>
          <w:b/>
        </w:rPr>
      </w:pPr>
    </w:p>
    <w:p w14:paraId="1F753208" w14:textId="77777777" w:rsidR="0056662F" w:rsidRDefault="0056662F" w:rsidP="0056662F">
      <w:pPr>
        <w:pStyle w:val="NormalWeb"/>
        <w:shd w:val="clear" w:color="auto" w:fill="FFFFFF"/>
        <w:spacing w:before="0" w:beforeAutospacing="0" w:after="0" w:afterAutospacing="0"/>
        <w:ind w:left="5040" w:hanging="5040"/>
        <w:jc w:val="both"/>
        <w:rPr>
          <w:color w:val="000000"/>
          <w:sz w:val="27"/>
          <w:szCs w:val="27"/>
        </w:rPr>
      </w:pPr>
      <w:r w:rsidRPr="001D07CF">
        <w:rPr>
          <w:rFonts w:eastAsia="MS Mincho"/>
          <w:b/>
          <w:u w:val="single"/>
        </w:rPr>
        <w:t>TITLE</w:t>
      </w:r>
      <w:r w:rsidRPr="001D07CF">
        <w:rPr>
          <w:rFonts w:eastAsia="MS Mincho"/>
          <w:b/>
        </w:rPr>
        <w:t>:</w:t>
      </w:r>
      <w:r>
        <w:rPr>
          <w:rFonts w:eastAsia="MS Mincho"/>
          <w:b/>
        </w:rPr>
        <w:t xml:space="preserve"> </w:t>
      </w:r>
      <w:r>
        <w:rPr>
          <w:rFonts w:eastAsia="MS Mincho"/>
          <w:b/>
        </w:rPr>
        <w:tab/>
      </w:r>
      <w:r>
        <w:rPr>
          <w:color w:val="000000"/>
          <w:shd w:val="clear" w:color="auto" w:fill="FFFFFF"/>
        </w:rPr>
        <w:t>A Local Law to amend the New York city building code, in relation to additional freeboard for structures in the floodplain</w:t>
      </w:r>
    </w:p>
    <w:p w14:paraId="6E0D1267" w14:textId="77777777" w:rsidR="0056662F" w:rsidRDefault="0056662F" w:rsidP="0056662F">
      <w:pPr>
        <w:pStyle w:val="NormalWeb"/>
        <w:shd w:val="clear" w:color="auto" w:fill="FFFFFF"/>
        <w:spacing w:before="0" w:beforeAutospacing="0" w:after="0" w:afterAutospacing="0"/>
        <w:ind w:left="5040" w:hanging="5040"/>
        <w:jc w:val="both"/>
        <w:rPr>
          <w:color w:val="000000"/>
          <w:sz w:val="27"/>
          <w:szCs w:val="27"/>
        </w:rPr>
      </w:pPr>
    </w:p>
    <w:p w14:paraId="0687EDC9" w14:textId="77777777" w:rsidR="0056662F" w:rsidRPr="00423C34" w:rsidRDefault="0056662F" w:rsidP="0056662F">
      <w:pPr>
        <w:ind w:left="5040" w:hanging="5040"/>
        <w:jc w:val="both"/>
        <w:rPr>
          <w:rFonts w:eastAsia="MS Mincho"/>
        </w:rPr>
      </w:pPr>
      <w:r>
        <w:rPr>
          <w:rFonts w:eastAsia="MS Mincho"/>
          <w:b/>
          <w:u w:val="single"/>
        </w:rPr>
        <w:t>BUILDING CODE</w:t>
      </w:r>
      <w:r>
        <w:rPr>
          <w:rFonts w:eastAsia="MS Mincho"/>
          <w:b/>
        </w:rPr>
        <w:t>:</w:t>
      </w:r>
      <w:r>
        <w:rPr>
          <w:rFonts w:eastAsia="MS Mincho"/>
        </w:rPr>
        <w:tab/>
        <w:t xml:space="preserve">Amends section G501.1 </w:t>
      </w:r>
    </w:p>
    <w:p w14:paraId="27B9EEF2" w14:textId="77777777" w:rsidR="0056662F" w:rsidRDefault="0056662F" w:rsidP="0056662F">
      <w:pPr>
        <w:ind w:left="5040" w:hanging="5040"/>
        <w:jc w:val="both"/>
        <w:rPr>
          <w:rFonts w:eastAsia="MS Mincho"/>
          <w:b/>
          <w:u w:val="single"/>
        </w:rPr>
      </w:pPr>
    </w:p>
    <w:p w14:paraId="231072DD" w14:textId="77777777" w:rsidR="0056662F" w:rsidRDefault="0056662F" w:rsidP="0056662F">
      <w:pPr>
        <w:ind w:left="5040" w:hanging="5040"/>
        <w:jc w:val="both"/>
        <w:rPr>
          <w:rFonts w:eastAsia="MS Mincho"/>
          <w:b/>
          <w:u w:val="single"/>
        </w:rPr>
      </w:pPr>
    </w:p>
    <w:p w14:paraId="49133D8F" w14:textId="77777777" w:rsidR="0056662F" w:rsidRDefault="0056662F" w:rsidP="0056662F">
      <w:pPr>
        <w:pStyle w:val="NormalWeb"/>
        <w:shd w:val="clear" w:color="auto" w:fill="FFFFFF"/>
        <w:spacing w:before="0" w:beforeAutospacing="0" w:after="0" w:afterAutospacing="0"/>
        <w:ind w:left="5040" w:hanging="5040"/>
        <w:jc w:val="both"/>
        <w:rPr>
          <w:color w:val="000000"/>
          <w:sz w:val="27"/>
          <w:szCs w:val="27"/>
        </w:rPr>
      </w:pPr>
    </w:p>
    <w:p w14:paraId="022D7669" w14:textId="77777777" w:rsidR="0056662F" w:rsidRDefault="0056662F" w:rsidP="0056662F">
      <w:pPr>
        <w:pStyle w:val="NormalWeb"/>
        <w:shd w:val="clear" w:color="auto" w:fill="FFFFFF"/>
        <w:spacing w:before="0" w:beforeAutospacing="0" w:after="0" w:afterAutospacing="0"/>
        <w:jc w:val="both"/>
        <w:rPr>
          <w:color w:val="000000"/>
          <w:sz w:val="27"/>
          <w:szCs w:val="27"/>
        </w:rPr>
      </w:pPr>
      <w:r>
        <w:rPr>
          <w:color w:val="000000"/>
        </w:rPr>
        <w:t> </w:t>
      </w:r>
    </w:p>
    <w:p w14:paraId="25245D5B" w14:textId="77777777" w:rsidR="0056662F" w:rsidRDefault="0056662F" w:rsidP="0056662F">
      <w:pPr>
        <w:pStyle w:val="Body"/>
        <w:spacing w:after="0" w:line="240" w:lineRule="auto"/>
        <w:ind w:left="5040" w:hanging="5040"/>
        <w:rPr>
          <w:rFonts w:ascii="Times New Roman" w:eastAsia="Times New Roman" w:hAnsi="Times New Roman" w:cs="Times New Roman"/>
          <w:sz w:val="24"/>
          <w:szCs w:val="24"/>
        </w:rPr>
      </w:pPr>
      <w:r w:rsidRPr="006C526D">
        <w:rPr>
          <w:rFonts w:ascii="Times New Roman" w:eastAsia="Times New Roman" w:hAnsi="Times New Roman"/>
          <w:szCs w:val="24"/>
        </w:rPr>
        <w:t xml:space="preserve"> </w:t>
      </w:r>
    </w:p>
    <w:p w14:paraId="7F1E4346" w14:textId="77777777" w:rsidR="0056662F" w:rsidRPr="008B7E14" w:rsidRDefault="0056662F" w:rsidP="0056662F">
      <w:pPr>
        <w:pStyle w:val="Body"/>
        <w:spacing w:after="0" w:line="480" w:lineRule="auto"/>
        <w:jc w:val="both"/>
        <w:rPr>
          <w:rFonts w:ascii="Times New Roman" w:hAnsi="Times New Roman"/>
          <w:b/>
          <w:smallCaps/>
          <w:sz w:val="24"/>
          <w:szCs w:val="24"/>
        </w:rPr>
      </w:pPr>
      <w:r w:rsidRPr="008B7E14">
        <w:rPr>
          <w:rFonts w:ascii="Times New Roman" w:hAnsi="Times New Roman"/>
          <w:b/>
          <w:smallCaps/>
          <w:sz w:val="24"/>
          <w:szCs w:val="24"/>
        </w:rPr>
        <w:t>Introduction</w:t>
      </w:r>
    </w:p>
    <w:p w14:paraId="4707D5C1" w14:textId="77777777" w:rsidR="00B76B3E" w:rsidRDefault="008F1860" w:rsidP="008F1860">
      <w:pPr>
        <w:spacing w:line="480" w:lineRule="auto"/>
        <w:jc w:val="both"/>
        <w:rPr>
          <w:color w:val="000000"/>
        </w:rPr>
      </w:pPr>
      <w:r>
        <w:t xml:space="preserve">On March 18, 2021, </w:t>
      </w:r>
      <w:r w:rsidR="0056662F">
        <w:t xml:space="preserve">the Committee on Resiliency and Waterfronts, chaired by Council Member Justin Brannan, </w:t>
      </w:r>
      <w:r w:rsidR="0056662F">
        <w:rPr>
          <w:bCs/>
          <w:color w:val="000000"/>
        </w:rPr>
        <w:t xml:space="preserve">will </w:t>
      </w:r>
      <w:r>
        <w:rPr>
          <w:bCs/>
          <w:color w:val="000000"/>
        </w:rPr>
        <w:t>hold a hearing to consider Proposed</w:t>
      </w:r>
      <w:r w:rsidR="0056662F">
        <w:rPr>
          <w:bCs/>
          <w:color w:val="000000"/>
        </w:rPr>
        <w:t xml:space="preserve"> Int. No. 2092</w:t>
      </w:r>
      <w:r>
        <w:rPr>
          <w:bCs/>
          <w:color w:val="000000"/>
        </w:rPr>
        <w:t>-A</w:t>
      </w:r>
      <w:r w:rsidR="0056662F">
        <w:rPr>
          <w:bCs/>
          <w:color w:val="000000"/>
        </w:rPr>
        <w:t xml:space="preserve">, sponsored by Council Member </w:t>
      </w:r>
      <w:r w:rsidR="0056662F" w:rsidRPr="007B41A8">
        <w:rPr>
          <w:bCs/>
          <w:color w:val="000000"/>
        </w:rPr>
        <w:t>Constantinides</w:t>
      </w:r>
      <w:r w:rsidR="0056662F">
        <w:rPr>
          <w:bCs/>
          <w:color w:val="000000"/>
        </w:rPr>
        <w:t xml:space="preserve">, </w:t>
      </w:r>
      <w:r w:rsidR="0056662F">
        <w:rPr>
          <w:color w:val="000000"/>
          <w:shd w:val="clear" w:color="auto" w:fill="FFFFFF"/>
        </w:rPr>
        <w:t>in relation to climate resiliency design guidelines and resiliency scoring</w:t>
      </w:r>
      <w:r>
        <w:rPr>
          <w:color w:val="000000"/>
          <w:shd w:val="clear" w:color="auto" w:fill="FFFFFF"/>
        </w:rPr>
        <w:t xml:space="preserve"> and Proposed Int. No.</w:t>
      </w:r>
      <w:r w:rsidR="0056662F">
        <w:rPr>
          <w:color w:val="000000"/>
          <w:shd w:val="clear" w:color="auto" w:fill="FFFFFF"/>
        </w:rPr>
        <w:t xml:space="preserve"> 2198</w:t>
      </w:r>
      <w:r>
        <w:rPr>
          <w:color w:val="000000"/>
          <w:shd w:val="clear" w:color="auto" w:fill="FFFFFF"/>
        </w:rPr>
        <w:t>-A</w:t>
      </w:r>
      <w:r w:rsidR="0056662F">
        <w:rPr>
          <w:color w:val="000000"/>
          <w:shd w:val="clear" w:color="auto" w:fill="FFFFFF"/>
        </w:rPr>
        <w:t xml:space="preserve">, sponsored by Council Member Matteo, </w:t>
      </w:r>
      <w:r w:rsidR="0056662F">
        <w:rPr>
          <w:color w:val="000000"/>
        </w:rPr>
        <w:t>in relation to additional freeboard for structures in the floodplain</w:t>
      </w:r>
      <w:r>
        <w:rPr>
          <w:color w:val="000000"/>
        </w:rPr>
        <w:t>. This legislation was originally heard at a hearing held on January 25, 2021, during which the Committee received testimony from the Mayor’s Office of Resiliency</w:t>
      </w:r>
      <w:r w:rsidR="009640FA">
        <w:rPr>
          <w:color w:val="000000"/>
        </w:rPr>
        <w:t>, advocates and other interested parties.</w:t>
      </w:r>
      <w:r w:rsidR="00B76B3E">
        <w:rPr>
          <w:color w:val="000000"/>
        </w:rPr>
        <w:t xml:space="preserve"> More information about these bills, along with the materials for that hearing, can be accessed </w:t>
      </w:r>
      <w:hyperlink r:id="rId8" w:history="1">
        <w:r w:rsidR="00B76B3E" w:rsidRPr="00B76B3E">
          <w:rPr>
            <w:rStyle w:val="Hyperlink"/>
          </w:rPr>
          <w:t>here</w:t>
        </w:r>
      </w:hyperlink>
      <w:r w:rsidR="00B76B3E">
        <w:rPr>
          <w:color w:val="000000"/>
        </w:rPr>
        <w:t xml:space="preserve">. </w:t>
      </w:r>
    </w:p>
    <w:p w14:paraId="12A03ABD" w14:textId="77777777" w:rsidR="008F1860" w:rsidRDefault="008F1860" w:rsidP="0056662F">
      <w:pPr>
        <w:pStyle w:val="NormalWeb"/>
        <w:shd w:val="clear" w:color="auto" w:fill="FFFFFF"/>
        <w:spacing w:before="0" w:beforeAutospacing="0" w:after="0" w:afterAutospacing="0" w:line="480" w:lineRule="auto"/>
        <w:jc w:val="both"/>
        <w:rPr>
          <w:color w:val="000000"/>
        </w:rPr>
      </w:pPr>
    </w:p>
    <w:p w14:paraId="27FA0E2C" w14:textId="77777777" w:rsidR="0056662F" w:rsidRDefault="0056662F" w:rsidP="0056662F">
      <w:pPr>
        <w:pStyle w:val="NormalWeb"/>
        <w:shd w:val="clear" w:color="auto" w:fill="FFFFFF"/>
        <w:spacing w:before="0" w:beforeAutospacing="0" w:after="0" w:afterAutospacing="0" w:line="480" w:lineRule="auto"/>
        <w:jc w:val="both"/>
        <w:rPr>
          <w:b/>
          <w:bCs/>
          <w:smallCaps/>
        </w:rPr>
      </w:pPr>
      <w:r>
        <w:rPr>
          <w:b/>
          <w:bCs/>
          <w:smallCaps/>
        </w:rPr>
        <w:t>Legislation</w:t>
      </w:r>
    </w:p>
    <w:p w14:paraId="3EFE7996" w14:textId="77777777" w:rsidR="0056662F" w:rsidRPr="00362DB7" w:rsidRDefault="0056662F" w:rsidP="0056662F">
      <w:pPr>
        <w:pStyle w:val="ListParagraph"/>
        <w:spacing w:line="480" w:lineRule="auto"/>
        <w:ind w:left="0" w:right="-360" w:firstLine="720"/>
        <w:jc w:val="both"/>
        <w:rPr>
          <w:color w:val="000000" w:themeColor="text1"/>
        </w:rPr>
      </w:pPr>
      <w:r w:rsidRPr="00362DB7">
        <w:rPr>
          <w:color w:val="000000" w:themeColor="text1"/>
        </w:rPr>
        <w:t xml:space="preserve">Below is a brief summary of the legislation being </w:t>
      </w:r>
      <w:r w:rsidR="00B76B3E">
        <w:rPr>
          <w:color w:val="000000" w:themeColor="text1"/>
        </w:rPr>
        <w:t>considered</w:t>
      </w:r>
      <w:r w:rsidRPr="00362DB7">
        <w:rPr>
          <w:color w:val="000000" w:themeColor="text1"/>
        </w:rPr>
        <w:t xml:space="preserve"> </w:t>
      </w:r>
      <w:r>
        <w:rPr>
          <w:color w:val="000000" w:themeColor="text1"/>
        </w:rPr>
        <w:t xml:space="preserve">today </w:t>
      </w:r>
      <w:r w:rsidRPr="00362DB7">
        <w:rPr>
          <w:color w:val="000000" w:themeColor="text1"/>
        </w:rPr>
        <w:t xml:space="preserve">by </w:t>
      </w:r>
      <w:r>
        <w:rPr>
          <w:color w:val="000000" w:themeColor="text1"/>
        </w:rPr>
        <w:t>this</w:t>
      </w:r>
      <w:r w:rsidRPr="00362DB7">
        <w:rPr>
          <w:color w:val="000000" w:themeColor="text1"/>
        </w:rPr>
        <w:t xml:space="preserve"> Committee. This summary is intended for informational purposes only and does not substitute for legal counsel. For more detailed information, you should review the full text of the bill, which is attached below</w:t>
      </w:r>
      <w:r>
        <w:rPr>
          <w:color w:val="000000" w:themeColor="text1"/>
        </w:rPr>
        <w:t>.</w:t>
      </w:r>
    </w:p>
    <w:p w14:paraId="438B53E5" w14:textId="77777777" w:rsidR="0056662F" w:rsidRDefault="0056662F" w:rsidP="0056662F">
      <w:pPr>
        <w:pStyle w:val="NormalWeb"/>
        <w:shd w:val="clear" w:color="auto" w:fill="FFFFFF"/>
        <w:spacing w:before="0" w:beforeAutospacing="0" w:after="0" w:afterAutospacing="0"/>
        <w:rPr>
          <w:b/>
          <w:color w:val="000000"/>
        </w:rPr>
      </w:pPr>
    </w:p>
    <w:p w14:paraId="531E6151" w14:textId="77777777" w:rsidR="0056662F" w:rsidRPr="00423C34" w:rsidRDefault="0056662F" w:rsidP="0056662F">
      <w:pPr>
        <w:pStyle w:val="NormalWeb"/>
        <w:shd w:val="clear" w:color="auto" w:fill="FFFFFF"/>
        <w:spacing w:before="0" w:beforeAutospacing="0" w:after="0" w:afterAutospacing="0"/>
        <w:rPr>
          <w:b/>
          <w:color w:val="000000"/>
        </w:rPr>
      </w:pPr>
      <w:r>
        <w:rPr>
          <w:b/>
          <w:color w:val="000000"/>
        </w:rPr>
        <w:t xml:space="preserve">Proposed </w:t>
      </w:r>
      <w:r w:rsidRPr="00423C34">
        <w:rPr>
          <w:b/>
          <w:color w:val="000000"/>
        </w:rPr>
        <w:t>Int. No. 2092</w:t>
      </w:r>
      <w:r>
        <w:rPr>
          <w:b/>
          <w:color w:val="000000"/>
        </w:rPr>
        <w:t xml:space="preserve">-A, A </w:t>
      </w:r>
      <w:r w:rsidRPr="00423C34">
        <w:rPr>
          <w:b/>
          <w:color w:val="000000"/>
        </w:rPr>
        <w:t>Local Law to amend the administrative code of the city of New York, in relation to climate resiliency design guidelines and resiliency scoring</w:t>
      </w:r>
    </w:p>
    <w:p w14:paraId="4F883432" w14:textId="77777777" w:rsidR="0056662F" w:rsidRDefault="0056662F" w:rsidP="0056662F">
      <w:pPr>
        <w:pStyle w:val="NormalWeb"/>
        <w:shd w:val="clear" w:color="auto" w:fill="FFFFFF"/>
        <w:spacing w:before="0" w:beforeAutospacing="0" w:after="0" w:afterAutospacing="0"/>
        <w:rPr>
          <w:b/>
          <w:color w:val="000000"/>
          <w:u w:val="single"/>
        </w:rPr>
      </w:pPr>
    </w:p>
    <w:p w14:paraId="37473EDA" w14:textId="3DE4D8B5" w:rsidR="00E4258D" w:rsidRPr="00747BCB" w:rsidRDefault="0056662F" w:rsidP="00E4258D">
      <w:pPr>
        <w:pStyle w:val="NoSpacing"/>
        <w:spacing w:line="480" w:lineRule="auto"/>
        <w:ind w:firstLine="720"/>
        <w:jc w:val="both"/>
        <w:rPr>
          <w:rFonts w:cs="Times New Roman"/>
          <w:szCs w:val="24"/>
        </w:rPr>
      </w:pPr>
      <w:r>
        <w:rPr>
          <w:color w:val="000000"/>
        </w:rPr>
        <w:t xml:space="preserve">Proposed Int. No. 2092-A </w:t>
      </w:r>
      <w:r w:rsidR="00E4258D">
        <w:rPr>
          <w:rFonts w:cs="Times New Roman"/>
          <w:szCs w:val="24"/>
        </w:rPr>
        <w:t xml:space="preserve">would require the </w:t>
      </w:r>
      <w:r w:rsidR="00E4258D" w:rsidRPr="00747BCB">
        <w:rPr>
          <w:color w:val="000000"/>
          <w:szCs w:val="24"/>
        </w:rPr>
        <w:t>Office of Long-Term Planning and Sustainability</w:t>
      </w:r>
      <w:r w:rsidR="00E4258D">
        <w:rPr>
          <w:color w:val="000000"/>
          <w:szCs w:val="24"/>
        </w:rPr>
        <w:t xml:space="preserve"> (OLTPS)</w:t>
      </w:r>
      <w:r w:rsidR="00E4258D" w:rsidRPr="00747BCB">
        <w:rPr>
          <w:color w:val="000000"/>
          <w:szCs w:val="24"/>
        </w:rPr>
        <w:t xml:space="preserve"> to develop climate resiliency design guidelines, pursuant to a pilot program, for City capital projects. </w:t>
      </w:r>
      <w:r w:rsidR="00E4258D">
        <w:rPr>
          <w:color w:val="000000"/>
          <w:szCs w:val="24"/>
        </w:rPr>
        <w:t>OLTPS</w:t>
      </w:r>
      <w:r w:rsidR="00E4258D" w:rsidRPr="00747BCB">
        <w:rPr>
          <w:color w:val="000000"/>
          <w:szCs w:val="24"/>
        </w:rPr>
        <w:t>, in consultation with other City agencies</w:t>
      </w:r>
      <w:r w:rsidR="00E4258D">
        <w:rPr>
          <w:color w:val="000000"/>
          <w:szCs w:val="24"/>
        </w:rPr>
        <w:t>, environmental justice organizations with expertise in climate resiliency,</w:t>
      </w:r>
      <w:r w:rsidR="00E4258D" w:rsidRPr="00747BCB">
        <w:rPr>
          <w:color w:val="000000"/>
          <w:szCs w:val="24"/>
        </w:rPr>
        <w:t xml:space="preserve"> and members of the public with expertise in climate resiliency,</w:t>
      </w:r>
      <w:r w:rsidR="00E4258D">
        <w:rPr>
          <w:color w:val="000000"/>
          <w:szCs w:val="24"/>
        </w:rPr>
        <w:t xml:space="preserve"> climate design, the built environment, engineering, and environmental justice issues,</w:t>
      </w:r>
      <w:r w:rsidR="00E4258D" w:rsidRPr="00747BCB">
        <w:rPr>
          <w:color w:val="000000"/>
          <w:szCs w:val="24"/>
        </w:rPr>
        <w:t xml:space="preserve"> would also use the climate resiliency design guidelines to develop a climate resiliency score metric for capital projects. Such score would account for </w:t>
      </w:r>
      <w:r w:rsidR="00F567C7">
        <w:rPr>
          <w:color w:val="000000"/>
          <w:szCs w:val="24"/>
        </w:rPr>
        <w:t>features</w:t>
      </w:r>
      <w:r w:rsidR="003759AB">
        <w:rPr>
          <w:color w:val="000000"/>
          <w:szCs w:val="24"/>
        </w:rPr>
        <w:t xml:space="preserve"> such as </w:t>
      </w:r>
      <w:r w:rsidR="00F567C7">
        <w:rPr>
          <w:color w:val="000000"/>
          <w:szCs w:val="24"/>
        </w:rPr>
        <w:t xml:space="preserve">elevation to prevent </w:t>
      </w:r>
      <w:r w:rsidR="00E4258D" w:rsidRPr="00747BCB">
        <w:rPr>
          <w:color w:val="000000"/>
          <w:szCs w:val="24"/>
        </w:rPr>
        <w:t>flooding risk, energy efficiency, energy resilience and on-site water capture and management.</w:t>
      </w:r>
      <w:r w:rsidR="00E4258D">
        <w:rPr>
          <w:color w:val="000000"/>
          <w:szCs w:val="24"/>
        </w:rPr>
        <w:t xml:space="preserve"> Every City capital project above a threshold construction cost would be evaluated for its resiliency and have to meet or exceed a minimum resiliency score.</w:t>
      </w:r>
    </w:p>
    <w:p w14:paraId="4342FF1F" w14:textId="77777777" w:rsidR="0056662F" w:rsidRPr="00747BCB" w:rsidRDefault="0056662F" w:rsidP="00E4258D">
      <w:pPr>
        <w:pStyle w:val="NoSpacing"/>
        <w:spacing w:line="480" w:lineRule="auto"/>
        <w:ind w:firstLine="720"/>
        <w:jc w:val="both"/>
        <w:rPr>
          <w:rFonts w:cs="Times New Roman"/>
          <w:szCs w:val="24"/>
        </w:rPr>
      </w:pPr>
      <w:r>
        <w:rPr>
          <w:color w:val="000000"/>
          <w:szCs w:val="24"/>
        </w:rPr>
        <w:t>This local law would take effect 120 days after it becomes law.</w:t>
      </w:r>
    </w:p>
    <w:p w14:paraId="7C421E80" w14:textId="77777777" w:rsidR="0056662F" w:rsidRPr="001D07CF" w:rsidRDefault="0056662F" w:rsidP="0056662F">
      <w:pPr>
        <w:pStyle w:val="NormalWeb"/>
        <w:shd w:val="clear" w:color="auto" w:fill="FFFFFF"/>
        <w:spacing w:before="0" w:beforeAutospacing="0" w:after="0" w:afterAutospacing="0"/>
        <w:rPr>
          <w:b/>
          <w:color w:val="000000"/>
          <w:u w:val="single"/>
        </w:rPr>
      </w:pPr>
    </w:p>
    <w:p w14:paraId="0F991754" w14:textId="77777777" w:rsidR="0056662F" w:rsidRPr="00776816" w:rsidRDefault="00E4258D" w:rsidP="0056662F">
      <w:pPr>
        <w:pStyle w:val="NormalWeb"/>
        <w:shd w:val="clear" w:color="auto" w:fill="FFFFFF"/>
        <w:spacing w:before="0" w:beforeAutospacing="0" w:after="0" w:afterAutospacing="0"/>
        <w:rPr>
          <w:color w:val="000000"/>
        </w:rPr>
      </w:pPr>
      <w:r>
        <w:rPr>
          <w:b/>
          <w:color w:val="000000"/>
        </w:rPr>
        <w:t xml:space="preserve">Proposed </w:t>
      </w:r>
      <w:r w:rsidR="0056662F" w:rsidRPr="00423C34">
        <w:rPr>
          <w:b/>
          <w:color w:val="000000"/>
        </w:rPr>
        <w:t>Int. No. 2198</w:t>
      </w:r>
      <w:r>
        <w:rPr>
          <w:b/>
          <w:color w:val="000000"/>
        </w:rPr>
        <w:t>-A</w:t>
      </w:r>
      <w:r w:rsidR="0056662F">
        <w:rPr>
          <w:b/>
          <w:color w:val="000000"/>
        </w:rPr>
        <w:t xml:space="preserve">, A Local Law </w:t>
      </w:r>
      <w:r w:rsidR="0056662F" w:rsidRPr="00423C34">
        <w:rPr>
          <w:b/>
          <w:color w:val="000000"/>
        </w:rPr>
        <w:t>to amend the New York city building code, in relation to additional freeboard for structures in the floodplain</w:t>
      </w:r>
    </w:p>
    <w:p w14:paraId="7F20AAAF" w14:textId="77777777" w:rsidR="0056662F" w:rsidRDefault="0056662F" w:rsidP="0056662F">
      <w:pPr>
        <w:pStyle w:val="NormalWeb"/>
        <w:shd w:val="clear" w:color="auto" w:fill="FFFFFF"/>
        <w:spacing w:before="0" w:beforeAutospacing="0" w:after="0" w:afterAutospacing="0"/>
        <w:rPr>
          <w:color w:val="000000"/>
        </w:rPr>
      </w:pPr>
    </w:p>
    <w:p w14:paraId="2340EC1E" w14:textId="77777777" w:rsidR="0056662F" w:rsidRDefault="0056662F" w:rsidP="0056662F">
      <w:pPr>
        <w:pStyle w:val="NoSpacing"/>
        <w:spacing w:line="480" w:lineRule="auto"/>
        <w:ind w:firstLine="720"/>
        <w:jc w:val="both"/>
        <w:rPr>
          <w:rFonts w:cs="Times New Roman"/>
          <w:szCs w:val="24"/>
        </w:rPr>
      </w:pPr>
      <w:r>
        <w:rPr>
          <w:rFonts w:cs="Times New Roman"/>
          <w:szCs w:val="24"/>
        </w:rPr>
        <w:t xml:space="preserve">Int. No. 2198 </w:t>
      </w:r>
      <w:r w:rsidR="00E4258D">
        <w:rPr>
          <w:rFonts w:cs="Times New Roman"/>
          <w:szCs w:val="24"/>
        </w:rPr>
        <w:t xml:space="preserve">would require that most structures located in the floodplain be elevated an additional one-to-two feet, or by the 500-year flood elevation, depending on the type of structure, to provide additional floodproofing of those structures.  </w:t>
      </w:r>
    </w:p>
    <w:p w14:paraId="0CAF0E26" w14:textId="77777777" w:rsidR="0056662F" w:rsidRPr="00747BCB" w:rsidRDefault="0056662F" w:rsidP="0056662F">
      <w:pPr>
        <w:pStyle w:val="NoSpacing"/>
        <w:spacing w:line="480" w:lineRule="auto"/>
        <w:ind w:firstLine="720"/>
        <w:jc w:val="both"/>
        <w:rPr>
          <w:rFonts w:cs="Times New Roman"/>
          <w:szCs w:val="24"/>
        </w:rPr>
      </w:pPr>
      <w:r>
        <w:rPr>
          <w:color w:val="000000"/>
          <w:szCs w:val="24"/>
        </w:rPr>
        <w:t xml:space="preserve">This local law would take effect </w:t>
      </w:r>
      <w:r w:rsidR="00E4258D">
        <w:rPr>
          <w:color w:val="000000"/>
          <w:szCs w:val="24"/>
        </w:rPr>
        <w:t>one year</w:t>
      </w:r>
      <w:r>
        <w:rPr>
          <w:color w:val="000000"/>
          <w:szCs w:val="24"/>
        </w:rPr>
        <w:t xml:space="preserve"> after it becomes law.</w:t>
      </w:r>
    </w:p>
    <w:p w14:paraId="32BE73B7" w14:textId="77777777" w:rsidR="00B76B3E" w:rsidRDefault="00B76B3E" w:rsidP="0056662F">
      <w:pPr>
        <w:ind w:firstLine="0"/>
        <w:jc w:val="center"/>
      </w:pPr>
    </w:p>
    <w:p w14:paraId="4F69F7E4" w14:textId="77777777" w:rsidR="00B76B3E" w:rsidRDefault="00B76B3E" w:rsidP="0056662F">
      <w:pPr>
        <w:ind w:firstLine="0"/>
        <w:jc w:val="center"/>
      </w:pPr>
    </w:p>
    <w:p w14:paraId="2F57B973" w14:textId="77777777" w:rsidR="00B76B3E" w:rsidRDefault="00B76B3E" w:rsidP="0056662F">
      <w:pPr>
        <w:ind w:firstLine="0"/>
        <w:jc w:val="center"/>
      </w:pPr>
    </w:p>
    <w:p w14:paraId="53723F87" w14:textId="77777777" w:rsidR="00B76B3E" w:rsidRDefault="00B76B3E" w:rsidP="0056662F">
      <w:pPr>
        <w:ind w:firstLine="0"/>
        <w:jc w:val="center"/>
      </w:pPr>
    </w:p>
    <w:p w14:paraId="60FBF435" w14:textId="77777777" w:rsidR="00B76B3E" w:rsidRDefault="00B76B3E" w:rsidP="0056662F">
      <w:pPr>
        <w:ind w:firstLine="0"/>
        <w:jc w:val="center"/>
      </w:pPr>
    </w:p>
    <w:p w14:paraId="3CD4911C" w14:textId="77777777" w:rsidR="00B76B3E" w:rsidRDefault="00B76B3E" w:rsidP="0056662F">
      <w:pPr>
        <w:ind w:firstLine="0"/>
        <w:jc w:val="center"/>
      </w:pPr>
    </w:p>
    <w:p w14:paraId="41CFC2AD" w14:textId="77777777" w:rsidR="00B76B3E" w:rsidRDefault="00B76B3E" w:rsidP="0056662F">
      <w:pPr>
        <w:ind w:firstLine="0"/>
        <w:jc w:val="center"/>
      </w:pPr>
    </w:p>
    <w:p w14:paraId="5A6C4914" w14:textId="77777777" w:rsidR="00B76B3E" w:rsidRDefault="00B76B3E" w:rsidP="0056662F">
      <w:pPr>
        <w:ind w:firstLine="0"/>
        <w:jc w:val="center"/>
      </w:pPr>
    </w:p>
    <w:p w14:paraId="073C6321" w14:textId="77777777" w:rsidR="00B76B3E" w:rsidRDefault="00B76B3E" w:rsidP="0056662F">
      <w:pPr>
        <w:ind w:firstLine="0"/>
        <w:jc w:val="center"/>
      </w:pPr>
    </w:p>
    <w:p w14:paraId="32B39AD1" w14:textId="77777777" w:rsidR="00B76B3E" w:rsidRDefault="00B76B3E" w:rsidP="0056662F">
      <w:pPr>
        <w:ind w:firstLine="0"/>
        <w:jc w:val="center"/>
      </w:pPr>
    </w:p>
    <w:p w14:paraId="2F4715C0" w14:textId="77777777" w:rsidR="00B76B3E" w:rsidRDefault="00B76B3E" w:rsidP="0056662F">
      <w:pPr>
        <w:ind w:firstLine="0"/>
        <w:jc w:val="center"/>
      </w:pPr>
    </w:p>
    <w:p w14:paraId="551A27B6" w14:textId="77777777" w:rsidR="00B76B3E" w:rsidRDefault="00B76B3E" w:rsidP="0056662F">
      <w:pPr>
        <w:ind w:firstLine="0"/>
        <w:jc w:val="center"/>
      </w:pPr>
    </w:p>
    <w:p w14:paraId="67725D76" w14:textId="77777777" w:rsidR="00B76B3E" w:rsidRDefault="00B76B3E" w:rsidP="0056662F">
      <w:pPr>
        <w:ind w:firstLine="0"/>
        <w:jc w:val="center"/>
      </w:pPr>
    </w:p>
    <w:p w14:paraId="29786ABC" w14:textId="77777777" w:rsidR="00B76B3E" w:rsidRDefault="00B76B3E" w:rsidP="0056662F">
      <w:pPr>
        <w:ind w:firstLine="0"/>
        <w:jc w:val="center"/>
      </w:pPr>
    </w:p>
    <w:p w14:paraId="0BA3733C" w14:textId="77777777" w:rsidR="00B76B3E" w:rsidRDefault="00B76B3E" w:rsidP="0056662F">
      <w:pPr>
        <w:ind w:firstLine="0"/>
        <w:jc w:val="center"/>
      </w:pPr>
    </w:p>
    <w:p w14:paraId="18887C79" w14:textId="77777777" w:rsidR="00B76B3E" w:rsidRDefault="00B76B3E" w:rsidP="0056662F">
      <w:pPr>
        <w:ind w:firstLine="0"/>
        <w:jc w:val="center"/>
      </w:pPr>
    </w:p>
    <w:p w14:paraId="471BDFDC" w14:textId="77777777" w:rsidR="00B76B3E" w:rsidRDefault="00B76B3E" w:rsidP="0056662F">
      <w:pPr>
        <w:ind w:firstLine="0"/>
        <w:jc w:val="center"/>
      </w:pPr>
    </w:p>
    <w:p w14:paraId="1367D3B7" w14:textId="77777777" w:rsidR="00B76B3E" w:rsidRDefault="00B76B3E" w:rsidP="0056662F">
      <w:pPr>
        <w:ind w:firstLine="0"/>
        <w:jc w:val="center"/>
      </w:pPr>
    </w:p>
    <w:p w14:paraId="1131D053" w14:textId="77777777" w:rsidR="00B76B3E" w:rsidRDefault="00B76B3E" w:rsidP="0056662F">
      <w:pPr>
        <w:ind w:firstLine="0"/>
        <w:jc w:val="center"/>
      </w:pPr>
    </w:p>
    <w:p w14:paraId="3F11C683" w14:textId="77777777" w:rsidR="00B76B3E" w:rsidRDefault="00B76B3E" w:rsidP="0056662F">
      <w:pPr>
        <w:ind w:firstLine="0"/>
        <w:jc w:val="center"/>
      </w:pPr>
    </w:p>
    <w:p w14:paraId="27F95892" w14:textId="77777777" w:rsidR="00B76B3E" w:rsidRDefault="00B76B3E" w:rsidP="0056662F">
      <w:pPr>
        <w:ind w:firstLine="0"/>
        <w:jc w:val="center"/>
      </w:pPr>
    </w:p>
    <w:p w14:paraId="23C7AFBC" w14:textId="77777777" w:rsidR="00B76B3E" w:rsidRDefault="00B76B3E" w:rsidP="0056662F">
      <w:pPr>
        <w:ind w:firstLine="0"/>
        <w:jc w:val="center"/>
      </w:pPr>
    </w:p>
    <w:p w14:paraId="3EAD78D8" w14:textId="77777777" w:rsidR="00B76B3E" w:rsidRDefault="00B76B3E" w:rsidP="0056662F">
      <w:pPr>
        <w:ind w:firstLine="0"/>
        <w:jc w:val="center"/>
      </w:pPr>
    </w:p>
    <w:p w14:paraId="2001BD21" w14:textId="77777777" w:rsidR="00B76B3E" w:rsidRDefault="00B76B3E" w:rsidP="0056662F">
      <w:pPr>
        <w:ind w:firstLine="0"/>
        <w:jc w:val="center"/>
      </w:pPr>
    </w:p>
    <w:p w14:paraId="7DC1597A" w14:textId="77777777" w:rsidR="00B76B3E" w:rsidRDefault="00B76B3E" w:rsidP="0056662F">
      <w:pPr>
        <w:ind w:firstLine="0"/>
        <w:jc w:val="center"/>
      </w:pPr>
    </w:p>
    <w:p w14:paraId="7D9289E3" w14:textId="77777777" w:rsidR="00B76B3E" w:rsidRDefault="00B76B3E" w:rsidP="0056662F">
      <w:pPr>
        <w:ind w:firstLine="0"/>
        <w:jc w:val="center"/>
      </w:pPr>
    </w:p>
    <w:p w14:paraId="79C0D14E" w14:textId="77777777" w:rsidR="00B76B3E" w:rsidRDefault="00B76B3E" w:rsidP="0056662F">
      <w:pPr>
        <w:ind w:firstLine="0"/>
        <w:jc w:val="center"/>
      </w:pPr>
    </w:p>
    <w:p w14:paraId="752AA9AC" w14:textId="77777777" w:rsidR="00B76B3E" w:rsidRDefault="00B76B3E" w:rsidP="0056662F">
      <w:pPr>
        <w:ind w:firstLine="0"/>
        <w:jc w:val="center"/>
      </w:pPr>
    </w:p>
    <w:p w14:paraId="00BC33EF" w14:textId="77777777" w:rsidR="00B76B3E" w:rsidRDefault="00B76B3E" w:rsidP="0056662F">
      <w:pPr>
        <w:ind w:firstLine="0"/>
        <w:jc w:val="center"/>
      </w:pPr>
    </w:p>
    <w:p w14:paraId="4F210275" w14:textId="77777777" w:rsidR="00B76B3E" w:rsidRPr="00DA1D58" w:rsidRDefault="00DA1D58" w:rsidP="0056662F">
      <w:pPr>
        <w:ind w:firstLine="0"/>
        <w:jc w:val="center"/>
      </w:pPr>
      <w:r>
        <w:rPr>
          <w:u w:val="single"/>
        </w:rPr>
        <w:t>THIS PAGE INTENTIONALLY LEFT BLANK</w:t>
      </w:r>
    </w:p>
    <w:p w14:paraId="406829E8" w14:textId="77777777" w:rsidR="00B76B3E" w:rsidRDefault="00B76B3E" w:rsidP="0056662F">
      <w:pPr>
        <w:ind w:firstLine="0"/>
        <w:jc w:val="center"/>
      </w:pPr>
    </w:p>
    <w:p w14:paraId="771C81B2" w14:textId="77777777" w:rsidR="00B76B3E" w:rsidRDefault="00B76B3E" w:rsidP="0056662F">
      <w:pPr>
        <w:ind w:firstLine="0"/>
        <w:jc w:val="center"/>
      </w:pPr>
    </w:p>
    <w:p w14:paraId="1BA87065" w14:textId="77777777" w:rsidR="00B76B3E" w:rsidRDefault="00B76B3E" w:rsidP="0056662F">
      <w:pPr>
        <w:ind w:firstLine="0"/>
        <w:jc w:val="center"/>
      </w:pPr>
    </w:p>
    <w:p w14:paraId="27EC875E" w14:textId="77777777" w:rsidR="00B76B3E" w:rsidRDefault="00B76B3E" w:rsidP="0056662F">
      <w:pPr>
        <w:ind w:firstLine="0"/>
        <w:jc w:val="center"/>
      </w:pPr>
    </w:p>
    <w:p w14:paraId="3811EF39" w14:textId="77777777" w:rsidR="00B76B3E" w:rsidRDefault="00B76B3E" w:rsidP="0056662F">
      <w:pPr>
        <w:ind w:firstLine="0"/>
        <w:jc w:val="center"/>
      </w:pPr>
    </w:p>
    <w:p w14:paraId="231341E3" w14:textId="77777777" w:rsidR="00B76B3E" w:rsidRDefault="00B76B3E" w:rsidP="0056662F">
      <w:pPr>
        <w:ind w:firstLine="0"/>
        <w:jc w:val="center"/>
      </w:pPr>
    </w:p>
    <w:p w14:paraId="34D375AF" w14:textId="77777777" w:rsidR="00B76B3E" w:rsidRDefault="00B76B3E" w:rsidP="0056662F">
      <w:pPr>
        <w:ind w:firstLine="0"/>
        <w:jc w:val="center"/>
      </w:pPr>
    </w:p>
    <w:p w14:paraId="2F569AB5" w14:textId="77777777" w:rsidR="00B76B3E" w:rsidRDefault="00B76B3E" w:rsidP="0056662F">
      <w:pPr>
        <w:ind w:firstLine="0"/>
        <w:jc w:val="center"/>
      </w:pPr>
    </w:p>
    <w:p w14:paraId="2879ED51" w14:textId="77777777" w:rsidR="00B76B3E" w:rsidRDefault="00B76B3E" w:rsidP="0056662F">
      <w:pPr>
        <w:ind w:firstLine="0"/>
        <w:jc w:val="center"/>
      </w:pPr>
    </w:p>
    <w:p w14:paraId="689214EA" w14:textId="77777777" w:rsidR="00B76B3E" w:rsidRDefault="00B76B3E" w:rsidP="0056662F">
      <w:pPr>
        <w:ind w:firstLine="0"/>
        <w:jc w:val="center"/>
      </w:pPr>
    </w:p>
    <w:p w14:paraId="473942B4" w14:textId="77777777" w:rsidR="00B76B3E" w:rsidRDefault="00B76B3E" w:rsidP="0056662F">
      <w:pPr>
        <w:ind w:firstLine="0"/>
        <w:jc w:val="center"/>
      </w:pPr>
    </w:p>
    <w:p w14:paraId="7AC0CA3B" w14:textId="77777777" w:rsidR="00B76B3E" w:rsidRDefault="00B76B3E" w:rsidP="0056662F">
      <w:pPr>
        <w:ind w:firstLine="0"/>
        <w:jc w:val="center"/>
      </w:pPr>
    </w:p>
    <w:p w14:paraId="511B2747" w14:textId="77777777" w:rsidR="00B76B3E" w:rsidRDefault="00B76B3E" w:rsidP="0056662F">
      <w:pPr>
        <w:ind w:firstLine="0"/>
        <w:jc w:val="center"/>
      </w:pPr>
    </w:p>
    <w:p w14:paraId="19BEB3B9" w14:textId="77777777" w:rsidR="00B76B3E" w:rsidRDefault="00B76B3E" w:rsidP="0056662F">
      <w:pPr>
        <w:ind w:firstLine="0"/>
        <w:jc w:val="center"/>
      </w:pPr>
    </w:p>
    <w:p w14:paraId="44018D62" w14:textId="77777777" w:rsidR="00B76B3E" w:rsidRDefault="00B76B3E" w:rsidP="0056662F">
      <w:pPr>
        <w:ind w:firstLine="0"/>
        <w:jc w:val="center"/>
      </w:pPr>
    </w:p>
    <w:p w14:paraId="0A99C5E4" w14:textId="77777777" w:rsidR="00B76B3E" w:rsidRDefault="00B76B3E" w:rsidP="0056662F">
      <w:pPr>
        <w:ind w:firstLine="0"/>
        <w:jc w:val="center"/>
      </w:pPr>
    </w:p>
    <w:p w14:paraId="484974C6" w14:textId="77777777" w:rsidR="00B76B3E" w:rsidRDefault="00B76B3E" w:rsidP="0056662F">
      <w:pPr>
        <w:ind w:firstLine="0"/>
        <w:jc w:val="center"/>
      </w:pPr>
    </w:p>
    <w:p w14:paraId="4511AB91" w14:textId="77777777" w:rsidR="00B76B3E" w:rsidRDefault="00B76B3E" w:rsidP="0056662F">
      <w:pPr>
        <w:ind w:firstLine="0"/>
        <w:jc w:val="center"/>
      </w:pPr>
    </w:p>
    <w:p w14:paraId="51EFB922" w14:textId="77777777" w:rsidR="00B76B3E" w:rsidRDefault="00B76B3E" w:rsidP="0056662F">
      <w:pPr>
        <w:ind w:firstLine="0"/>
        <w:jc w:val="center"/>
      </w:pPr>
    </w:p>
    <w:p w14:paraId="749E36EC" w14:textId="77777777" w:rsidR="00B76B3E" w:rsidRDefault="00B76B3E" w:rsidP="0056662F">
      <w:pPr>
        <w:ind w:firstLine="0"/>
        <w:jc w:val="center"/>
      </w:pPr>
    </w:p>
    <w:p w14:paraId="74ADF950" w14:textId="77777777" w:rsidR="00B76B3E" w:rsidRDefault="00B76B3E" w:rsidP="0056662F">
      <w:pPr>
        <w:ind w:firstLine="0"/>
        <w:jc w:val="center"/>
      </w:pPr>
    </w:p>
    <w:p w14:paraId="51425C63" w14:textId="77777777" w:rsidR="00B76B3E" w:rsidRDefault="00B76B3E" w:rsidP="0056662F">
      <w:pPr>
        <w:ind w:firstLine="0"/>
        <w:jc w:val="center"/>
      </w:pPr>
    </w:p>
    <w:p w14:paraId="79DF1236" w14:textId="77777777" w:rsidR="00B76B3E" w:rsidRDefault="00B76B3E" w:rsidP="0056662F">
      <w:pPr>
        <w:ind w:firstLine="0"/>
        <w:jc w:val="center"/>
      </w:pPr>
    </w:p>
    <w:p w14:paraId="7DCA900F" w14:textId="77777777" w:rsidR="00B76B3E" w:rsidRDefault="00B76B3E" w:rsidP="0056662F">
      <w:pPr>
        <w:ind w:firstLine="0"/>
        <w:jc w:val="center"/>
      </w:pPr>
    </w:p>
    <w:p w14:paraId="5F0585C2" w14:textId="77777777" w:rsidR="00B76B3E" w:rsidRDefault="00B76B3E" w:rsidP="0056662F">
      <w:pPr>
        <w:ind w:firstLine="0"/>
        <w:jc w:val="center"/>
      </w:pPr>
    </w:p>
    <w:p w14:paraId="71E95C7C" w14:textId="77777777" w:rsidR="0056662F" w:rsidRDefault="0056662F" w:rsidP="0056662F">
      <w:pPr>
        <w:ind w:firstLine="0"/>
        <w:jc w:val="center"/>
      </w:pPr>
      <w:r>
        <w:t>Proposed Int. No. 2092-A</w:t>
      </w:r>
    </w:p>
    <w:p w14:paraId="208DE84D" w14:textId="77777777" w:rsidR="0056662F" w:rsidRDefault="0056662F" w:rsidP="0056662F">
      <w:pPr>
        <w:ind w:firstLine="0"/>
        <w:jc w:val="center"/>
      </w:pPr>
    </w:p>
    <w:p w14:paraId="7F159122" w14:textId="77777777" w:rsidR="0056662F" w:rsidRDefault="0056662F" w:rsidP="0056662F">
      <w:pPr>
        <w:ind w:firstLine="0"/>
        <w:jc w:val="both"/>
      </w:pPr>
      <w:r>
        <w:t xml:space="preserve">By Council Members </w:t>
      </w:r>
      <w:r w:rsidR="00E4258D">
        <w:rPr>
          <w:color w:val="000000"/>
          <w:shd w:val="clear" w:color="auto" w:fill="FFFFFF"/>
        </w:rPr>
        <w:t>Constantinides, Kallos, Rosenthal, Lander, Cornegy, Levin, Rose, Vallone, Brannan and Rivera</w:t>
      </w:r>
    </w:p>
    <w:p w14:paraId="796DCA45" w14:textId="77777777" w:rsidR="0056662F" w:rsidRDefault="0056662F" w:rsidP="0056662F">
      <w:pPr>
        <w:pStyle w:val="BodyText"/>
        <w:spacing w:line="240" w:lineRule="auto"/>
        <w:ind w:firstLine="0"/>
      </w:pPr>
    </w:p>
    <w:p w14:paraId="03F5C244" w14:textId="77777777" w:rsidR="0056662F" w:rsidRDefault="0056662F" w:rsidP="0056662F">
      <w:pPr>
        <w:pStyle w:val="BodyText"/>
        <w:spacing w:line="240" w:lineRule="auto"/>
        <w:ind w:firstLine="0"/>
        <w:rPr>
          <w:vanish/>
        </w:rPr>
      </w:pPr>
      <w:r>
        <w:rPr>
          <w:vanish/>
        </w:rPr>
        <w:t>..Title</w:t>
      </w:r>
    </w:p>
    <w:p w14:paraId="062A4E4C" w14:textId="77777777" w:rsidR="0056662F" w:rsidRDefault="0056662F" w:rsidP="0056662F">
      <w:pPr>
        <w:pStyle w:val="BodyText"/>
        <w:spacing w:line="240" w:lineRule="auto"/>
        <w:ind w:firstLine="0"/>
      </w:pPr>
      <w:r>
        <w:t xml:space="preserve">A Local Law to </w:t>
      </w:r>
      <w:r>
        <w:rPr>
          <w:color w:val="000000"/>
          <w:lang w:val="en"/>
        </w:rPr>
        <w:t>amend the administrative code of the city of New York</w:t>
      </w:r>
      <w:r>
        <w:t>, in relation to climate resiliency design guidelines and resiliency scoring</w:t>
      </w:r>
    </w:p>
    <w:p w14:paraId="200A77CD" w14:textId="77777777" w:rsidR="0056662F" w:rsidRDefault="0056662F" w:rsidP="0056662F">
      <w:pPr>
        <w:pStyle w:val="BodyText"/>
        <w:spacing w:line="240" w:lineRule="auto"/>
        <w:ind w:firstLine="0"/>
        <w:rPr>
          <w:vanish/>
        </w:rPr>
      </w:pPr>
      <w:r>
        <w:rPr>
          <w:vanish/>
        </w:rPr>
        <w:t>..Body</w:t>
      </w:r>
    </w:p>
    <w:p w14:paraId="4CA2C42C" w14:textId="77777777" w:rsidR="0056662F" w:rsidRDefault="0056662F" w:rsidP="0056662F">
      <w:pPr>
        <w:pStyle w:val="BodyText"/>
        <w:spacing w:line="240" w:lineRule="auto"/>
        <w:ind w:firstLine="0"/>
        <w:rPr>
          <w:u w:val="single"/>
        </w:rPr>
      </w:pPr>
    </w:p>
    <w:p w14:paraId="1B4C9784" w14:textId="77777777" w:rsidR="0056662F" w:rsidRDefault="0056662F" w:rsidP="0056662F">
      <w:pPr>
        <w:ind w:firstLine="0"/>
        <w:jc w:val="both"/>
      </w:pPr>
      <w:r>
        <w:rPr>
          <w:u w:val="single"/>
        </w:rPr>
        <w:t>Be it enacted by the Council as follows:</w:t>
      </w:r>
    </w:p>
    <w:p w14:paraId="645D5A06" w14:textId="77777777" w:rsidR="0056662F" w:rsidRDefault="0056662F" w:rsidP="0056662F">
      <w:pPr>
        <w:jc w:val="both"/>
      </w:pPr>
    </w:p>
    <w:p w14:paraId="6C53856C" w14:textId="77777777" w:rsidR="0056662F" w:rsidRDefault="0056662F" w:rsidP="0056662F">
      <w:pPr>
        <w:spacing w:line="480" w:lineRule="auto"/>
        <w:jc w:val="both"/>
      </w:pPr>
      <w:r>
        <w:t>Section 1. Subchapter 2 of chapter 1 of title 3 of the administrative code of the city of New York is amended by adding a new section 3-131, to read as follows:</w:t>
      </w:r>
    </w:p>
    <w:p w14:paraId="5B3279FE" w14:textId="77777777" w:rsidR="0056662F" w:rsidRDefault="0056662F" w:rsidP="0056662F">
      <w:pPr>
        <w:spacing w:line="480" w:lineRule="auto"/>
        <w:jc w:val="both"/>
        <w:rPr>
          <w:u w:val="single"/>
        </w:rPr>
      </w:pPr>
      <w:r>
        <w:rPr>
          <w:u w:val="single"/>
        </w:rPr>
        <w:t>§ 3-131 Climate resiliency design guidelines. a. Definitions. For the purposes of this section, the following terms have the following meanings:</w:t>
      </w:r>
    </w:p>
    <w:p w14:paraId="3A7EE58F" w14:textId="77777777" w:rsidR="0056662F" w:rsidRDefault="0056662F" w:rsidP="0056662F">
      <w:pPr>
        <w:spacing w:line="480" w:lineRule="auto"/>
        <w:jc w:val="both"/>
        <w:rPr>
          <w:u w:val="single"/>
        </w:rPr>
      </w:pPr>
      <w:r>
        <w:rPr>
          <w:u w:val="single"/>
        </w:rPr>
        <w:t xml:space="preserve">Agency. The term “agency” shall have the same definition as such term is defined in section 1150 of the charter.  </w:t>
      </w:r>
    </w:p>
    <w:p w14:paraId="31396216" w14:textId="77777777" w:rsidR="0056662F" w:rsidRDefault="0056662F" w:rsidP="0056662F">
      <w:pPr>
        <w:spacing w:line="480" w:lineRule="auto"/>
        <w:jc w:val="both"/>
        <w:rPr>
          <w:u w:val="single"/>
        </w:rPr>
      </w:pPr>
      <w:r>
        <w:rPr>
          <w:u w:val="single"/>
        </w:rPr>
        <w:t>Capital Project. The term “capital project” means a capital project as defined in section 210 of the charter.</w:t>
      </w:r>
    </w:p>
    <w:p w14:paraId="0174B63F" w14:textId="77777777" w:rsidR="0056662F" w:rsidRDefault="0056662F" w:rsidP="0056662F">
      <w:pPr>
        <w:spacing w:line="480" w:lineRule="auto"/>
        <w:jc w:val="both"/>
        <w:rPr>
          <w:color w:val="000000" w:themeColor="text1"/>
          <w:u w:val="single"/>
        </w:rPr>
      </w:pPr>
      <w:r>
        <w:rPr>
          <w:color w:val="000000" w:themeColor="text1"/>
          <w:u w:val="single"/>
        </w:rPr>
        <w:t>Climate stressor.  The term “climate stressor” means a condition, event or trend related to climate variability and change that can exacerbate an event or condition that may cause damage to assets or cause injury, illness or death to people.</w:t>
      </w:r>
    </w:p>
    <w:p w14:paraId="7580309A" w14:textId="77777777" w:rsidR="0056662F" w:rsidRDefault="0056662F" w:rsidP="0056662F">
      <w:pPr>
        <w:spacing w:line="480" w:lineRule="auto"/>
        <w:jc w:val="both"/>
        <w:rPr>
          <w:u w:val="single"/>
        </w:rPr>
      </w:pPr>
      <w:r>
        <w:rPr>
          <w:u w:val="single"/>
        </w:rPr>
        <w:t>Critical facility. The term “critical facility” means a:</w:t>
      </w:r>
    </w:p>
    <w:p w14:paraId="51D57A1C" w14:textId="77777777" w:rsidR="0056662F" w:rsidRDefault="0056662F" w:rsidP="0056662F">
      <w:pPr>
        <w:spacing w:line="480" w:lineRule="auto"/>
        <w:jc w:val="both"/>
        <w:rPr>
          <w:u w:val="single"/>
        </w:rPr>
      </w:pPr>
      <w:r>
        <w:rPr>
          <w:u w:val="single"/>
        </w:rPr>
        <w:t xml:space="preserve">1. Hospital or healthcare facility; </w:t>
      </w:r>
    </w:p>
    <w:p w14:paraId="05BA546D" w14:textId="77777777" w:rsidR="0056662F" w:rsidRDefault="0056662F" w:rsidP="0056662F">
      <w:pPr>
        <w:spacing w:line="480" w:lineRule="auto"/>
        <w:jc w:val="both"/>
        <w:rPr>
          <w:u w:val="single"/>
        </w:rPr>
      </w:pPr>
      <w:r>
        <w:rPr>
          <w:u w:val="single"/>
        </w:rPr>
        <w:t xml:space="preserve">2. Fire, rescue, ambulance, police station or emergency vehicle facility; </w:t>
      </w:r>
    </w:p>
    <w:p w14:paraId="58457B50" w14:textId="77777777" w:rsidR="0056662F" w:rsidRDefault="0056662F" w:rsidP="0056662F">
      <w:pPr>
        <w:spacing w:line="480" w:lineRule="auto"/>
        <w:jc w:val="both"/>
        <w:rPr>
          <w:u w:val="single"/>
        </w:rPr>
      </w:pPr>
      <w:r>
        <w:rPr>
          <w:u w:val="single"/>
        </w:rPr>
        <w:t xml:space="preserve">3. Jail, correctional facility or detention facility; </w:t>
      </w:r>
    </w:p>
    <w:p w14:paraId="7C98A239" w14:textId="77777777" w:rsidR="0056662F" w:rsidRDefault="0056662F" w:rsidP="0056662F">
      <w:pPr>
        <w:spacing w:line="480" w:lineRule="auto"/>
        <w:jc w:val="both"/>
        <w:rPr>
          <w:u w:val="single"/>
        </w:rPr>
      </w:pPr>
      <w:r>
        <w:rPr>
          <w:u w:val="single"/>
        </w:rPr>
        <w:t xml:space="preserve">4. Facility used in emergency response; </w:t>
      </w:r>
    </w:p>
    <w:p w14:paraId="06944FB5" w14:textId="77777777" w:rsidR="0056662F" w:rsidRDefault="0056662F" w:rsidP="0056662F">
      <w:pPr>
        <w:spacing w:line="480" w:lineRule="auto"/>
        <w:jc w:val="both"/>
        <w:rPr>
          <w:u w:val="single"/>
        </w:rPr>
      </w:pPr>
      <w:r>
        <w:rPr>
          <w:u w:val="single"/>
        </w:rPr>
        <w:t xml:space="preserve">5. Critical aviation facility; </w:t>
      </w:r>
    </w:p>
    <w:p w14:paraId="02C294EB" w14:textId="77777777" w:rsidR="0056662F" w:rsidRDefault="0056662F" w:rsidP="0056662F">
      <w:pPr>
        <w:spacing w:line="480" w:lineRule="auto"/>
        <w:jc w:val="both"/>
        <w:rPr>
          <w:u w:val="single"/>
        </w:rPr>
      </w:pPr>
      <w:r>
        <w:rPr>
          <w:u w:val="single"/>
        </w:rPr>
        <w:t xml:space="preserve">6. Food distribution center with an annual expected volume of greater than 170,000,000 pounds; </w:t>
      </w:r>
    </w:p>
    <w:p w14:paraId="7DD7BDC1" w14:textId="77777777" w:rsidR="0056662F" w:rsidRDefault="0056662F" w:rsidP="0056662F">
      <w:pPr>
        <w:spacing w:line="480" w:lineRule="auto"/>
        <w:jc w:val="both"/>
        <w:rPr>
          <w:u w:val="single"/>
        </w:rPr>
      </w:pPr>
      <w:r>
        <w:rPr>
          <w:u w:val="single"/>
        </w:rPr>
        <w:t xml:space="preserve">7. Building or structure that manufactures, processes, handles, stores, disposes or uses toxic or explosive substances; </w:t>
      </w:r>
    </w:p>
    <w:p w14:paraId="589792C5" w14:textId="77777777" w:rsidR="0056662F" w:rsidRDefault="0056662F" w:rsidP="0056662F">
      <w:pPr>
        <w:spacing w:line="480" w:lineRule="auto"/>
        <w:jc w:val="both"/>
        <w:rPr>
          <w:u w:val="single"/>
        </w:rPr>
      </w:pPr>
      <w:r>
        <w:rPr>
          <w:u w:val="single"/>
        </w:rPr>
        <w:t xml:space="preserve">8. Component of infrastructure in transportation, telecommunications or power networks; </w:t>
      </w:r>
    </w:p>
    <w:p w14:paraId="49E6717F" w14:textId="77777777" w:rsidR="0056662F" w:rsidRDefault="0056662F" w:rsidP="0056662F">
      <w:pPr>
        <w:spacing w:line="480" w:lineRule="auto"/>
        <w:jc w:val="both"/>
        <w:rPr>
          <w:u w:val="single"/>
        </w:rPr>
      </w:pPr>
      <w:r>
        <w:rPr>
          <w:u w:val="single"/>
        </w:rPr>
        <w:t xml:space="preserve">9. Ventilation building or fan plant; </w:t>
      </w:r>
    </w:p>
    <w:p w14:paraId="289CFE7D" w14:textId="77777777" w:rsidR="0056662F" w:rsidRDefault="0056662F" w:rsidP="0056662F">
      <w:pPr>
        <w:spacing w:line="480" w:lineRule="auto"/>
        <w:jc w:val="both"/>
        <w:rPr>
          <w:u w:val="single"/>
        </w:rPr>
      </w:pPr>
      <w:r>
        <w:rPr>
          <w:u w:val="single"/>
        </w:rPr>
        <w:t xml:space="preserve">10. Operations center; </w:t>
      </w:r>
    </w:p>
    <w:p w14:paraId="29DBC3B9" w14:textId="77777777" w:rsidR="0056662F" w:rsidRDefault="0056662F" w:rsidP="0056662F">
      <w:pPr>
        <w:spacing w:line="480" w:lineRule="auto"/>
        <w:jc w:val="both"/>
        <w:rPr>
          <w:u w:val="single"/>
        </w:rPr>
      </w:pPr>
      <w:r>
        <w:rPr>
          <w:u w:val="single"/>
        </w:rPr>
        <w:t xml:space="preserve">11. Sanitary pumping station; </w:t>
      </w:r>
    </w:p>
    <w:p w14:paraId="6EF06087" w14:textId="77777777" w:rsidR="0056662F" w:rsidRDefault="0056662F" w:rsidP="0056662F">
      <w:pPr>
        <w:spacing w:line="480" w:lineRule="auto"/>
        <w:jc w:val="both"/>
        <w:rPr>
          <w:u w:val="single"/>
        </w:rPr>
      </w:pPr>
      <w:r>
        <w:rPr>
          <w:u w:val="single"/>
        </w:rPr>
        <w:t xml:space="preserve">12. Stormwater pumping station; </w:t>
      </w:r>
    </w:p>
    <w:p w14:paraId="16B41075" w14:textId="77777777" w:rsidR="0056662F" w:rsidRDefault="0056662F" w:rsidP="0056662F">
      <w:pPr>
        <w:spacing w:line="480" w:lineRule="auto"/>
        <w:jc w:val="both"/>
        <w:rPr>
          <w:u w:val="single"/>
        </w:rPr>
      </w:pPr>
      <w:r>
        <w:rPr>
          <w:u w:val="single"/>
        </w:rPr>
        <w:t xml:space="preserve">13. Train and transit maintenance yard or shop; </w:t>
      </w:r>
    </w:p>
    <w:p w14:paraId="14E82442" w14:textId="77777777" w:rsidR="0056662F" w:rsidRDefault="0056662F" w:rsidP="0056662F">
      <w:pPr>
        <w:spacing w:line="480" w:lineRule="auto"/>
        <w:jc w:val="both"/>
        <w:rPr>
          <w:u w:val="single"/>
        </w:rPr>
      </w:pPr>
      <w:r>
        <w:rPr>
          <w:u w:val="single"/>
        </w:rPr>
        <w:t xml:space="preserve">14. Wastewater treatment plant; </w:t>
      </w:r>
    </w:p>
    <w:p w14:paraId="28C3C3F5" w14:textId="77777777" w:rsidR="0056662F" w:rsidRDefault="0056662F" w:rsidP="0056662F">
      <w:pPr>
        <w:spacing w:line="480" w:lineRule="auto"/>
        <w:jc w:val="both"/>
        <w:rPr>
          <w:u w:val="single"/>
        </w:rPr>
      </w:pPr>
      <w:r>
        <w:rPr>
          <w:u w:val="single"/>
        </w:rPr>
        <w:t xml:space="preserve">15. Component of the water supply infrastructure; </w:t>
      </w:r>
    </w:p>
    <w:p w14:paraId="79414885" w14:textId="77777777" w:rsidR="0056662F" w:rsidRDefault="0056662F" w:rsidP="0056662F">
      <w:pPr>
        <w:spacing w:line="480" w:lineRule="auto"/>
        <w:jc w:val="both"/>
        <w:rPr>
          <w:u w:val="single"/>
        </w:rPr>
      </w:pPr>
      <w:r>
        <w:rPr>
          <w:u w:val="single"/>
        </w:rPr>
        <w:t xml:space="preserve">16. Combined sewer overflow retention tank; </w:t>
      </w:r>
    </w:p>
    <w:p w14:paraId="58881133" w14:textId="77777777" w:rsidR="0056662F" w:rsidRDefault="0056662F" w:rsidP="0056662F">
      <w:pPr>
        <w:spacing w:line="480" w:lineRule="auto"/>
        <w:jc w:val="both"/>
        <w:rPr>
          <w:u w:val="single"/>
        </w:rPr>
      </w:pPr>
      <w:r>
        <w:rPr>
          <w:u w:val="single"/>
        </w:rPr>
        <w:t xml:space="preserve">17. Fueling station; </w:t>
      </w:r>
    </w:p>
    <w:p w14:paraId="7708A72B" w14:textId="77777777" w:rsidR="0056662F" w:rsidRDefault="0056662F" w:rsidP="0056662F">
      <w:pPr>
        <w:spacing w:line="480" w:lineRule="auto"/>
        <w:jc w:val="both"/>
        <w:rPr>
          <w:u w:val="single"/>
        </w:rPr>
      </w:pPr>
      <w:r>
        <w:rPr>
          <w:u w:val="single"/>
        </w:rPr>
        <w:t xml:space="preserve">18. Waste transfer station; and </w:t>
      </w:r>
    </w:p>
    <w:p w14:paraId="22020E11" w14:textId="77777777" w:rsidR="0056662F" w:rsidRDefault="0056662F" w:rsidP="0056662F">
      <w:pPr>
        <w:spacing w:line="480" w:lineRule="auto"/>
        <w:jc w:val="both"/>
        <w:rPr>
          <w:u w:val="single"/>
        </w:rPr>
      </w:pPr>
      <w:r>
        <w:rPr>
          <w:u w:val="single"/>
        </w:rPr>
        <w:t>19. Facility where residents have limited mobility or ability.</w:t>
      </w:r>
    </w:p>
    <w:p w14:paraId="43E255F4" w14:textId="77777777" w:rsidR="0056662F" w:rsidRDefault="0056662F" w:rsidP="0056662F">
      <w:pPr>
        <w:spacing w:line="480" w:lineRule="auto"/>
        <w:jc w:val="both"/>
        <w:rPr>
          <w:u w:val="single"/>
        </w:rPr>
      </w:pPr>
      <w:r>
        <w:rPr>
          <w:rStyle w:val="normaltextrun"/>
          <w:u w:val="single"/>
          <w:shd w:val="clear" w:color="auto" w:fill="FFFFFF"/>
        </w:rPr>
        <w:t>Office.  The term “office” means the </w:t>
      </w:r>
      <w:r>
        <w:rPr>
          <w:rStyle w:val="normaltextrun"/>
          <w:u w:val="single"/>
        </w:rPr>
        <w:t>office of long-term planning and sustainability.</w:t>
      </w:r>
    </w:p>
    <w:p w14:paraId="5D0838D2" w14:textId="77777777" w:rsidR="0056662F" w:rsidRDefault="0056662F" w:rsidP="0056662F">
      <w:pPr>
        <w:spacing w:line="480" w:lineRule="auto"/>
        <w:jc w:val="both"/>
        <w:rPr>
          <w:u w:val="single"/>
        </w:rPr>
      </w:pPr>
      <w:r>
        <w:rPr>
          <w:u w:val="single"/>
        </w:rPr>
        <w:t>Useful life. The term “useful life” means the period over which a building, structure or system is expected to be available for use by an entity and may exceed the design life of such building, structure or system.</w:t>
      </w:r>
    </w:p>
    <w:p w14:paraId="1F78BF8F" w14:textId="77777777" w:rsidR="0056662F" w:rsidRDefault="0056662F" w:rsidP="0056662F">
      <w:pPr>
        <w:spacing w:line="480" w:lineRule="auto"/>
        <w:jc w:val="both"/>
        <w:rPr>
          <w:u w:val="single"/>
        </w:rPr>
      </w:pPr>
      <w:r>
        <w:rPr>
          <w:u w:val="single"/>
        </w:rPr>
        <w:t xml:space="preserve">b. The office shall establish climate resiliency design guidelines for the design and construction of certain capital projects, to be informed both by </w:t>
      </w:r>
      <w:r>
        <w:rPr>
          <w:rStyle w:val="normaltextrun"/>
          <w:u w:val="single"/>
        </w:rPr>
        <w:t xml:space="preserve">any existing </w:t>
      </w:r>
      <w:r>
        <w:rPr>
          <w:u w:val="single"/>
        </w:rPr>
        <w:t xml:space="preserve">climate resiliency design guidelines and by the pilot program pursuant to subdivision c.  Such climate resiliency design guidelines shall consider the capacity of a covered project, as defined in section 3-132, to absorb disruption and manage stresses while maintaining the same basic structure and function, and shall provide guidance on incorporating forward-looking climate change data into the design of capital projects and city facilities, as such term is defined in section 203 of the charter, as well as into the design of covered projects, as defined in section 3-132, and instruction on determining the appropriate resilient design strategies, including consideration of the useful life and criticality of facilities. </w:t>
      </w:r>
    </w:p>
    <w:p w14:paraId="7659A0AC" w14:textId="77777777" w:rsidR="0056662F" w:rsidRDefault="0056662F" w:rsidP="0056662F">
      <w:pPr>
        <w:spacing w:line="480" w:lineRule="auto"/>
        <w:jc w:val="both"/>
        <w:rPr>
          <w:u w:val="single"/>
        </w:rPr>
      </w:pPr>
      <w:r>
        <w:rPr>
          <w:u w:val="single"/>
        </w:rPr>
        <w:t xml:space="preserve">c. Pilot program. No later than August 31, 2021, each agency shall identify capital projects that comprise no less than five percent of their respective capital construction budgets for fiscal years 2021 through 2024. The pilot program shall be in effect for not more than five years, and the office shall select no fewer than 35 such capital projects to include in the pilot program. </w:t>
      </w:r>
      <w:r>
        <w:rPr>
          <w:rStyle w:val="normaltextrun"/>
          <w:u w:val="single"/>
        </w:rPr>
        <w:t>No less than 35 percent of all such capital projects shall be located in an environmental justice area, as such term is defined in section 3-1001, and no fewer than four projects shall be located in each borough.</w:t>
      </w:r>
      <w:r>
        <w:rPr>
          <w:u w:val="single"/>
        </w:rPr>
        <w:t xml:space="preserve">  Projects selected for the pilot program shall include, but not be limited to, the following:</w:t>
      </w:r>
    </w:p>
    <w:p w14:paraId="6775CA83" w14:textId="77777777" w:rsidR="0056662F" w:rsidRDefault="0056662F" w:rsidP="0056662F">
      <w:pPr>
        <w:spacing w:line="480" w:lineRule="auto"/>
        <w:jc w:val="both"/>
        <w:rPr>
          <w:u w:val="single"/>
        </w:rPr>
      </w:pPr>
      <w:r>
        <w:rPr>
          <w:u w:val="single"/>
        </w:rPr>
        <w:t>1. The most common capital projects;</w:t>
      </w:r>
    </w:p>
    <w:p w14:paraId="2CE6F050" w14:textId="77777777" w:rsidR="0056662F" w:rsidRDefault="0056662F" w:rsidP="0056662F">
      <w:pPr>
        <w:spacing w:line="480" w:lineRule="auto"/>
        <w:jc w:val="both"/>
        <w:rPr>
          <w:u w:val="single"/>
        </w:rPr>
      </w:pPr>
      <w:r>
        <w:rPr>
          <w:u w:val="single"/>
        </w:rPr>
        <w:t>2. New construction and substantial improvements, as both terms are defined in section G201.2 of chapter G2 of appendix G of the New York city building code;</w:t>
      </w:r>
    </w:p>
    <w:p w14:paraId="329DF60B" w14:textId="77777777" w:rsidR="0056662F" w:rsidRDefault="0056662F" w:rsidP="0056662F">
      <w:pPr>
        <w:spacing w:line="480" w:lineRule="auto"/>
        <w:jc w:val="both"/>
        <w:rPr>
          <w:u w:val="single"/>
        </w:rPr>
      </w:pPr>
      <w:r>
        <w:rPr>
          <w:u w:val="single"/>
        </w:rPr>
        <w:t xml:space="preserve">3. Projects with a useful life: (a) less than 10 years; (b) 10 to 50 years; and (c) over 50 years; </w:t>
      </w:r>
    </w:p>
    <w:p w14:paraId="70F4DAAF" w14:textId="77777777" w:rsidR="0056662F" w:rsidRDefault="0056662F" w:rsidP="0056662F">
      <w:pPr>
        <w:spacing w:line="480" w:lineRule="auto"/>
        <w:jc w:val="both"/>
        <w:rPr>
          <w:u w:val="single"/>
        </w:rPr>
      </w:pPr>
      <w:r>
        <w:rPr>
          <w:u w:val="single"/>
        </w:rPr>
        <w:t xml:space="preserve">4. Projects with capital costs: (a) under $10 million; (b) $10-49 million; (c) $50-100 million; and (d) over $100 million; </w:t>
      </w:r>
    </w:p>
    <w:p w14:paraId="7C7671D8" w14:textId="77777777" w:rsidR="0056662F" w:rsidRDefault="0056662F" w:rsidP="0056662F">
      <w:pPr>
        <w:spacing w:line="480" w:lineRule="auto"/>
        <w:jc w:val="both"/>
        <w:rPr>
          <w:u w:val="single"/>
        </w:rPr>
      </w:pPr>
      <w:r>
        <w:rPr>
          <w:u w:val="single"/>
        </w:rPr>
        <w:t>5. Critical and non-critical facilities; and</w:t>
      </w:r>
    </w:p>
    <w:p w14:paraId="66FA587D" w14:textId="77777777" w:rsidR="0056662F" w:rsidRDefault="0056662F" w:rsidP="0056662F">
      <w:pPr>
        <w:spacing w:line="480" w:lineRule="auto"/>
        <w:jc w:val="both"/>
        <w:rPr>
          <w:u w:val="single"/>
        </w:rPr>
      </w:pPr>
      <w:r>
        <w:rPr>
          <w:u w:val="single"/>
        </w:rPr>
        <w:t>6</w:t>
      </w:r>
      <w:r>
        <w:t xml:space="preserve">. </w:t>
      </w:r>
      <w:r>
        <w:rPr>
          <w:u w:val="single"/>
        </w:rPr>
        <w:t>Facilities that are exposed to a variety of climate stressors.</w:t>
      </w:r>
    </w:p>
    <w:p w14:paraId="2D219857" w14:textId="77777777" w:rsidR="0056662F" w:rsidRDefault="0056662F" w:rsidP="0056662F">
      <w:pPr>
        <w:spacing w:line="480" w:lineRule="auto"/>
        <w:jc w:val="both"/>
        <w:rPr>
          <w:u w:val="single"/>
        </w:rPr>
      </w:pPr>
      <w:r>
        <w:rPr>
          <w:u w:val="single"/>
        </w:rPr>
        <w:t>d. No later than December 31, 2026, the office shall submit to the speaker of the council and publish on its website the climate resiliency design guidelines developed pursuant to the pilot program described in subdivision c. Such guidelines shall be updated as necessary and no less than once every eight years from such date of submission.</w:t>
      </w:r>
    </w:p>
    <w:p w14:paraId="7CDE0EC7" w14:textId="77777777" w:rsidR="0056662F" w:rsidRDefault="0056662F" w:rsidP="0056662F">
      <w:pPr>
        <w:spacing w:line="480" w:lineRule="auto"/>
        <w:jc w:val="both"/>
      </w:pPr>
      <w:r>
        <w:t xml:space="preserve">§ 2. </w:t>
      </w:r>
      <w:bookmarkStart w:id="1" w:name="_Hlk40049406"/>
      <w:r>
        <w:t>Subchapter 2 of chapter 1 of title 3 of the administrative code of the city of New York is amended by adding a new section 3-132, to read as follows:</w:t>
      </w:r>
      <w:bookmarkEnd w:id="1"/>
    </w:p>
    <w:p w14:paraId="6DE9EBF1" w14:textId="77777777" w:rsidR="0056662F" w:rsidRDefault="0056662F" w:rsidP="0056662F">
      <w:pPr>
        <w:shd w:val="clear" w:color="auto" w:fill="FFFFFF" w:themeFill="background1"/>
        <w:spacing w:line="480" w:lineRule="auto"/>
        <w:jc w:val="both"/>
        <w:rPr>
          <w:color w:val="000000"/>
          <w:u w:val="single"/>
          <w:shd w:val="clear" w:color="auto" w:fill="FFFFFF"/>
        </w:rPr>
      </w:pPr>
      <w:r>
        <w:rPr>
          <w:u w:val="single"/>
        </w:rPr>
        <w:t xml:space="preserve">§ 3-132 Resiliency scores of agency projects. a. </w:t>
      </w:r>
      <w:r>
        <w:rPr>
          <w:color w:val="000000"/>
          <w:u w:val="single"/>
        </w:rPr>
        <w:t>Definitions. For the purposes of this section, the</w:t>
      </w:r>
      <w:r>
        <w:rPr>
          <w:color w:val="000000"/>
          <w:u w:val="single"/>
          <w:shd w:val="clear" w:color="auto" w:fill="FFFFFF"/>
        </w:rPr>
        <w:t xml:space="preserve"> following terms have the following meanings:</w:t>
      </w:r>
    </w:p>
    <w:p w14:paraId="420D5BEF" w14:textId="77777777" w:rsidR="0056662F" w:rsidRDefault="0056662F" w:rsidP="0056662F">
      <w:pPr>
        <w:shd w:val="clear" w:color="auto" w:fill="FFFFFF"/>
        <w:spacing w:line="480" w:lineRule="auto"/>
        <w:jc w:val="both"/>
        <w:rPr>
          <w:u w:val="single"/>
          <w:shd w:val="clear" w:color="auto" w:fill="FFFFFF"/>
        </w:rPr>
      </w:pPr>
      <w:r>
        <w:rPr>
          <w:rStyle w:val="normaltextrun"/>
          <w:u w:val="single"/>
        </w:rPr>
        <w:t>Agency. The term “agency” shall have the same definition as such term is defined in section 1150 of the charter.</w:t>
      </w:r>
    </w:p>
    <w:p w14:paraId="158CC282" w14:textId="77777777" w:rsidR="0056662F" w:rsidRDefault="0056662F" w:rsidP="0056662F">
      <w:pPr>
        <w:shd w:val="clear" w:color="auto" w:fill="FFFFFF"/>
        <w:spacing w:line="480" w:lineRule="auto"/>
        <w:jc w:val="both"/>
        <w:rPr>
          <w:color w:val="000000"/>
          <w:u w:val="single"/>
          <w:shd w:val="clear" w:color="auto" w:fill="FFFFFF"/>
        </w:rPr>
      </w:pPr>
      <w:r>
        <w:rPr>
          <w:color w:val="000000"/>
          <w:u w:val="single"/>
          <w:shd w:val="clear" w:color="auto" w:fill="FFFFFF"/>
        </w:rPr>
        <w:t xml:space="preserve">Covered project. The term “covered project” means a capital project of an agency with an estimated construction cost of no less than $10,000,000, provided that the office may by rule set such construction cost at a lower amount, that consists of: </w:t>
      </w:r>
    </w:p>
    <w:p w14:paraId="540EB12B" w14:textId="77777777" w:rsidR="0056662F" w:rsidRDefault="0056662F" w:rsidP="0056662F">
      <w:pPr>
        <w:shd w:val="clear" w:color="auto" w:fill="FFFFFF"/>
        <w:spacing w:line="480" w:lineRule="auto"/>
        <w:jc w:val="both"/>
        <w:rPr>
          <w:color w:val="000000"/>
          <w:u w:val="single"/>
          <w:shd w:val="clear" w:color="auto" w:fill="FFFFFF"/>
        </w:rPr>
      </w:pPr>
      <w:r>
        <w:rPr>
          <w:color w:val="000000"/>
          <w:u w:val="single"/>
          <w:shd w:val="clear" w:color="auto" w:fill="FFFFFF"/>
        </w:rPr>
        <w:t xml:space="preserve">1.  New construction as defined in section G201.2 of chapter G2 of appendix G of the New York city building code of a building or structure;  </w:t>
      </w:r>
    </w:p>
    <w:p w14:paraId="52AFA473" w14:textId="77777777" w:rsidR="0056662F" w:rsidRDefault="0056662F" w:rsidP="0056662F">
      <w:pPr>
        <w:shd w:val="clear" w:color="auto" w:fill="FFFFFF"/>
        <w:spacing w:line="480" w:lineRule="auto"/>
        <w:jc w:val="both"/>
        <w:rPr>
          <w:color w:val="000000"/>
          <w:u w:val="single"/>
          <w:shd w:val="clear" w:color="auto" w:fill="FFFFFF"/>
        </w:rPr>
      </w:pPr>
      <w:r>
        <w:rPr>
          <w:color w:val="000000"/>
          <w:u w:val="single"/>
          <w:shd w:val="clear" w:color="auto" w:fill="FFFFFF"/>
        </w:rPr>
        <w:t xml:space="preserve">2. Substantial improvement as defined in section G201.2 of chapter G2 of appendix G of the New York city building code of an existing building or structure; or </w:t>
      </w:r>
    </w:p>
    <w:p w14:paraId="3744A3D9" w14:textId="77777777" w:rsidR="0056662F" w:rsidRDefault="0056662F" w:rsidP="0056662F">
      <w:pPr>
        <w:shd w:val="clear" w:color="auto" w:fill="FFFFFF" w:themeFill="background1"/>
        <w:spacing w:line="480" w:lineRule="auto"/>
        <w:jc w:val="both"/>
        <w:rPr>
          <w:color w:val="000000" w:themeColor="text1"/>
          <w:u w:val="single"/>
        </w:rPr>
      </w:pPr>
      <w:r>
        <w:rPr>
          <w:color w:val="000000" w:themeColor="text1"/>
          <w:u w:val="single"/>
        </w:rPr>
        <w:t xml:space="preserve">3. Construction of new or improvement of existing infrastructure including but not limited to sewers and other utilities, streets, landscape and transportation facilities with a minimum threshold construction value to be determined by rule or by meeting other specifications or qualifications to be set forth in such rules by the director of long-term planning and sustainability,  provided that such term shall not include a public betterment consisting solely of a street that does not involve subsurface utility work, drainage or roadway grading, fencing, or combination thereof.  </w:t>
      </w:r>
    </w:p>
    <w:p w14:paraId="5F4E8E07" w14:textId="77777777" w:rsidR="0056662F" w:rsidRDefault="0056662F" w:rsidP="0056662F">
      <w:pPr>
        <w:shd w:val="clear" w:color="auto" w:fill="FFFFFF" w:themeFill="background1"/>
        <w:spacing w:line="480" w:lineRule="auto"/>
        <w:jc w:val="both"/>
        <w:rPr>
          <w:color w:val="000000"/>
          <w:u w:val="single"/>
          <w:shd w:val="clear" w:color="auto" w:fill="FFFFFF"/>
        </w:rPr>
      </w:pPr>
      <w:r>
        <w:rPr>
          <w:color w:val="000000" w:themeColor="text1"/>
          <w:u w:val="single"/>
        </w:rPr>
        <w:t>Such term shall include capital projects of the New York city housing authority and the New York city school construction authority provided that each such entity, in consultation and coordination with the office, may establish a distinct scoring metric for its respective capital projects to address climate hazards in accordance with subdivision c.</w:t>
      </w:r>
    </w:p>
    <w:p w14:paraId="63AB8658" w14:textId="77777777" w:rsidR="0056662F" w:rsidRDefault="0056662F" w:rsidP="0056662F">
      <w:pPr>
        <w:shd w:val="clear" w:color="auto" w:fill="FFFFFF" w:themeFill="background1"/>
        <w:spacing w:line="480" w:lineRule="auto"/>
        <w:jc w:val="both"/>
        <w:rPr>
          <w:u w:val="single"/>
        </w:rPr>
      </w:pPr>
      <w:r>
        <w:rPr>
          <w:color w:val="000000"/>
          <w:u w:val="single"/>
          <w:shd w:val="clear" w:color="auto" w:fill="FFFFFF"/>
        </w:rPr>
        <w:t xml:space="preserve">Office. The term “office” means the </w:t>
      </w:r>
      <w:r>
        <w:rPr>
          <w:u w:val="single"/>
        </w:rPr>
        <w:t>office of long-term planning and sustainability.</w:t>
      </w:r>
    </w:p>
    <w:p w14:paraId="464DDC13" w14:textId="77777777" w:rsidR="0056662F" w:rsidRDefault="0056662F" w:rsidP="0056662F">
      <w:pPr>
        <w:spacing w:line="480" w:lineRule="auto"/>
        <w:jc w:val="both"/>
        <w:rPr>
          <w:u w:val="single"/>
        </w:rPr>
      </w:pPr>
      <w:r>
        <w:rPr>
          <w:u w:val="single"/>
        </w:rPr>
        <w:t xml:space="preserve">b. The director of long-term planning and sustainability, in consultation with the New York city panel on climate change, the commissioner of design and construction, the commissioner of environmental protection, the commissioner of citywide administrative services, the commissioner of transportation, the commissioner of emergency management, the commissioner  of buildings, the commissioner of parks and recreation, the commissioner of housing preservation and development, the </w:t>
      </w:r>
      <w:r>
        <w:rPr>
          <w:rStyle w:val="normaltextrun"/>
          <w:u w:val="single"/>
        </w:rPr>
        <w:t>commissioner of health and mental hygiene, the fire commissioner, the</w:t>
      </w:r>
      <w:r>
        <w:rPr>
          <w:u w:val="single"/>
        </w:rPr>
        <w:t xml:space="preserve"> director of management and budget, the director of city planning, the head of any other office or agency as appropriate, the president of the New York city economic development corporation,</w:t>
      </w:r>
      <w:r>
        <w:rPr>
          <w:rStyle w:val="normaltextrun"/>
          <w:color w:val="0078D4"/>
          <w:u w:val="single"/>
        </w:rPr>
        <w:t> </w:t>
      </w:r>
      <w:r>
        <w:rPr>
          <w:rStyle w:val="normaltextrun"/>
          <w:u w:val="single"/>
        </w:rPr>
        <w:t>environmental justice organizations with expertise in climate resiliency, </w:t>
      </w:r>
      <w:r>
        <w:rPr>
          <w:u w:val="single"/>
        </w:rPr>
        <w:t>and members of the public with expertise in climate resiliency, climate design, the built environment, engineering, and environmental justice issues shall develop a resiliency score metric. For the purposes of calculating such resiliency score, the office shall by rule establish a system of points or metrics, considering potential performance of resiliency features, and develop a methodology for applying such scoring to covered projects, provided such methodology shall include one or more minimum thresholds of resiliency that covered projects shall meet, to be informed by and include features detailed in the climate resiliency design guidelines pursuant to section 3-131, and which may also include but need not be limited to features such as:</w:t>
      </w:r>
    </w:p>
    <w:p w14:paraId="34009347" w14:textId="77777777" w:rsidR="0056662F" w:rsidRDefault="0056662F" w:rsidP="0056662F">
      <w:pPr>
        <w:spacing w:line="480" w:lineRule="auto"/>
        <w:jc w:val="both"/>
        <w:rPr>
          <w:u w:val="single"/>
        </w:rPr>
      </w:pPr>
      <w:r>
        <w:rPr>
          <w:u w:val="single"/>
        </w:rPr>
        <w:t>1. Elevation to reduce the risk of flooding over the anticipated useful life;</w:t>
      </w:r>
    </w:p>
    <w:p w14:paraId="151EE47C" w14:textId="77777777" w:rsidR="0056662F" w:rsidRDefault="0056662F" w:rsidP="0056662F">
      <w:pPr>
        <w:spacing w:line="480" w:lineRule="auto"/>
        <w:jc w:val="both"/>
        <w:rPr>
          <w:u w:val="single"/>
        </w:rPr>
      </w:pPr>
      <w:r>
        <w:rPr>
          <w:u w:val="single"/>
        </w:rPr>
        <w:t>2. Flood-proofing of structures or equipment;</w:t>
      </w:r>
    </w:p>
    <w:p w14:paraId="5D302CC8" w14:textId="77777777" w:rsidR="0056662F" w:rsidRDefault="0056662F" w:rsidP="0056662F">
      <w:pPr>
        <w:spacing w:line="480" w:lineRule="auto"/>
        <w:jc w:val="both"/>
        <w:rPr>
          <w:u w:val="single"/>
        </w:rPr>
      </w:pPr>
      <w:r>
        <w:rPr>
          <w:u w:val="single"/>
        </w:rPr>
        <w:t xml:space="preserve">3. Site elevation or responsible site considerations; </w:t>
      </w:r>
    </w:p>
    <w:p w14:paraId="1C32D64A" w14:textId="77777777" w:rsidR="0056662F" w:rsidRDefault="0056662F" w:rsidP="0056662F">
      <w:pPr>
        <w:spacing w:line="480" w:lineRule="auto"/>
        <w:jc w:val="both"/>
        <w:rPr>
          <w:u w:val="single"/>
        </w:rPr>
      </w:pPr>
      <w:r>
        <w:rPr>
          <w:u w:val="single"/>
        </w:rPr>
        <w:t>4. Heat mitigation;</w:t>
      </w:r>
    </w:p>
    <w:p w14:paraId="6553A25B" w14:textId="77777777" w:rsidR="0056662F" w:rsidRDefault="0056662F" w:rsidP="0056662F">
      <w:pPr>
        <w:spacing w:line="480" w:lineRule="auto"/>
        <w:jc w:val="both"/>
        <w:rPr>
          <w:u w:val="single"/>
        </w:rPr>
      </w:pPr>
      <w:r>
        <w:rPr>
          <w:u w:val="single"/>
        </w:rPr>
        <w:t>5. Efficient energy resilience, including energy storage with or without use of on-site renewable energy generation;</w:t>
      </w:r>
    </w:p>
    <w:p w14:paraId="54887637" w14:textId="77777777" w:rsidR="0056662F" w:rsidRDefault="0056662F" w:rsidP="0056662F">
      <w:pPr>
        <w:spacing w:line="480" w:lineRule="auto"/>
        <w:jc w:val="both"/>
        <w:rPr>
          <w:u w:val="single"/>
        </w:rPr>
      </w:pPr>
      <w:r>
        <w:rPr>
          <w:u w:val="single"/>
        </w:rPr>
        <w:t xml:space="preserve">6. On-site storm water capture and management; </w:t>
      </w:r>
    </w:p>
    <w:p w14:paraId="122C112C" w14:textId="77777777" w:rsidR="0056662F" w:rsidRDefault="0056662F" w:rsidP="0056662F">
      <w:pPr>
        <w:spacing w:line="480" w:lineRule="auto"/>
        <w:jc w:val="both"/>
        <w:rPr>
          <w:u w:val="single"/>
        </w:rPr>
      </w:pPr>
      <w:r>
        <w:rPr>
          <w:u w:val="single"/>
        </w:rPr>
        <w:t>7. Integration with naturally resilient shoreline features;</w:t>
      </w:r>
    </w:p>
    <w:p w14:paraId="3F9B7BC2" w14:textId="77777777" w:rsidR="0056662F" w:rsidRDefault="0056662F" w:rsidP="0056662F">
      <w:pPr>
        <w:spacing w:line="480" w:lineRule="auto"/>
        <w:jc w:val="both"/>
        <w:rPr>
          <w:u w:val="single"/>
        </w:rPr>
      </w:pPr>
      <w:r>
        <w:rPr>
          <w:u w:val="single"/>
        </w:rPr>
        <w:t>8. Salt or flood tolerant landscaping;</w:t>
      </w:r>
    </w:p>
    <w:p w14:paraId="4AE792D9" w14:textId="77777777" w:rsidR="0056662F" w:rsidRDefault="0056662F" w:rsidP="0056662F">
      <w:pPr>
        <w:spacing w:line="480" w:lineRule="auto"/>
        <w:jc w:val="both"/>
        <w:rPr>
          <w:u w:val="single"/>
        </w:rPr>
      </w:pPr>
      <w:r>
        <w:rPr>
          <w:u w:val="single"/>
        </w:rPr>
        <w:t>9. Green infrastructure;</w:t>
      </w:r>
    </w:p>
    <w:p w14:paraId="30F972B6" w14:textId="77777777" w:rsidR="0056662F" w:rsidRDefault="0056662F" w:rsidP="0056662F">
      <w:pPr>
        <w:spacing w:line="480" w:lineRule="auto"/>
        <w:jc w:val="both"/>
        <w:rPr>
          <w:u w:val="single"/>
        </w:rPr>
      </w:pPr>
      <w:r>
        <w:rPr>
          <w:u w:val="single"/>
        </w:rPr>
        <w:t>10. Pervious pavement;</w:t>
      </w:r>
    </w:p>
    <w:p w14:paraId="6CB28ED3" w14:textId="77777777" w:rsidR="0056662F" w:rsidRDefault="0056662F" w:rsidP="0056662F">
      <w:pPr>
        <w:spacing w:line="480" w:lineRule="auto"/>
        <w:jc w:val="both"/>
        <w:rPr>
          <w:u w:val="single"/>
        </w:rPr>
      </w:pPr>
      <w:r>
        <w:rPr>
          <w:u w:val="single"/>
        </w:rPr>
        <w:t>11. Resilient building materials;</w:t>
      </w:r>
    </w:p>
    <w:p w14:paraId="191E2546" w14:textId="77777777" w:rsidR="0056662F" w:rsidRDefault="0056662F" w:rsidP="0056662F">
      <w:pPr>
        <w:spacing w:line="480" w:lineRule="auto"/>
        <w:jc w:val="both"/>
        <w:rPr>
          <w:u w:val="single"/>
        </w:rPr>
      </w:pPr>
      <w:r>
        <w:rPr>
          <w:u w:val="single"/>
        </w:rPr>
        <w:t xml:space="preserve">12. Living walls or structures; and </w:t>
      </w:r>
    </w:p>
    <w:p w14:paraId="3488A235" w14:textId="77777777" w:rsidR="0056662F" w:rsidRDefault="0056662F" w:rsidP="0056662F">
      <w:pPr>
        <w:spacing w:line="480" w:lineRule="auto"/>
        <w:jc w:val="both"/>
        <w:rPr>
          <w:u w:val="single"/>
        </w:rPr>
      </w:pPr>
      <w:r>
        <w:rPr>
          <w:u w:val="single"/>
        </w:rPr>
        <w:t>13. Integration with and preservation of naturally occurring vegetation and habitat.</w:t>
      </w:r>
    </w:p>
    <w:p w14:paraId="78C3926F" w14:textId="77777777" w:rsidR="0056662F" w:rsidRDefault="0056662F" w:rsidP="0056662F">
      <w:pPr>
        <w:spacing w:line="480" w:lineRule="auto"/>
        <w:jc w:val="both"/>
        <w:rPr>
          <w:u w:val="single"/>
        </w:rPr>
      </w:pPr>
      <w:r>
        <w:rPr>
          <w:u w:val="single"/>
        </w:rPr>
        <w:t xml:space="preserve">c. No later than December 31, 2026, the office shall establish by rule a minimum resiliency score that could be met or exceeded by most covered projects, provided that separate minimum resiliency scores may be established for: i) new construction; ii) substantial improvements; and iii) infrastructure. The New York city housing authority and the New York city school construction authority may each also establish, with the review and approval of the office, an alternative resiliency scoring metric for its capital projects to address climate hazards. </w:t>
      </w:r>
    </w:p>
    <w:p w14:paraId="01D59B99" w14:textId="77777777" w:rsidR="0056662F" w:rsidRDefault="0056662F" w:rsidP="0056662F">
      <w:pPr>
        <w:spacing w:line="480" w:lineRule="auto"/>
        <w:jc w:val="both"/>
        <w:rPr>
          <w:u w:val="single"/>
        </w:rPr>
      </w:pPr>
      <w:r>
        <w:rPr>
          <w:u w:val="single"/>
        </w:rPr>
        <w:t>d. The office shall publish on its website the minimum resiliency score and the number of points that resilient features are assigned for calculating the resiliency score or scores, and other resiliency score methodology.</w:t>
      </w:r>
    </w:p>
    <w:p w14:paraId="7ABEE604" w14:textId="77777777" w:rsidR="0056662F" w:rsidRDefault="0056662F" w:rsidP="0056662F">
      <w:pPr>
        <w:spacing w:line="480" w:lineRule="auto"/>
        <w:jc w:val="both"/>
        <w:rPr>
          <w:u w:val="single"/>
        </w:rPr>
      </w:pPr>
      <w:r>
        <w:rPr>
          <w:u w:val="single"/>
        </w:rPr>
        <w:t xml:space="preserve">e. Each covered project that is a new construction of buildings and structures or new infrastructure shall be required to meet or exceed the minimum resiliency score. The project design shall be submitted to the office for calculation of a resiliency score and scored by such office prior to being made available for review by the respective council committee, borough president and the community board pursuant to section 223 of the charter. If a covered project is not subject to section 223 of the charter, the project design shall be submitted to the office for the calculation of a resiliency score prior to registration of a construction contract. </w:t>
      </w:r>
      <w:r>
        <w:rPr>
          <w:rStyle w:val="normaltextrun"/>
          <w:u w:val="single"/>
        </w:rPr>
        <w:t>Agencies must resubmit the covered project to the office for scoring if there are design changes that could result in a change to the resiliency score.</w:t>
      </w:r>
    </w:p>
    <w:p w14:paraId="088B1275" w14:textId="77777777" w:rsidR="0056662F" w:rsidRDefault="0056662F" w:rsidP="0056662F">
      <w:pPr>
        <w:spacing w:line="480" w:lineRule="auto"/>
        <w:jc w:val="both"/>
        <w:rPr>
          <w:color w:val="000000"/>
          <w:u w:val="single"/>
          <w:shd w:val="clear" w:color="auto" w:fill="FFFFFF"/>
        </w:rPr>
      </w:pPr>
      <w:r>
        <w:rPr>
          <w:u w:val="single"/>
        </w:rPr>
        <w:t xml:space="preserve">f. Each covered project that is a substantial improvement or the reconstruction, installation, </w:t>
      </w:r>
      <w:r>
        <w:rPr>
          <w:color w:val="000000"/>
          <w:u w:val="single"/>
          <w:shd w:val="clear" w:color="auto" w:fill="FFFFFF"/>
        </w:rPr>
        <w:t>retrofit, improvement or alteration to infrastructure shall be required to either:</w:t>
      </w:r>
    </w:p>
    <w:p w14:paraId="5A4FC561" w14:textId="77777777" w:rsidR="0056662F" w:rsidRDefault="0056662F" w:rsidP="0056662F">
      <w:pPr>
        <w:spacing w:line="480" w:lineRule="auto"/>
        <w:jc w:val="both"/>
        <w:rPr>
          <w:color w:val="000000"/>
          <w:u w:val="single"/>
          <w:shd w:val="clear" w:color="auto" w:fill="FFFFFF"/>
        </w:rPr>
      </w:pPr>
      <w:r>
        <w:rPr>
          <w:color w:val="000000"/>
          <w:u w:val="single"/>
          <w:shd w:val="clear" w:color="auto" w:fill="FFFFFF"/>
        </w:rPr>
        <w:t>1. Meet or exceed the minimum resiliency score; or</w:t>
      </w:r>
    </w:p>
    <w:p w14:paraId="415400E4" w14:textId="77777777" w:rsidR="0056662F" w:rsidRDefault="0056662F" w:rsidP="0056662F">
      <w:pPr>
        <w:spacing w:line="480" w:lineRule="auto"/>
        <w:jc w:val="both"/>
        <w:rPr>
          <w:color w:val="000000"/>
          <w:u w:val="single"/>
          <w:shd w:val="clear" w:color="auto" w:fill="FFFFFF"/>
        </w:rPr>
      </w:pPr>
      <w:r>
        <w:rPr>
          <w:color w:val="000000"/>
          <w:u w:val="single"/>
          <w:shd w:val="clear" w:color="auto" w:fill="FFFFFF"/>
        </w:rPr>
        <w:t>2. Receive approval from the office, after submission of the project design with a written statement explaining how resilient features have been incorporated into the design to the extent practicable.</w:t>
      </w:r>
    </w:p>
    <w:p w14:paraId="4EB2FED2" w14:textId="77777777" w:rsidR="0056662F" w:rsidRDefault="0056662F" w:rsidP="0056662F">
      <w:pPr>
        <w:spacing w:line="480" w:lineRule="auto"/>
        <w:jc w:val="both"/>
        <w:rPr>
          <w:color w:val="000000"/>
          <w:u w:val="single"/>
          <w:shd w:val="clear" w:color="auto" w:fill="FFFFFF"/>
        </w:rPr>
      </w:pPr>
      <w:r>
        <w:rPr>
          <w:color w:val="000000"/>
          <w:u w:val="single"/>
          <w:shd w:val="clear" w:color="auto" w:fill="FFFFFF"/>
        </w:rPr>
        <w:t xml:space="preserve">g. </w:t>
      </w:r>
      <w:r>
        <w:rPr>
          <w:u w:val="single"/>
        </w:rPr>
        <w:t>After each update of the climate resiliency design guidelines pursuant to subdivision d of section 3-131, the office shall review the resiliency score methodology developed pursuant to subdivision b and, if necessary, revise such score methodology.</w:t>
      </w:r>
    </w:p>
    <w:p w14:paraId="43E6AFE1" w14:textId="77777777" w:rsidR="0056662F" w:rsidRDefault="0056662F" w:rsidP="0056662F">
      <w:pPr>
        <w:shd w:val="clear" w:color="auto" w:fill="FFFFFF"/>
        <w:spacing w:line="480" w:lineRule="auto"/>
        <w:jc w:val="both"/>
      </w:pPr>
      <w:r>
        <w:t xml:space="preserve">§ 3. Section 2 of this local law shall not apply to any projects for which the design has been made available for review by the respective council committee, borough president and the community board pursuant to section 223 of the charter prior to the effective date of this local law, except section 2 of this local law shall apply to such projects if registration of a capital project change order occurs after the effective date of this local law and such change order has a value that exceeds 60 percent of the </w:t>
      </w:r>
      <w:r>
        <w:rPr>
          <w:color w:val="000000"/>
          <w:shd w:val="clear" w:color="auto" w:fill="FFFFFF"/>
        </w:rPr>
        <w:t xml:space="preserve">original registered construction contract value </w:t>
      </w:r>
      <w:r>
        <w:t>of such project.</w:t>
      </w:r>
    </w:p>
    <w:p w14:paraId="03F632AB" w14:textId="77777777" w:rsidR="0056662F" w:rsidRDefault="0056662F" w:rsidP="0056662F">
      <w:pPr>
        <w:shd w:val="clear" w:color="auto" w:fill="FFFFFF"/>
        <w:spacing w:line="480" w:lineRule="auto"/>
        <w:jc w:val="both"/>
      </w:pPr>
      <w:r>
        <w:t>§ 4. This local law takes effect 120 days after it becomes law.</w:t>
      </w:r>
    </w:p>
    <w:p w14:paraId="17027B21" w14:textId="77777777" w:rsidR="0056662F" w:rsidRDefault="0056662F" w:rsidP="0056662F">
      <w:pPr>
        <w:ind w:firstLine="0"/>
        <w:jc w:val="both"/>
        <w:rPr>
          <w:sz w:val="18"/>
          <w:szCs w:val="18"/>
        </w:rPr>
      </w:pPr>
    </w:p>
    <w:p w14:paraId="553A4C85" w14:textId="77777777" w:rsidR="0056662F" w:rsidRDefault="0056662F" w:rsidP="0056662F">
      <w:pPr>
        <w:ind w:firstLine="0"/>
        <w:jc w:val="both"/>
        <w:rPr>
          <w:sz w:val="18"/>
          <w:szCs w:val="18"/>
        </w:rPr>
      </w:pPr>
    </w:p>
    <w:p w14:paraId="3896789D" w14:textId="77777777" w:rsidR="0056662F" w:rsidRDefault="0056662F" w:rsidP="0056662F">
      <w:pPr>
        <w:ind w:firstLine="0"/>
        <w:jc w:val="both"/>
        <w:rPr>
          <w:sz w:val="18"/>
          <w:szCs w:val="18"/>
        </w:rPr>
      </w:pPr>
      <w:r>
        <w:rPr>
          <w:sz w:val="18"/>
          <w:szCs w:val="18"/>
        </w:rPr>
        <w:t>NAB/JSA</w:t>
      </w:r>
    </w:p>
    <w:p w14:paraId="7F9DE0E5" w14:textId="77777777" w:rsidR="0056662F" w:rsidRDefault="0056662F" w:rsidP="0056662F">
      <w:pPr>
        <w:ind w:firstLine="0"/>
        <w:jc w:val="both"/>
        <w:rPr>
          <w:sz w:val="18"/>
          <w:szCs w:val="18"/>
        </w:rPr>
      </w:pPr>
      <w:r>
        <w:rPr>
          <w:sz w:val="18"/>
          <w:szCs w:val="18"/>
        </w:rPr>
        <w:t>LS #11602, 14347</w:t>
      </w:r>
    </w:p>
    <w:p w14:paraId="66C9A46E" w14:textId="77777777" w:rsidR="0056662F" w:rsidRDefault="0056662F" w:rsidP="0056662F">
      <w:pPr>
        <w:ind w:firstLine="0"/>
        <w:rPr>
          <w:sz w:val="18"/>
          <w:szCs w:val="18"/>
        </w:rPr>
      </w:pPr>
      <w:r>
        <w:rPr>
          <w:sz w:val="18"/>
          <w:szCs w:val="18"/>
        </w:rPr>
        <w:t xml:space="preserve">3/10/21 11:23pm </w:t>
      </w:r>
    </w:p>
    <w:p w14:paraId="60B5F7E3" w14:textId="77777777" w:rsidR="0056662F" w:rsidRDefault="0056662F" w:rsidP="0056662F">
      <w:pPr>
        <w:pStyle w:val="NormalWeb"/>
        <w:shd w:val="clear" w:color="auto" w:fill="FFFFFF"/>
        <w:spacing w:before="0" w:beforeAutospacing="0" w:after="0" w:afterAutospacing="0"/>
        <w:jc w:val="center"/>
        <w:rPr>
          <w:color w:val="000000"/>
        </w:rPr>
      </w:pPr>
    </w:p>
    <w:p w14:paraId="3FF396D5" w14:textId="77777777" w:rsidR="0056662F" w:rsidRDefault="0056662F" w:rsidP="0056662F">
      <w:pPr>
        <w:ind w:firstLine="0"/>
        <w:jc w:val="center"/>
      </w:pPr>
    </w:p>
    <w:p w14:paraId="7EEE3B46" w14:textId="77777777" w:rsidR="0056662F" w:rsidRDefault="0056662F" w:rsidP="0056662F">
      <w:pPr>
        <w:ind w:firstLine="0"/>
        <w:jc w:val="center"/>
      </w:pPr>
    </w:p>
    <w:p w14:paraId="1464DABA" w14:textId="77777777" w:rsidR="0056662F" w:rsidRDefault="0056662F" w:rsidP="0056662F">
      <w:pPr>
        <w:ind w:firstLine="0"/>
        <w:jc w:val="center"/>
      </w:pPr>
    </w:p>
    <w:p w14:paraId="7C27D36E" w14:textId="77777777" w:rsidR="0056662F" w:rsidRDefault="0056662F" w:rsidP="0056662F">
      <w:pPr>
        <w:ind w:firstLine="0"/>
        <w:jc w:val="center"/>
      </w:pPr>
    </w:p>
    <w:p w14:paraId="1EE71634" w14:textId="77777777" w:rsidR="0056662F" w:rsidRDefault="0056662F" w:rsidP="0056662F">
      <w:pPr>
        <w:ind w:firstLine="0"/>
        <w:jc w:val="center"/>
      </w:pPr>
    </w:p>
    <w:p w14:paraId="224B8A74" w14:textId="77777777" w:rsidR="0056662F" w:rsidRDefault="0056662F" w:rsidP="0056662F">
      <w:pPr>
        <w:ind w:firstLine="0"/>
        <w:jc w:val="center"/>
      </w:pPr>
    </w:p>
    <w:p w14:paraId="470B5B82" w14:textId="77777777" w:rsidR="0056662F" w:rsidRDefault="0056662F" w:rsidP="0056662F">
      <w:pPr>
        <w:ind w:firstLine="0"/>
        <w:jc w:val="center"/>
      </w:pPr>
    </w:p>
    <w:p w14:paraId="19C25C20" w14:textId="77777777" w:rsidR="0056662F" w:rsidRDefault="0056662F" w:rsidP="0056662F">
      <w:pPr>
        <w:ind w:firstLine="0"/>
        <w:jc w:val="center"/>
      </w:pPr>
    </w:p>
    <w:p w14:paraId="5054FF8E" w14:textId="77777777" w:rsidR="0056662F" w:rsidRDefault="0056662F" w:rsidP="0056662F">
      <w:pPr>
        <w:ind w:firstLine="0"/>
        <w:jc w:val="center"/>
      </w:pPr>
    </w:p>
    <w:p w14:paraId="67DCD2CF" w14:textId="77777777" w:rsidR="0056662F" w:rsidRDefault="0056662F" w:rsidP="0056662F">
      <w:pPr>
        <w:ind w:firstLine="0"/>
        <w:jc w:val="center"/>
      </w:pPr>
    </w:p>
    <w:p w14:paraId="1D904271" w14:textId="77777777" w:rsidR="0056662F" w:rsidRDefault="0056662F" w:rsidP="0056662F">
      <w:pPr>
        <w:ind w:firstLine="0"/>
        <w:jc w:val="center"/>
      </w:pPr>
    </w:p>
    <w:p w14:paraId="4251AA77" w14:textId="77777777" w:rsidR="0056662F" w:rsidRDefault="0056662F" w:rsidP="0056662F">
      <w:pPr>
        <w:ind w:firstLine="0"/>
        <w:jc w:val="center"/>
      </w:pPr>
    </w:p>
    <w:p w14:paraId="520560A9" w14:textId="77777777" w:rsidR="0056662F" w:rsidRDefault="0056662F" w:rsidP="0056662F">
      <w:pPr>
        <w:ind w:firstLine="0"/>
        <w:jc w:val="center"/>
      </w:pPr>
    </w:p>
    <w:p w14:paraId="335A0D89" w14:textId="77777777" w:rsidR="0056662F" w:rsidRDefault="0056662F" w:rsidP="0056662F">
      <w:pPr>
        <w:ind w:firstLine="0"/>
        <w:jc w:val="center"/>
      </w:pPr>
    </w:p>
    <w:p w14:paraId="20C607F4" w14:textId="77777777" w:rsidR="0056662F" w:rsidRDefault="0056662F" w:rsidP="0056662F">
      <w:pPr>
        <w:ind w:firstLine="0"/>
        <w:jc w:val="center"/>
      </w:pPr>
    </w:p>
    <w:p w14:paraId="682BE48B" w14:textId="77777777" w:rsidR="0056662F" w:rsidRDefault="0056662F" w:rsidP="0056662F">
      <w:pPr>
        <w:ind w:firstLine="0"/>
        <w:jc w:val="center"/>
      </w:pPr>
    </w:p>
    <w:p w14:paraId="76EB9E94" w14:textId="77777777" w:rsidR="0056662F" w:rsidRDefault="0056662F" w:rsidP="0056662F">
      <w:pPr>
        <w:ind w:firstLine="0"/>
        <w:jc w:val="center"/>
      </w:pPr>
    </w:p>
    <w:p w14:paraId="482F9E28" w14:textId="77777777" w:rsidR="0056662F" w:rsidRDefault="0056662F" w:rsidP="0056662F">
      <w:pPr>
        <w:ind w:firstLine="0"/>
        <w:jc w:val="center"/>
      </w:pPr>
    </w:p>
    <w:p w14:paraId="65D35140" w14:textId="77777777" w:rsidR="0056662F" w:rsidRDefault="0056662F" w:rsidP="0056662F">
      <w:pPr>
        <w:ind w:firstLine="0"/>
        <w:jc w:val="center"/>
      </w:pPr>
    </w:p>
    <w:p w14:paraId="76E0F397" w14:textId="77777777" w:rsidR="0056662F" w:rsidRDefault="0056662F" w:rsidP="0056662F">
      <w:pPr>
        <w:ind w:firstLine="0"/>
        <w:jc w:val="center"/>
      </w:pPr>
    </w:p>
    <w:p w14:paraId="2EEDE4EA" w14:textId="77777777" w:rsidR="0056662F" w:rsidRDefault="0056662F" w:rsidP="0056662F">
      <w:pPr>
        <w:ind w:firstLine="0"/>
        <w:jc w:val="center"/>
      </w:pPr>
    </w:p>
    <w:p w14:paraId="77739EA0" w14:textId="77777777" w:rsidR="0056662F" w:rsidRDefault="0056662F" w:rsidP="0056662F">
      <w:pPr>
        <w:ind w:firstLine="0"/>
        <w:jc w:val="center"/>
      </w:pPr>
    </w:p>
    <w:p w14:paraId="2999541E" w14:textId="77777777" w:rsidR="0056662F" w:rsidRDefault="0056662F" w:rsidP="0056662F">
      <w:pPr>
        <w:ind w:firstLine="0"/>
        <w:jc w:val="center"/>
      </w:pPr>
    </w:p>
    <w:p w14:paraId="7A3CBD44" w14:textId="77777777" w:rsidR="0056662F" w:rsidRDefault="0056662F" w:rsidP="0056662F">
      <w:pPr>
        <w:ind w:firstLine="0"/>
        <w:jc w:val="center"/>
      </w:pPr>
    </w:p>
    <w:p w14:paraId="0735C6A7" w14:textId="77777777" w:rsidR="0056662F" w:rsidRDefault="0056662F" w:rsidP="0056662F">
      <w:pPr>
        <w:ind w:firstLine="0"/>
        <w:jc w:val="center"/>
      </w:pPr>
    </w:p>
    <w:p w14:paraId="3512AC57" w14:textId="77777777" w:rsidR="0056662F" w:rsidRDefault="0056662F" w:rsidP="0056662F">
      <w:pPr>
        <w:ind w:firstLine="0"/>
        <w:jc w:val="center"/>
      </w:pPr>
    </w:p>
    <w:p w14:paraId="286A5DDF" w14:textId="77777777" w:rsidR="0056662F" w:rsidRDefault="0056662F" w:rsidP="0056662F">
      <w:pPr>
        <w:ind w:firstLine="0"/>
        <w:jc w:val="center"/>
      </w:pPr>
    </w:p>
    <w:p w14:paraId="13A00CCE" w14:textId="77777777" w:rsidR="0056662F" w:rsidRDefault="0056662F" w:rsidP="0056662F">
      <w:pPr>
        <w:ind w:firstLine="0"/>
        <w:jc w:val="center"/>
      </w:pPr>
    </w:p>
    <w:p w14:paraId="7E17F7AD" w14:textId="77777777" w:rsidR="0056662F" w:rsidRDefault="0056662F" w:rsidP="0056662F">
      <w:pPr>
        <w:ind w:firstLine="0"/>
        <w:jc w:val="center"/>
      </w:pPr>
    </w:p>
    <w:p w14:paraId="78859491" w14:textId="77777777" w:rsidR="0056662F" w:rsidRDefault="0056662F" w:rsidP="0056662F">
      <w:pPr>
        <w:ind w:firstLine="0"/>
        <w:jc w:val="center"/>
      </w:pPr>
    </w:p>
    <w:p w14:paraId="37A16E18" w14:textId="77777777" w:rsidR="0056662F" w:rsidRDefault="0056662F" w:rsidP="0056662F">
      <w:pPr>
        <w:ind w:firstLine="0"/>
        <w:jc w:val="center"/>
      </w:pPr>
    </w:p>
    <w:p w14:paraId="47096C74" w14:textId="77777777" w:rsidR="0056662F" w:rsidRDefault="0056662F" w:rsidP="0056662F">
      <w:pPr>
        <w:ind w:firstLine="0"/>
        <w:jc w:val="center"/>
      </w:pPr>
    </w:p>
    <w:p w14:paraId="4F9280E5" w14:textId="77777777" w:rsidR="0056662F" w:rsidRDefault="0056662F" w:rsidP="0056662F">
      <w:pPr>
        <w:ind w:firstLine="0"/>
        <w:jc w:val="center"/>
      </w:pPr>
    </w:p>
    <w:p w14:paraId="4267BA77" w14:textId="77777777" w:rsidR="0056662F" w:rsidRDefault="0056662F" w:rsidP="0056662F">
      <w:pPr>
        <w:ind w:firstLine="0"/>
        <w:jc w:val="center"/>
      </w:pPr>
    </w:p>
    <w:p w14:paraId="206948F0" w14:textId="77777777" w:rsidR="0056662F" w:rsidRDefault="0056662F" w:rsidP="0056662F">
      <w:pPr>
        <w:ind w:firstLine="0"/>
        <w:jc w:val="center"/>
      </w:pPr>
    </w:p>
    <w:p w14:paraId="021FF3A3" w14:textId="77777777" w:rsidR="0056662F" w:rsidRDefault="0056662F" w:rsidP="0056662F">
      <w:pPr>
        <w:ind w:firstLine="0"/>
        <w:jc w:val="center"/>
      </w:pPr>
    </w:p>
    <w:p w14:paraId="1ED25C87" w14:textId="77777777" w:rsidR="0056662F" w:rsidRDefault="0056662F" w:rsidP="0056662F">
      <w:pPr>
        <w:ind w:firstLine="0"/>
        <w:jc w:val="center"/>
      </w:pPr>
      <w:r>
        <w:t>Proposed Int. No. 2198-A</w:t>
      </w:r>
    </w:p>
    <w:p w14:paraId="07347640" w14:textId="77777777" w:rsidR="0056662F" w:rsidRDefault="0056662F" w:rsidP="0056662F">
      <w:pPr>
        <w:ind w:firstLine="0"/>
        <w:jc w:val="center"/>
      </w:pPr>
    </w:p>
    <w:p w14:paraId="02A91925" w14:textId="77777777" w:rsidR="0056662F" w:rsidRDefault="0056662F" w:rsidP="0056662F">
      <w:pPr>
        <w:ind w:firstLine="0"/>
        <w:jc w:val="both"/>
      </w:pPr>
      <w:r>
        <w:t>By Council Members Matteo, Rosenthal and Rose</w:t>
      </w:r>
    </w:p>
    <w:p w14:paraId="2C365425" w14:textId="77777777" w:rsidR="0056662F" w:rsidRDefault="0056662F" w:rsidP="0056662F">
      <w:pPr>
        <w:pStyle w:val="BodyText"/>
        <w:spacing w:line="240" w:lineRule="auto"/>
        <w:ind w:firstLine="0"/>
      </w:pPr>
    </w:p>
    <w:p w14:paraId="3B46CFA8" w14:textId="77777777" w:rsidR="0056662F" w:rsidRDefault="0056662F" w:rsidP="0056662F">
      <w:pPr>
        <w:pStyle w:val="BodyText"/>
        <w:spacing w:line="240" w:lineRule="auto"/>
        <w:ind w:firstLine="0"/>
        <w:rPr>
          <w:vanish/>
        </w:rPr>
      </w:pPr>
      <w:r>
        <w:rPr>
          <w:vanish/>
        </w:rPr>
        <w:t>..Title</w:t>
      </w:r>
    </w:p>
    <w:p w14:paraId="26994410" w14:textId="77777777" w:rsidR="0056662F" w:rsidRDefault="0056662F" w:rsidP="0056662F">
      <w:pPr>
        <w:pStyle w:val="BodyText"/>
        <w:spacing w:line="240" w:lineRule="auto"/>
        <w:ind w:firstLine="0"/>
      </w:pPr>
      <w:r>
        <w:t>A Local Law to amend the New York city building code, in relation to additional freeboard for structures in the floodplain</w:t>
      </w:r>
    </w:p>
    <w:p w14:paraId="60D4E018" w14:textId="77777777" w:rsidR="0056662F" w:rsidRDefault="0056662F" w:rsidP="0056662F">
      <w:pPr>
        <w:pStyle w:val="BodyText"/>
        <w:spacing w:line="240" w:lineRule="auto"/>
        <w:ind w:firstLine="0"/>
        <w:rPr>
          <w:vanish/>
        </w:rPr>
      </w:pPr>
      <w:r>
        <w:rPr>
          <w:vanish/>
        </w:rPr>
        <w:t>..Body</w:t>
      </w:r>
    </w:p>
    <w:p w14:paraId="61A5E118" w14:textId="77777777" w:rsidR="0056662F" w:rsidRDefault="0056662F" w:rsidP="0056662F">
      <w:pPr>
        <w:pStyle w:val="BodyText"/>
        <w:spacing w:line="240" w:lineRule="auto"/>
        <w:ind w:firstLine="0"/>
        <w:rPr>
          <w:u w:val="single"/>
        </w:rPr>
      </w:pPr>
    </w:p>
    <w:p w14:paraId="33B93088" w14:textId="77777777" w:rsidR="0056662F" w:rsidRDefault="0056662F" w:rsidP="0056662F">
      <w:pPr>
        <w:ind w:firstLine="0"/>
        <w:jc w:val="both"/>
      </w:pPr>
      <w:r>
        <w:rPr>
          <w:u w:val="single"/>
        </w:rPr>
        <w:t>Be it enacted by the Council as follows:</w:t>
      </w:r>
    </w:p>
    <w:p w14:paraId="6287B0F0" w14:textId="77777777" w:rsidR="0056662F" w:rsidRDefault="0056662F" w:rsidP="0056662F">
      <w:pPr>
        <w:jc w:val="both"/>
      </w:pPr>
    </w:p>
    <w:p w14:paraId="0A9BD7BC" w14:textId="77777777" w:rsidR="0056662F" w:rsidRDefault="0056662F" w:rsidP="0056662F">
      <w:pPr>
        <w:spacing w:line="480" w:lineRule="auto"/>
        <w:jc w:val="both"/>
      </w:pPr>
      <w:r>
        <w:t>Section 1. The New York city amendments to section 2.3 of ASCE 24-05 as set forth in section G501.1 of chapter G5 of appendix G of the New York city building code, as amended by local law number 141 for the year 2013, is amended to read as follows:</w:t>
      </w:r>
    </w:p>
    <w:p w14:paraId="17AFF408" w14:textId="77777777" w:rsidR="0056662F" w:rsidRDefault="0056662F" w:rsidP="0056662F">
      <w:pPr>
        <w:spacing w:line="480" w:lineRule="auto"/>
        <w:ind w:firstLine="0"/>
        <w:jc w:val="both"/>
      </w:pPr>
      <w:r>
        <w:rPr>
          <w:b/>
        </w:rPr>
        <w:t>Section 2.3.</w:t>
      </w:r>
      <w:r>
        <w:t xml:space="preserve"> Table 2-1 of Section 2.3 (Elevation Requirements) is amended to read as follows:</w:t>
      </w:r>
    </w:p>
    <w:p w14:paraId="54319B3D" w14:textId="77777777" w:rsidR="0056662F" w:rsidRDefault="0056662F" w:rsidP="0056662F">
      <w:pPr>
        <w:suppressLineNumbers/>
        <w:autoSpaceDE w:val="0"/>
        <w:autoSpaceDN w:val="0"/>
        <w:adjustRightInd w:val="0"/>
        <w:ind w:firstLine="0"/>
        <w:jc w:val="center"/>
        <w:rPr>
          <w:b/>
          <w:caps/>
        </w:rPr>
      </w:pPr>
      <w:r>
        <w:rPr>
          <w:b/>
          <w:caps/>
        </w:rPr>
        <w:t>TABLE 2-1</w:t>
      </w:r>
      <w:r>
        <w:rPr>
          <w:b/>
          <w:caps/>
        </w:rPr>
        <w:br/>
        <w:t>MINIMUM elevation of the top of lowest floor</w:t>
      </w:r>
    </w:p>
    <w:p w14:paraId="0E1D662E" w14:textId="77777777" w:rsidR="0056662F" w:rsidRDefault="0056662F" w:rsidP="0056662F">
      <w:pPr>
        <w:jc w:val="center"/>
        <w:rPr>
          <w:b/>
        </w:rPr>
      </w:pPr>
      <w:r>
        <w:rPr>
          <w:b/>
          <w:caps/>
        </w:rPr>
        <w:t>Relative to design flood elevation (DFE)—A-Zones</w:t>
      </w:r>
      <w:r>
        <w:rPr>
          <w:b/>
          <w:vertAlign w:val="superscript"/>
        </w:rPr>
        <w:t>a</w:t>
      </w:r>
    </w:p>
    <w:tbl>
      <w:tblPr>
        <w:tblW w:w="7290" w:type="dxa"/>
        <w:tblInd w:w="1017" w:type="dxa"/>
        <w:tblLook w:val="04A0" w:firstRow="1" w:lastRow="0" w:firstColumn="1" w:lastColumn="0" w:noHBand="0" w:noVBand="1"/>
      </w:tblPr>
      <w:tblGrid>
        <w:gridCol w:w="3526"/>
        <w:gridCol w:w="3764"/>
      </w:tblGrid>
      <w:tr w:rsidR="0056662F" w14:paraId="4C1100BB" w14:textId="77777777" w:rsidTr="0056662F">
        <w:tc>
          <w:tcPr>
            <w:tcW w:w="3526"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18E59F39" w14:textId="77777777" w:rsidR="0056662F" w:rsidRDefault="0056662F">
            <w:pPr>
              <w:ind w:firstLine="0"/>
            </w:pPr>
            <w:r>
              <w:rPr>
                <w:b/>
                <w:bCs/>
              </w:rPr>
              <w:t>Structural Occupancy Category</w:t>
            </w:r>
            <w:r>
              <w:rPr>
                <w:b/>
                <w:bCs/>
                <w:vertAlign w:val="superscript"/>
              </w:rPr>
              <w:t>b</w:t>
            </w:r>
          </w:p>
        </w:tc>
        <w:tc>
          <w:tcPr>
            <w:tcW w:w="3764"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3C19FD23" w14:textId="77777777" w:rsidR="0056662F" w:rsidRDefault="0056662F">
            <w:pPr>
              <w:ind w:firstLine="0"/>
            </w:pPr>
            <w:r>
              <w:rPr>
                <w:b/>
                <w:bCs/>
              </w:rPr>
              <w:t>Minimum Elevation of Lowest Floor</w:t>
            </w:r>
          </w:p>
        </w:tc>
      </w:tr>
      <w:tr w:rsidR="0056662F" w14:paraId="677BC124" w14:textId="77777777" w:rsidTr="0056662F">
        <w:tc>
          <w:tcPr>
            <w:tcW w:w="3526"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4355D7AE" w14:textId="77777777" w:rsidR="0056662F" w:rsidRDefault="0056662F">
            <w:pPr>
              <w:ind w:firstLine="0"/>
            </w:pPr>
            <w:r>
              <w:t>I</w:t>
            </w:r>
          </w:p>
        </w:tc>
        <w:tc>
          <w:tcPr>
            <w:tcW w:w="3764"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4F400E91" w14:textId="77777777" w:rsidR="0056662F" w:rsidRDefault="0056662F">
            <w:pPr>
              <w:ind w:firstLine="0"/>
            </w:pPr>
            <w:r>
              <w:t xml:space="preserve">DFE = BFE </w:t>
            </w:r>
            <w:r>
              <w:rPr>
                <w:u w:val="single"/>
              </w:rPr>
              <w:t>+ 2 ft</w:t>
            </w:r>
          </w:p>
        </w:tc>
      </w:tr>
      <w:tr w:rsidR="0056662F" w14:paraId="17A14D6B" w14:textId="77777777" w:rsidTr="0056662F">
        <w:tc>
          <w:tcPr>
            <w:tcW w:w="3526"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11AD7492" w14:textId="77777777" w:rsidR="0056662F" w:rsidRDefault="0056662F">
            <w:pPr>
              <w:ind w:firstLine="0"/>
            </w:pPr>
            <w:r>
              <w:t>[II (1-and 2- family dwellings)]</w:t>
            </w:r>
          </w:p>
        </w:tc>
        <w:tc>
          <w:tcPr>
            <w:tcW w:w="3764"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465DCD7F" w14:textId="77777777" w:rsidR="0056662F" w:rsidRDefault="0056662F">
            <w:pPr>
              <w:ind w:firstLine="0"/>
            </w:pPr>
            <w:r>
              <w:t>[DFE = BFE + 2 ft]</w:t>
            </w:r>
          </w:p>
        </w:tc>
      </w:tr>
      <w:tr w:rsidR="0056662F" w14:paraId="3A809DC8" w14:textId="77777777" w:rsidTr="0056662F">
        <w:tc>
          <w:tcPr>
            <w:tcW w:w="3526"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2223B1E7" w14:textId="77777777" w:rsidR="0056662F" w:rsidRDefault="0056662F">
            <w:pPr>
              <w:ind w:firstLine="0"/>
            </w:pPr>
            <w:r>
              <w:t>II</w:t>
            </w:r>
            <w:r>
              <w:rPr>
                <w:vertAlign w:val="superscript"/>
              </w:rPr>
              <w:t>c, d</w:t>
            </w:r>
            <w:r>
              <w:t> [(all others)]</w:t>
            </w:r>
          </w:p>
        </w:tc>
        <w:tc>
          <w:tcPr>
            <w:tcW w:w="3764"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4E6CAEF4" w14:textId="77777777" w:rsidR="0056662F" w:rsidRDefault="0056662F">
            <w:pPr>
              <w:ind w:firstLine="0"/>
            </w:pPr>
            <w:r>
              <w:t>DFE = BFE + [1]</w:t>
            </w:r>
            <w:r>
              <w:softHyphen/>
              <w:t xml:space="preserve"> </w:t>
            </w:r>
            <w:r>
              <w:rPr>
                <w:u w:val="single"/>
              </w:rPr>
              <w:t>2</w:t>
            </w:r>
            <w:r>
              <w:t xml:space="preserve"> ft</w:t>
            </w:r>
          </w:p>
        </w:tc>
      </w:tr>
      <w:tr w:rsidR="0056662F" w14:paraId="0AB62EC8" w14:textId="77777777" w:rsidTr="0056662F">
        <w:tc>
          <w:tcPr>
            <w:tcW w:w="3526"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7331E502" w14:textId="77777777" w:rsidR="0056662F" w:rsidRDefault="0056662F">
            <w:pPr>
              <w:ind w:firstLine="0"/>
            </w:pPr>
            <w:r>
              <w:t>III</w:t>
            </w:r>
            <w:r>
              <w:rPr>
                <w:vertAlign w:val="superscript"/>
              </w:rPr>
              <w:t>c, d</w:t>
            </w:r>
          </w:p>
        </w:tc>
        <w:tc>
          <w:tcPr>
            <w:tcW w:w="3764"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5C2B7862" w14:textId="77777777" w:rsidR="0056662F" w:rsidRDefault="0056662F">
            <w:pPr>
              <w:ind w:firstLine="0"/>
            </w:pPr>
            <w:r>
              <w:t xml:space="preserve">DFE = BFE + [1] </w:t>
            </w:r>
            <w:r>
              <w:rPr>
                <w:u w:val="single"/>
              </w:rPr>
              <w:t>2</w:t>
            </w:r>
            <w:r>
              <w:t xml:space="preserve"> ft</w:t>
            </w:r>
          </w:p>
        </w:tc>
      </w:tr>
      <w:tr w:rsidR="0056662F" w14:paraId="32ED97A5" w14:textId="77777777" w:rsidTr="0056662F">
        <w:tc>
          <w:tcPr>
            <w:tcW w:w="3526"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0A2D66B5" w14:textId="77777777" w:rsidR="0056662F" w:rsidRDefault="0056662F">
            <w:pPr>
              <w:ind w:firstLine="0"/>
            </w:pPr>
            <w:r>
              <w:t>IV</w:t>
            </w:r>
            <w:r>
              <w:rPr>
                <w:vertAlign w:val="superscript"/>
              </w:rPr>
              <w:t>c</w:t>
            </w:r>
          </w:p>
        </w:tc>
        <w:tc>
          <w:tcPr>
            <w:tcW w:w="3764"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0AC9DC23" w14:textId="77777777" w:rsidR="0056662F" w:rsidRDefault="0056662F">
            <w:pPr>
              <w:autoSpaceDE w:val="0"/>
              <w:autoSpaceDN w:val="0"/>
              <w:adjustRightInd w:val="0"/>
              <w:ind w:firstLine="0"/>
              <w:rPr>
                <w:rFonts w:eastAsia="Calibri"/>
                <w:u w:val="single"/>
              </w:rPr>
            </w:pPr>
            <w:r>
              <w:t>DFE = BFE + 2 ft</w:t>
            </w:r>
            <w:r>
              <w:rPr>
                <w:rFonts w:eastAsia="Calibri"/>
              </w:rPr>
              <w:t xml:space="preserve"> </w:t>
            </w:r>
            <w:r>
              <w:rPr>
                <w:rFonts w:eastAsia="Calibri"/>
                <w:u w:val="single"/>
              </w:rPr>
              <w:t>or</w:t>
            </w:r>
          </w:p>
          <w:p w14:paraId="7D0EEEE5" w14:textId="77777777" w:rsidR="0056662F" w:rsidRDefault="0056662F">
            <w:pPr>
              <w:autoSpaceDE w:val="0"/>
              <w:autoSpaceDN w:val="0"/>
              <w:adjustRightInd w:val="0"/>
              <w:ind w:firstLine="0"/>
              <w:rPr>
                <w:rFonts w:eastAsia="Calibri"/>
                <w:u w:val="single"/>
              </w:rPr>
            </w:pPr>
            <w:r>
              <w:rPr>
                <w:rFonts w:eastAsia="Calibri"/>
                <w:u w:val="single"/>
              </w:rPr>
              <w:t>500-year flood</w:t>
            </w:r>
          </w:p>
          <w:p w14:paraId="40EFD2A2" w14:textId="77777777" w:rsidR="0056662F" w:rsidRDefault="0056662F">
            <w:pPr>
              <w:autoSpaceDE w:val="0"/>
              <w:autoSpaceDN w:val="0"/>
              <w:adjustRightInd w:val="0"/>
              <w:ind w:firstLine="0"/>
              <w:rPr>
                <w:rFonts w:eastAsia="Calibri"/>
                <w:u w:val="single"/>
              </w:rPr>
            </w:pPr>
            <w:r>
              <w:rPr>
                <w:rFonts w:eastAsia="Calibri"/>
                <w:u w:val="single"/>
              </w:rPr>
              <w:t>elevation, whichever</w:t>
            </w:r>
          </w:p>
          <w:p w14:paraId="4B706C0A" w14:textId="77777777" w:rsidR="0056662F" w:rsidRDefault="0056662F">
            <w:pPr>
              <w:ind w:firstLine="0"/>
            </w:pPr>
            <w:r>
              <w:rPr>
                <w:rFonts w:eastAsia="Calibri"/>
                <w:u w:val="single"/>
              </w:rPr>
              <w:t>is higher</w:t>
            </w:r>
          </w:p>
        </w:tc>
      </w:tr>
    </w:tbl>
    <w:p w14:paraId="5FDF70E0" w14:textId="77777777" w:rsidR="0056662F" w:rsidRDefault="0056662F" w:rsidP="0056662F">
      <w:pPr>
        <w:shd w:val="clear" w:color="auto" w:fill="FFFFFF"/>
        <w:ind w:firstLine="0"/>
        <w:rPr>
          <w:rFonts w:ascii="Arial" w:hAnsi="Arial" w:cs="Arial"/>
          <w:color w:val="212529"/>
          <w:sz w:val="20"/>
          <w:szCs w:val="20"/>
        </w:rPr>
      </w:pPr>
      <w:r>
        <w:rPr>
          <w:rFonts w:ascii="Arial" w:hAnsi="Arial" w:cs="Arial"/>
          <w:color w:val="212529"/>
          <w:sz w:val="20"/>
          <w:szCs w:val="20"/>
        </w:rPr>
        <w:t> </w:t>
      </w:r>
    </w:p>
    <w:p w14:paraId="19FA3CB6" w14:textId="77777777" w:rsidR="0056662F" w:rsidRDefault="0056662F" w:rsidP="0056662F">
      <w:pPr>
        <w:shd w:val="clear" w:color="auto" w:fill="FFFFFF"/>
        <w:ind w:firstLine="0"/>
        <w:jc w:val="both"/>
        <w:rPr>
          <w:color w:val="212529"/>
          <w:sz w:val="20"/>
          <w:szCs w:val="20"/>
        </w:rPr>
      </w:pPr>
      <w:r>
        <w:rPr>
          <w:color w:val="212529"/>
          <w:sz w:val="20"/>
          <w:szCs w:val="20"/>
          <w:vertAlign w:val="superscript"/>
        </w:rPr>
        <w:t>a.</w:t>
      </w:r>
      <w:r>
        <w:rPr>
          <w:color w:val="212529"/>
          <w:sz w:val="20"/>
          <w:szCs w:val="20"/>
        </w:rPr>
        <w:t> Minimum elevations shown in Table 2-1 do not apply to V Zones (see Table 4-1). Minimum elevations shown in Table 2-1 apply to A-Zones unless specific elevation requirements are given in Section 3 of this Standard.</w:t>
      </w:r>
    </w:p>
    <w:p w14:paraId="2FF7C4D8" w14:textId="77777777" w:rsidR="0056662F" w:rsidRDefault="0056662F" w:rsidP="0056662F">
      <w:pPr>
        <w:shd w:val="clear" w:color="auto" w:fill="FFFFFF"/>
        <w:ind w:firstLine="0"/>
        <w:jc w:val="both"/>
        <w:rPr>
          <w:color w:val="212529"/>
          <w:sz w:val="20"/>
          <w:szCs w:val="20"/>
        </w:rPr>
      </w:pPr>
      <w:r>
        <w:rPr>
          <w:color w:val="212529"/>
          <w:sz w:val="20"/>
          <w:szCs w:val="20"/>
          <w:vertAlign w:val="superscript"/>
        </w:rPr>
        <w:t>b.</w:t>
      </w:r>
      <w:r>
        <w:rPr>
          <w:color w:val="212529"/>
          <w:sz w:val="20"/>
          <w:szCs w:val="20"/>
        </w:rPr>
        <w:t> See Table 1-1, or Table 1604.5 of the </w:t>
      </w:r>
      <w:r>
        <w:rPr>
          <w:i/>
          <w:iCs/>
          <w:color w:val="212529"/>
          <w:sz w:val="20"/>
          <w:szCs w:val="20"/>
        </w:rPr>
        <w:t>New York City Building Code,</w:t>
      </w:r>
      <w:r>
        <w:rPr>
          <w:color w:val="212529"/>
          <w:sz w:val="20"/>
          <w:szCs w:val="20"/>
        </w:rPr>
        <w:t> for structural occupancy category descriptions.</w:t>
      </w:r>
    </w:p>
    <w:p w14:paraId="4F476B2F" w14:textId="77777777" w:rsidR="0056662F" w:rsidRDefault="0056662F" w:rsidP="0056662F">
      <w:pPr>
        <w:shd w:val="clear" w:color="auto" w:fill="FFFFFF"/>
        <w:ind w:firstLine="0"/>
        <w:jc w:val="both"/>
        <w:rPr>
          <w:color w:val="212529"/>
          <w:sz w:val="20"/>
          <w:szCs w:val="20"/>
        </w:rPr>
      </w:pPr>
      <w:r>
        <w:rPr>
          <w:color w:val="212529"/>
          <w:sz w:val="20"/>
          <w:szCs w:val="20"/>
          <w:vertAlign w:val="superscript"/>
        </w:rPr>
        <w:t xml:space="preserve">c. </w:t>
      </w:r>
      <w:r>
        <w:rPr>
          <w:color w:val="212529"/>
          <w:sz w:val="20"/>
          <w:szCs w:val="20"/>
        </w:rPr>
        <w:t>For nonresidential buildings and nonresidential portions of mixed-use buildings, the lowest floor shall be allowed below the minimum elevation if the structure meets the floodproofing requirements of Section 6.</w:t>
      </w:r>
    </w:p>
    <w:p w14:paraId="01E7C651" w14:textId="77777777" w:rsidR="0056662F" w:rsidRDefault="0056662F" w:rsidP="0056662F">
      <w:pPr>
        <w:shd w:val="clear" w:color="auto" w:fill="FFFFFF"/>
        <w:ind w:firstLine="0"/>
        <w:jc w:val="both"/>
        <w:rPr>
          <w:color w:val="212529"/>
          <w:sz w:val="20"/>
          <w:szCs w:val="20"/>
        </w:rPr>
      </w:pPr>
      <w:r>
        <w:rPr>
          <w:color w:val="212529"/>
          <w:sz w:val="20"/>
          <w:szCs w:val="20"/>
          <w:vertAlign w:val="superscript"/>
        </w:rPr>
        <w:t>d.</w:t>
      </w:r>
      <w:r>
        <w:rPr>
          <w:color w:val="212529"/>
          <w:sz w:val="20"/>
          <w:szCs w:val="20"/>
        </w:rPr>
        <w:t> Buildings that include I-2 occupancies that are hospitals shall use the greater of (i) the DFE for the applicable structural occupancy category as indicated in this table or (ii) the 500-year flood elevation.</w:t>
      </w:r>
    </w:p>
    <w:p w14:paraId="33AFB58B" w14:textId="77777777" w:rsidR="0056662F" w:rsidRDefault="0056662F" w:rsidP="0056662F">
      <w:pPr>
        <w:shd w:val="clear" w:color="auto" w:fill="FFFFFF"/>
        <w:ind w:firstLine="0"/>
        <w:jc w:val="both"/>
        <w:rPr>
          <w:color w:val="212529"/>
          <w:sz w:val="20"/>
          <w:szCs w:val="20"/>
        </w:rPr>
      </w:pPr>
    </w:p>
    <w:p w14:paraId="76D45E1A" w14:textId="77777777" w:rsidR="0056662F" w:rsidRDefault="0056662F" w:rsidP="0056662F">
      <w:pPr>
        <w:spacing w:line="480" w:lineRule="auto"/>
        <w:jc w:val="both"/>
      </w:pPr>
      <w:r>
        <w:t>§ 2. The New York city amendments to section 4.4 of ASCE 24-05 as set forth in section G501.1 of chapter G5 of appendix G of the New York city building code, as amended by local law number 141 for the year 2013, is amended to read as follows:</w:t>
      </w:r>
    </w:p>
    <w:p w14:paraId="4C2AFCA9" w14:textId="77777777" w:rsidR="0056662F" w:rsidRDefault="0056662F" w:rsidP="0056662F">
      <w:pPr>
        <w:spacing w:line="480" w:lineRule="auto"/>
        <w:ind w:firstLine="0"/>
        <w:jc w:val="both"/>
      </w:pPr>
      <w:r>
        <w:rPr>
          <w:b/>
        </w:rPr>
        <w:t>Section 4.4.</w:t>
      </w:r>
      <w:r>
        <w:t xml:space="preserve"> Table 4-1 of Section 4.4 (Elevation Requirements) is amended to read as follows:</w:t>
      </w:r>
    </w:p>
    <w:p w14:paraId="282BCAEB" w14:textId="77777777" w:rsidR="0056662F" w:rsidRDefault="0056662F" w:rsidP="0056662F">
      <w:pPr>
        <w:tabs>
          <w:tab w:val="left" w:pos="2492"/>
        </w:tabs>
        <w:ind w:firstLine="0"/>
        <w:jc w:val="center"/>
        <w:rPr>
          <w:b/>
          <w:bCs/>
          <w:caps/>
          <w:color w:val="212529"/>
          <w:shd w:val="clear" w:color="auto" w:fill="FFFFFF"/>
        </w:rPr>
      </w:pPr>
      <w:r>
        <w:rPr>
          <w:b/>
          <w:bCs/>
          <w:caps/>
          <w:color w:val="212529"/>
          <w:shd w:val="clear" w:color="auto" w:fill="FFFFFF"/>
        </w:rPr>
        <w:t>Table 4-1</w:t>
      </w:r>
    </w:p>
    <w:p w14:paraId="331465F3" w14:textId="77777777" w:rsidR="0056662F" w:rsidRDefault="0056662F" w:rsidP="0056662F">
      <w:pPr>
        <w:tabs>
          <w:tab w:val="left" w:pos="2492"/>
        </w:tabs>
        <w:ind w:firstLine="0"/>
        <w:jc w:val="center"/>
        <w:rPr>
          <w:b/>
          <w:bCs/>
          <w:caps/>
          <w:color w:val="212529"/>
          <w:shd w:val="clear" w:color="auto" w:fill="FFFFFF"/>
        </w:rPr>
      </w:pPr>
      <w:r>
        <w:rPr>
          <w:b/>
          <w:bCs/>
          <w:caps/>
          <w:color w:val="212529"/>
          <w:shd w:val="clear" w:color="auto" w:fill="FFFFFF"/>
        </w:rPr>
        <w:t xml:space="preserve">Minimum Elevation of Bottom of Lowest Supporting </w:t>
      </w:r>
    </w:p>
    <w:p w14:paraId="3097E72E" w14:textId="77777777" w:rsidR="0056662F" w:rsidRDefault="0056662F" w:rsidP="0056662F">
      <w:pPr>
        <w:tabs>
          <w:tab w:val="left" w:pos="2492"/>
        </w:tabs>
        <w:ind w:firstLine="0"/>
        <w:jc w:val="center"/>
        <w:rPr>
          <w:b/>
          <w:bCs/>
          <w:caps/>
          <w:color w:val="212529"/>
          <w:shd w:val="clear" w:color="auto" w:fill="FFFFFF"/>
        </w:rPr>
      </w:pPr>
      <w:r>
        <w:rPr>
          <w:b/>
          <w:bCs/>
          <w:caps/>
          <w:color w:val="212529"/>
          <w:shd w:val="clear" w:color="auto" w:fill="FFFFFF"/>
        </w:rPr>
        <w:t>Horizontal Structural Member of Lowest Floor</w:t>
      </w:r>
    </w:p>
    <w:p w14:paraId="4E8CA9A0" w14:textId="77777777" w:rsidR="0056662F" w:rsidRDefault="0056662F" w:rsidP="0056662F">
      <w:pPr>
        <w:tabs>
          <w:tab w:val="left" w:pos="2492"/>
        </w:tabs>
        <w:ind w:firstLine="0"/>
        <w:jc w:val="center"/>
        <w:rPr>
          <w:caps/>
        </w:rPr>
      </w:pPr>
      <w:r>
        <w:rPr>
          <w:b/>
          <w:bCs/>
          <w:caps/>
          <w:color w:val="212529"/>
          <w:shd w:val="clear" w:color="auto" w:fill="FFFFFF"/>
        </w:rPr>
        <w:t>Relative to Design Flood Elevation (DFE)—V-Zones and Coastal A-Zones</w:t>
      </w:r>
    </w:p>
    <w:tbl>
      <w:tblPr>
        <w:tblStyle w:val="TableGrid"/>
        <w:tblW w:w="9450" w:type="dxa"/>
        <w:tblInd w:w="175" w:type="dxa"/>
        <w:tblLook w:val="04A0" w:firstRow="1" w:lastRow="0" w:firstColumn="1" w:lastColumn="0" w:noHBand="0" w:noVBand="1"/>
      </w:tblPr>
      <w:tblGrid>
        <w:gridCol w:w="3600"/>
        <w:gridCol w:w="2880"/>
        <w:gridCol w:w="2970"/>
      </w:tblGrid>
      <w:tr w:rsidR="0056662F" w14:paraId="0EA7E72C" w14:textId="77777777" w:rsidTr="0056662F">
        <w:tc>
          <w:tcPr>
            <w:tcW w:w="3600" w:type="dxa"/>
            <w:vMerge w:val="restart"/>
            <w:tcBorders>
              <w:top w:val="single" w:sz="4" w:space="0" w:color="auto"/>
              <w:left w:val="single" w:sz="4" w:space="0" w:color="auto"/>
              <w:bottom w:val="single" w:sz="4" w:space="0" w:color="auto"/>
              <w:right w:val="single" w:sz="4" w:space="0" w:color="auto"/>
            </w:tcBorders>
            <w:hideMark/>
          </w:tcPr>
          <w:p w14:paraId="055437C5" w14:textId="77777777" w:rsidR="0056662F" w:rsidRDefault="0056662F">
            <w:pPr>
              <w:tabs>
                <w:tab w:val="left" w:pos="2492"/>
              </w:tabs>
              <w:ind w:firstLine="0"/>
              <w:jc w:val="center"/>
              <w:rPr>
                <w:b/>
                <w:caps/>
              </w:rPr>
            </w:pPr>
            <w:r>
              <w:rPr>
                <w:b/>
                <w:caps/>
              </w:rPr>
              <w:t>Structural</w:t>
            </w:r>
          </w:p>
          <w:p w14:paraId="0AEC2F7A" w14:textId="77777777" w:rsidR="0056662F" w:rsidRDefault="0056662F">
            <w:pPr>
              <w:tabs>
                <w:tab w:val="left" w:pos="2492"/>
              </w:tabs>
              <w:ind w:firstLine="0"/>
              <w:jc w:val="center"/>
              <w:rPr>
                <w:b/>
                <w:caps/>
              </w:rPr>
            </w:pPr>
            <w:r>
              <w:rPr>
                <w:b/>
                <w:caps/>
              </w:rPr>
              <w:t>Occupancy</w:t>
            </w:r>
          </w:p>
          <w:p w14:paraId="21E6038F" w14:textId="77777777" w:rsidR="0056662F" w:rsidRDefault="0056662F">
            <w:pPr>
              <w:tabs>
                <w:tab w:val="left" w:pos="2492"/>
              </w:tabs>
              <w:ind w:firstLine="0"/>
              <w:jc w:val="center"/>
              <w:rPr>
                <w:b/>
              </w:rPr>
            </w:pPr>
            <w:r>
              <w:rPr>
                <w:b/>
                <w:caps/>
              </w:rPr>
              <w:t>category</w:t>
            </w:r>
            <w:r>
              <w:rPr>
                <w:b/>
                <w:vertAlign w:val="superscript"/>
              </w:rPr>
              <w:t>a</w:t>
            </w:r>
          </w:p>
        </w:tc>
        <w:tc>
          <w:tcPr>
            <w:tcW w:w="5850" w:type="dxa"/>
            <w:gridSpan w:val="2"/>
            <w:tcBorders>
              <w:top w:val="single" w:sz="4" w:space="0" w:color="auto"/>
              <w:left w:val="single" w:sz="4" w:space="0" w:color="auto"/>
              <w:bottom w:val="single" w:sz="4" w:space="0" w:color="auto"/>
              <w:right w:val="single" w:sz="4" w:space="0" w:color="auto"/>
            </w:tcBorders>
            <w:hideMark/>
          </w:tcPr>
          <w:p w14:paraId="10234D2F" w14:textId="77777777" w:rsidR="0056662F" w:rsidRDefault="0056662F">
            <w:pPr>
              <w:tabs>
                <w:tab w:val="left" w:pos="2492"/>
              </w:tabs>
              <w:ind w:firstLine="0"/>
              <w:jc w:val="center"/>
              <w:rPr>
                <w:b/>
                <w:caps/>
              </w:rPr>
            </w:pPr>
            <w:r>
              <w:rPr>
                <w:b/>
                <w:caps/>
              </w:rPr>
              <w:t>Member orientation relative to the</w:t>
            </w:r>
          </w:p>
          <w:p w14:paraId="3554BB72" w14:textId="77777777" w:rsidR="0056662F" w:rsidRDefault="0056662F">
            <w:pPr>
              <w:tabs>
                <w:tab w:val="left" w:pos="2492"/>
              </w:tabs>
              <w:ind w:firstLine="0"/>
              <w:jc w:val="center"/>
              <w:rPr>
                <w:b/>
              </w:rPr>
            </w:pPr>
            <w:r>
              <w:rPr>
                <w:b/>
                <w:caps/>
              </w:rPr>
              <w:t>Direction of wave approach</w:t>
            </w:r>
          </w:p>
        </w:tc>
      </w:tr>
      <w:tr w:rsidR="0056662F" w14:paraId="373105AD" w14:textId="77777777" w:rsidTr="0056662F">
        <w:tc>
          <w:tcPr>
            <w:tcW w:w="0" w:type="auto"/>
            <w:vMerge/>
            <w:tcBorders>
              <w:top w:val="single" w:sz="4" w:space="0" w:color="auto"/>
              <w:left w:val="single" w:sz="4" w:space="0" w:color="auto"/>
              <w:bottom w:val="single" w:sz="4" w:space="0" w:color="auto"/>
              <w:right w:val="single" w:sz="4" w:space="0" w:color="auto"/>
            </w:tcBorders>
            <w:vAlign w:val="center"/>
            <w:hideMark/>
          </w:tcPr>
          <w:p w14:paraId="5A5C45E5" w14:textId="77777777" w:rsidR="0056662F" w:rsidRDefault="0056662F">
            <w:pPr>
              <w:ind w:firstLine="0"/>
              <w:rPr>
                <w:b/>
              </w:rPr>
            </w:pPr>
          </w:p>
        </w:tc>
        <w:tc>
          <w:tcPr>
            <w:tcW w:w="2880" w:type="dxa"/>
            <w:tcBorders>
              <w:top w:val="single" w:sz="4" w:space="0" w:color="auto"/>
              <w:left w:val="single" w:sz="4" w:space="0" w:color="auto"/>
              <w:bottom w:val="single" w:sz="4" w:space="0" w:color="auto"/>
              <w:right w:val="single" w:sz="4" w:space="0" w:color="auto"/>
            </w:tcBorders>
            <w:hideMark/>
          </w:tcPr>
          <w:p w14:paraId="20F243E6" w14:textId="77777777" w:rsidR="0056662F" w:rsidRDefault="0056662F">
            <w:pPr>
              <w:tabs>
                <w:tab w:val="left" w:pos="2492"/>
              </w:tabs>
              <w:ind w:firstLine="0"/>
              <w:jc w:val="center"/>
              <w:rPr>
                <w:b/>
              </w:rPr>
            </w:pPr>
            <w:r>
              <w:rPr>
                <w:b/>
              </w:rPr>
              <w:t>Parallel</w:t>
            </w:r>
            <w:r>
              <w:rPr>
                <w:b/>
                <w:vertAlign w:val="superscript"/>
              </w:rPr>
              <w:t>b</w:t>
            </w:r>
          </w:p>
        </w:tc>
        <w:tc>
          <w:tcPr>
            <w:tcW w:w="2970" w:type="dxa"/>
            <w:tcBorders>
              <w:top w:val="single" w:sz="4" w:space="0" w:color="auto"/>
              <w:left w:val="single" w:sz="4" w:space="0" w:color="auto"/>
              <w:bottom w:val="single" w:sz="4" w:space="0" w:color="auto"/>
              <w:right w:val="single" w:sz="4" w:space="0" w:color="auto"/>
            </w:tcBorders>
            <w:hideMark/>
          </w:tcPr>
          <w:p w14:paraId="0923A301" w14:textId="77777777" w:rsidR="0056662F" w:rsidRDefault="0056662F">
            <w:pPr>
              <w:tabs>
                <w:tab w:val="left" w:pos="2492"/>
              </w:tabs>
              <w:ind w:firstLine="0"/>
              <w:jc w:val="center"/>
              <w:rPr>
                <w:b/>
              </w:rPr>
            </w:pPr>
            <w:r>
              <w:rPr>
                <w:b/>
              </w:rPr>
              <w:t>Perpendicular</w:t>
            </w:r>
            <w:r>
              <w:rPr>
                <w:b/>
                <w:vertAlign w:val="superscript"/>
              </w:rPr>
              <w:t>b</w:t>
            </w:r>
          </w:p>
        </w:tc>
      </w:tr>
      <w:tr w:rsidR="0056662F" w14:paraId="3FEC3552" w14:textId="77777777" w:rsidTr="0056662F">
        <w:tc>
          <w:tcPr>
            <w:tcW w:w="3600" w:type="dxa"/>
            <w:tcBorders>
              <w:top w:val="single" w:sz="4" w:space="0" w:color="auto"/>
              <w:left w:val="single" w:sz="4" w:space="0" w:color="auto"/>
              <w:bottom w:val="single" w:sz="4" w:space="0" w:color="auto"/>
              <w:right w:val="single" w:sz="4" w:space="0" w:color="auto"/>
            </w:tcBorders>
            <w:hideMark/>
          </w:tcPr>
          <w:p w14:paraId="6EB38D0B" w14:textId="77777777" w:rsidR="0056662F" w:rsidRDefault="0056662F">
            <w:pPr>
              <w:tabs>
                <w:tab w:val="left" w:pos="2492"/>
              </w:tabs>
              <w:ind w:firstLine="0"/>
              <w:jc w:val="both"/>
            </w:pPr>
            <w:r>
              <w:t>I</w:t>
            </w:r>
          </w:p>
        </w:tc>
        <w:tc>
          <w:tcPr>
            <w:tcW w:w="2880" w:type="dxa"/>
            <w:tcBorders>
              <w:top w:val="single" w:sz="4" w:space="0" w:color="auto"/>
              <w:left w:val="single" w:sz="4" w:space="0" w:color="auto"/>
              <w:bottom w:val="single" w:sz="4" w:space="0" w:color="auto"/>
              <w:right w:val="single" w:sz="4" w:space="0" w:color="auto"/>
            </w:tcBorders>
            <w:hideMark/>
          </w:tcPr>
          <w:p w14:paraId="7936DEF8" w14:textId="77777777" w:rsidR="0056662F" w:rsidRDefault="0056662F">
            <w:pPr>
              <w:tabs>
                <w:tab w:val="left" w:pos="2492"/>
              </w:tabs>
              <w:ind w:firstLine="0"/>
              <w:jc w:val="both"/>
            </w:pPr>
            <w:r>
              <w:t xml:space="preserve">DFE=BFE </w:t>
            </w:r>
            <w:r>
              <w:rPr>
                <w:u w:val="single"/>
              </w:rPr>
              <w:t>+ 2 ft</w:t>
            </w:r>
          </w:p>
        </w:tc>
        <w:tc>
          <w:tcPr>
            <w:tcW w:w="2970" w:type="dxa"/>
            <w:tcBorders>
              <w:top w:val="single" w:sz="4" w:space="0" w:color="auto"/>
              <w:left w:val="single" w:sz="4" w:space="0" w:color="auto"/>
              <w:bottom w:val="single" w:sz="4" w:space="0" w:color="auto"/>
              <w:right w:val="single" w:sz="4" w:space="0" w:color="auto"/>
            </w:tcBorders>
            <w:hideMark/>
          </w:tcPr>
          <w:p w14:paraId="4914D996" w14:textId="77777777" w:rsidR="0056662F" w:rsidRDefault="0056662F">
            <w:pPr>
              <w:tabs>
                <w:tab w:val="left" w:pos="2492"/>
              </w:tabs>
              <w:ind w:firstLine="0"/>
              <w:jc w:val="both"/>
            </w:pPr>
            <w:r>
              <w:t xml:space="preserve">DFE=BFE </w:t>
            </w:r>
            <w:r>
              <w:rPr>
                <w:u w:val="single"/>
              </w:rPr>
              <w:t>+ 2 ft</w:t>
            </w:r>
          </w:p>
        </w:tc>
      </w:tr>
      <w:tr w:rsidR="0056662F" w14:paraId="4669DB22" w14:textId="77777777" w:rsidTr="0056662F">
        <w:tc>
          <w:tcPr>
            <w:tcW w:w="3600" w:type="dxa"/>
            <w:tcBorders>
              <w:top w:val="single" w:sz="4" w:space="0" w:color="auto"/>
              <w:left w:val="single" w:sz="4" w:space="0" w:color="auto"/>
              <w:bottom w:val="single" w:sz="4" w:space="0" w:color="auto"/>
              <w:right w:val="single" w:sz="4" w:space="0" w:color="auto"/>
            </w:tcBorders>
            <w:hideMark/>
          </w:tcPr>
          <w:p w14:paraId="63C65EDB" w14:textId="77777777" w:rsidR="0056662F" w:rsidRDefault="0056662F">
            <w:pPr>
              <w:tabs>
                <w:tab w:val="left" w:pos="2492"/>
              </w:tabs>
              <w:ind w:firstLine="0"/>
              <w:jc w:val="both"/>
            </w:pPr>
            <w:r>
              <w:t>[II (1-and 2- family dwellings)]</w:t>
            </w:r>
          </w:p>
        </w:tc>
        <w:tc>
          <w:tcPr>
            <w:tcW w:w="2880" w:type="dxa"/>
            <w:tcBorders>
              <w:top w:val="single" w:sz="4" w:space="0" w:color="auto"/>
              <w:left w:val="single" w:sz="4" w:space="0" w:color="auto"/>
              <w:bottom w:val="single" w:sz="4" w:space="0" w:color="auto"/>
              <w:right w:val="single" w:sz="4" w:space="0" w:color="auto"/>
            </w:tcBorders>
            <w:hideMark/>
          </w:tcPr>
          <w:p w14:paraId="4C31F01E" w14:textId="77777777" w:rsidR="0056662F" w:rsidRDefault="0056662F">
            <w:pPr>
              <w:tabs>
                <w:tab w:val="left" w:pos="2492"/>
              </w:tabs>
              <w:ind w:firstLine="0"/>
              <w:jc w:val="both"/>
            </w:pPr>
            <w:r>
              <w:t>[DFE=BFE + 2 ft]</w:t>
            </w:r>
          </w:p>
        </w:tc>
        <w:tc>
          <w:tcPr>
            <w:tcW w:w="2970" w:type="dxa"/>
            <w:tcBorders>
              <w:top w:val="single" w:sz="4" w:space="0" w:color="auto"/>
              <w:left w:val="single" w:sz="4" w:space="0" w:color="auto"/>
              <w:bottom w:val="single" w:sz="4" w:space="0" w:color="auto"/>
              <w:right w:val="single" w:sz="4" w:space="0" w:color="auto"/>
            </w:tcBorders>
            <w:hideMark/>
          </w:tcPr>
          <w:p w14:paraId="32D592B4" w14:textId="77777777" w:rsidR="0056662F" w:rsidRDefault="0056662F">
            <w:pPr>
              <w:tabs>
                <w:tab w:val="left" w:pos="2492"/>
              </w:tabs>
              <w:ind w:firstLine="0"/>
              <w:jc w:val="both"/>
            </w:pPr>
            <w:r>
              <w:t>[DFE=BFE + 2 ft]</w:t>
            </w:r>
          </w:p>
        </w:tc>
      </w:tr>
      <w:tr w:rsidR="0056662F" w14:paraId="480D1A89" w14:textId="77777777" w:rsidTr="0056662F">
        <w:tc>
          <w:tcPr>
            <w:tcW w:w="3600" w:type="dxa"/>
            <w:tcBorders>
              <w:top w:val="single" w:sz="4" w:space="0" w:color="auto"/>
              <w:left w:val="single" w:sz="4" w:space="0" w:color="auto"/>
              <w:bottom w:val="single" w:sz="4" w:space="0" w:color="auto"/>
              <w:right w:val="single" w:sz="4" w:space="0" w:color="auto"/>
            </w:tcBorders>
            <w:hideMark/>
          </w:tcPr>
          <w:p w14:paraId="660875B9" w14:textId="77777777" w:rsidR="0056662F" w:rsidRDefault="0056662F">
            <w:pPr>
              <w:tabs>
                <w:tab w:val="left" w:pos="2492"/>
              </w:tabs>
              <w:ind w:firstLine="0"/>
              <w:jc w:val="both"/>
            </w:pPr>
            <w:r>
              <w:t>II</w:t>
            </w:r>
            <w:r>
              <w:rPr>
                <w:vertAlign w:val="superscript"/>
              </w:rPr>
              <w:t>c</w:t>
            </w:r>
            <w:r>
              <w:t> [(all others)]</w:t>
            </w:r>
          </w:p>
        </w:tc>
        <w:tc>
          <w:tcPr>
            <w:tcW w:w="2880" w:type="dxa"/>
            <w:tcBorders>
              <w:top w:val="single" w:sz="4" w:space="0" w:color="auto"/>
              <w:left w:val="single" w:sz="4" w:space="0" w:color="auto"/>
              <w:bottom w:val="single" w:sz="4" w:space="0" w:color="auto"/>
              <w:right w:val="single" w:sz="4" w:space="0" w:color="auto"/>
            </w:tcBorders>
            <w:hideMark/>
          </w:tcPr>
          <w:p w14:paraId="6D993A42" w14:textId="77777777" w:rsidR="0056662F" w:rsidRDefault="0056662F">
            <w:pPr>
              <w:tabs>
                <w:tab w:val="left" w:pos="2492"/>
              </w:tabs>
              <w:ind w:firstLine="0"/>
              <w:jc w:val="both"/>
            </w:pPr>
            <w:r>
              <w:t xml:space="preserve">DFE=BFE </w:t>
            </w:r>
            <w:r>
              <w:rPr>
                <w:u w:val="single"/>
              </w:rPr>
              <w:t>+ 2 ft</w:t>
            </w:r>
          </w:p>
        </w:tc>
        <w:tc>
          <w:tcPr>
            <w:tcW w:w="2970" w:type="dxa"/>
            <w:tcBorders>
              <w:top w:val="single" w:sz="4" w:space="0" w:color="auto"/>
              <w:left w:val="single" w:sz="4" w:space="0" w:color="auto"/>
              <w:bottom w:val="single" w:sz="4" w:space="0" w:color="auto"/>
              <w:right w:val="single" w:sz="4" w:space="0" w:color="auto"/>
            </w:tcBorders>
            <w:hideMark/>
          </w:tcPr>
          <w:p w14:paraId="2A5CE014" w14:textId="77777777" w:rsidR="0056662F" w:rsidRDefault="0056662F">
            <w:pPr>
              <w:tabs>
                <w:tab w:val="left" w:pos="2492"/>
              </w:tabs>
              <w:ind w:firstLine="0"/>
              <w:jc w:val="both"/>
            </w:pPr>
            <w:r>
              <w:t xml:space="preserve">DFE-BFE + [1] </w:t>
            </w:r>
            <w:r>
              <w:rPr>
                <w:u w:val="single"/>
              </w:rPr>
              <w:t>2</w:t>
            </w:r>
            <w:r>
              <w:t xml:space="preserve"> ft</w:t>
            </w:r>
          </w:p>
        </w:tc>
      </w:tr>
      <w:tr w:rsidR="0056662F" w14:paraId="6DA28C30" w14:textId="77777777" w:rsidTr="0056662F">
        <w:tc>
          <w:tcPr>
            <w:tcW w:w="3600" w:type="dxa"/>
            <w:tcBorders>
              <w:top w:val="single" w:sz="4" w:space="0" w:color="auto"/>
              <w:left w:val="single" w:sz="4" w:space="0" w:color="auto"/>
              <w:bottom w:val="single" w:sz="4" w:space="0" w:color="auto"/>
              <w:right w:val="single" w:sz="4" w:space="0" w:color="auto"/>
            </w:tcBorders>
            <w:hideMark/>
          </w:tcPr>
          <w:p w14:paraId="39BFC73F" w14:textId="77777777" w:rsidR="0056662F" w:rsidRDefault="0056662F">
            <w:pPr>
              <w:tabs>
                <w:tab w:val="left" w:pos="2492"/>
              </w:tabs>
              <w:ind w:firstLine="0"/>
              <w:jc w:val="both"/>
            </w:pPr>
            <w:r>
              <w:t>III</w:t>
            </w:r>
            <w:r>
              <w:rPr>
                <w:vertAlign w:val="superscript"/>
              </w:rPr>
              <w:t>c</w:t>
            </w:r>
          </w:p>
        </w:tc>
        <w:tc>
          <w:tcPr>
            <w:tcW w:w="2880" w:type="dxa"/>
            <w:tcBorders>
              <w:top w:val="single" w:sz="4" w:space="0" w:color="auto"/>
              <w:left w:val="single" w:sz="4" w:space="0" w:color="auto"/>
              <w:bottom w:val="single" w:sz="4" w:space="0" w:color="auto"/>
              <w:right w:val="single" w:sz="4" w:space="0" w:color="auto"/>
            </w:tcBorders>
            <w:hideMark/>
          </w:tcPr>
          <w:p w14:paraId="0D4B8EB0" w14:textId="77777777" w:rsidR="0056662F" w:rsidRDefault="0056662F">
            <w:pPr>
              <w:tabs>
                <w:tab w:val="left" w:pos="2492"/>
              </w:tabs>
              <w:ind w:firstLine="0"/>
              <w:jc w:val="both"/>
            </w:pPr>
            <w:r>
              <w:t xml:space="preserve">DFE=BFE + [1] </w:t>
            </w:r>
            <w:r>
              <w:rPr>
                <w:u w:val="single"/>
              </w:rPr>
              <w:t>2</w:t>
            </w:r>
            <w:r>
              <w:t xml:space="preserve"> ft</w:t>
            </w:r>
          </w:p>
        </w:tc>
        <w:tc>
          <w:tcPr>
            <w:tcW w:w="2970" w:type="dxa"/>
            <w:tcBorders>
              <w:top w:val="single" w:sz="4" w:space="0" w:color="auto"/>
              <w:left w:val="single" w:sz="4" w:space="0" w:color="auto"/>
              <w:bottom w:val="single" w:sz="4" w:space="0" w:color="auto"/>
              <w:right w:val="single" w:sz="4" w:space="0" w:color="auto"/>
            </w:tcBorders>
            <w:hideMark/>
          </w:tcPr>
          <w:p w14:paraId="26AD9E67" w14:textId="77777777" w:rsidR="0056662F" w:rsidRDefault="0056662F">
            <w:pPr>
              <w:tabs>
                <w:tab w:val="left" w:pos="2492"/>
              </w:tabs>
              <w:ind w:firstLine="0"/>
              <w:jc w:val="both"/>
            </w:pPr>
            <w:r>
              <w:t>DFE=BFE + 2 ft</w:t>
            </w:r>
          </w:p>
        </w:tc>
      </w:tr>
      <w:tr w:rsidR="0056662F" w14:paraId="1E1AF207" w14:textId="77777777" w:rsidTr="0056662F">
        <w:tc>
          <w:tcPr>
            <w:tcW w:w="3600" w:type="dxa"/>
            <w:tcBorders>
              <w:top w:val="single" w:sz="4" w:space="0" w:color="auto"/>
              <w:left w:val="single" w:sz="4" w:space="0" w:color="auto"/>
              <w:bottom w:val="single" w:sz="4" w:space="0" w:color="auto"/>
              <w:right w:val="single" w:sz="4" w:space="0" w:color="auto"/>
            </w:tcBorders>
            <w:hideMark/>
          </w:tcPr>
          <w:p w14:paraId="0FE9052D" w14:textId="77777777" w:rsidR="0056662F" w:rsidRDefault="0056662F">
            <w:pPr>
              <w:tabs>
                <w:tab w:val="left" w:pos="2492"/>
              </w:tabs>
              <w:ind w:firstLine="0"/>
              <w:jc w:val="both"/>
            </w:pPr>
            <w:r>
              <w:t>IV</w:t>
            </w:r>
            <w:r>
              <w:rPr>
                <w:vertAlign w:val="superscript"/>
              </w:rPr>
              <w:t>c</w:t>
            </w:r>
          </w:p>
        </w:tc>
        <w:tc>
          <w:tcPr>
            <w:tcW w:w="2880" w:type="dxa"/>
            <w:tcBorders>
              <w:top w:val="single" w:sz="4" w:space="0" w:color="auto"/>
              <w:left w:val="single" w:sz="4" w:space="0" w:color="auto"/>
              <w:bottom w:val="single" w:sz="4" w:space="0" w:color="auto"/>
              <w:right w:val="single" w:sz="4" w:space="0" w:color="auto"/>
            </w:tcBorders>
            <w:hideMark/>
          </w:tcPr>
          <w:p w14:paraId="79784D03" w14:textId="77777777" w:rsidR="0056662F" w:rsidRDefault="0056662F">
            <w:pPr>
              <w:tabs>
                <w:tab w:val="left" w:pos="2492"/>
              </w:tabs>
              <w:ind w:firstLine="0"/>
              <w:jc w:val="both"/>
            </w:pPr>
            <w:r>
              <w:t xml:space="preserve">DFE=BFE + [1] </w:t>
            </w:r>
            <w:r>
              <w:rPr>
                <w:u w:val="single"/>
              </w:rPr>
              <w:t>2</w:t>
            </w:r>
            <w:r>
              <w:t xml:space="preserve"> ft</w:t>
            </w:r>
          </w:p>
        </w:tc>
        <w:tc>
          <w:tcPr>
            <w:tcW w:w="2970" w:type="dxa"/>
            <w:tcBorders>
              <w:top w:val="single" w:sz="4" w:space="0" w:color="auto"/>
              <w:left w:val="single" w:sz="4" w:space="0" w:color="auto"/>
              <w:bottom w:val="single" w:sz="4" w:space="0" w:color="auto"/>
              <w:right w:val="single" w:sz="4" w:space="0" w:color="auto"/>
            </w:tcBorders>
            <w:hideMark/>
          </w:tcPr>
          <w:p w14:paraId="172F58BD" w14:textId="77777777" w:rsidR="0056662F" w:rsidRDefault="0056662F">
            <w:pPr>
              <w:autoSpaceDE w:val="0"/>
              <w:autoSpaceDN w:val="0"/>
              <w:adjustRightInd w:val="0"/>
              <w:ind w:firstLine="0"/>
              <w:rPr>
                <w:rFonts w:eastAsia="Calibri"/>
                <w:u w:val="single"/>
              </w:rPr>
            </w:pPr>
            <w:r>
              <w:t>DFE=BFE + 2  ft</w:t>
            </w:r>
            <w:r>
              <w:rPr>
                <w:rFonts w:eastAsia="Calibri"/>
              </w:rPr>
              <w:t xml:space="preserve"> </w:t>
            </w:r>
            <w:r>
              <w:rPr>
                <w:rFonts w:eastAsia="Calibri"/>
                <w:u w:val="single"/>
              </w:rPr>
              <w:t>or</w:t>
            </w:r>
          </w:p>
          <w:p w14:paraId="0E6C0CD3" w14:textId="77777777" w:rsidR="0056662F" w:rsidRDefault="0056662F">
            <w:pPr>
              <w:autoSpaceDE w:val="0"/>
              <w:autoSpaceDN w:val="0"/>
              <w:adjustRightInd w:val="0"/>
              <w:ind w:firstLine="0"/>
              <w:rPr>
                <w:rFonts w:eastAsia="Calibri"/>
                <w:u w:val="single"/>
              </w:rPr>
            </w:pPr>
            <w:r>
              <w:rPr>
                <w:rFonts w:eastAsia="Calibri"/>
                <w:u w:val="single"/>
              </w:rPr>
              <w:t>500-year flood</w:t>
            </w:r>
          </w:p>
          <w:p w14:paraId="6234BD09" w14:textId="77777777" w:rsidR="0056662F" w:rsidRDefault="0056662F">
            <w:pPr>
              <w:autoSpaceDE w:val="0"/>
              <w:autoSpaceDN w:val="0"/>
              <w:adjustRightInd w:val="0"/>
              <w:ind w:firstLine="0"/>
              <w:rPr>
                <w:rFonts w:eastAsia="Calibri"/>
                <w:u w:val="single"/>
              </w:rPr>
            </w:pPr>
            <w:r>
              <w:rPr>
                <w:rFonts w:eastAsia="Calibri"/>
                <w:u w:val="single"/>
              </w:rPr>
              <w:t>elevation, whichever</w:t>
            </w:r>
          </w:p>
          <w:p w14:paraId="1C44FFED" w14:textId="77777777" w:rsidR="0056662F" w:rsidRDefault="0056662F">
            <w:pPr>
              <w:tabs>
                <w:tab w:val="left" w:pos="2492"/>
              </w:tabs>
              <w:ind w:firstLine="0"/>
              <w:jc w:val="both"/>
            </w:pPr>
            <w:r>
              <w:rPr>
                <w:rFonts w:eastAsia="Calibri"/>
                <w:u w:val="single"/>
              </w:rPr>
              <w:t>is higher</w:t>
            </w:r>
          </w:p>
        </w:tc>
      </w:tr>
    </w:tbl>
    <w:p w14:paraId="0AC3C299" w14:textId="77777777" w:rsidR="0056662F" w:rsidRDefault="0056662F" w:rsidP="0056662F">
      <w:pPr>
        <w:shd w:val="clear" w:color="auto" w:fill="FFFFFF"/>
        <w:ind w:firstLine="0"/>
        <w:jc w:val="both"/>
        <w:rPr>
          <w:color w:val="212529"/>
          <w:sz w:val="20"/>
          <w:szCs w:val="20"/>
        </w:rPr>
      </w:pPr>
      <w:r>
        <w:rPr>
          <w:color w:val="212529"/>
          <w:sz w:val="20"/>
          <w:szCs w:val="20"/>
          <w:vertAlign w:val="superscript"/>
        </w:rPr>
        <w:t>a.</w:t>
      </w:r>
      <w:r>
        <w:rPr>
          <w:color w:val="212529"/>
          <w:sz w:val="20"/>
          <w:szCs w:val="20"/>
        </w:rPr>
        <w:t> See Table 1-1, or Table 1604.5 of the </w:t>
      </w:r>
      <w:r>
        <w:rPr>
          <w:i/>
          <w:iCs/>
          <w:color w:val="212529"/>
          <w:sz w:val="20"/>
          <w:szCs w:val="20"/>
        </w:rPr>
        <w:t>New York City Building Code,</w:t>
      </w:r>
      <w:r>
        <w:rPr>
          <w:color w:val="212529"/>
          <w:sz w:val="20"/>
          <w:szCs w:val="20"/>
        </w:rPr>
        <w:t> for structural occupancy category descriptions.</w:t>
      </w:r>
    </w:p>
    <w:p w14:paraId="130D2913" w14:textId="77777777" w:rsidR="0056662F" w:rsidRDefault="0056662F" w:rsidP="0056662F">
      <w:pPr>
        <w:shd w:val="clear" w:color="auto" w:fill="FFFFFF"/>
        <w:ind w:firstLine="0"/>
        <w:jc w:val="both"/>
        <w:rPr>
          <w:color w:val="212529"/>
          <w:sz w:val="20"/>
          <w:szCs w:val="20"/>
        </w:rPr>
      </w:pPr>
      <w:r>
        <w:rPr>
          <w:color w:val="212529"/>
          <w:sz w:val="20"/>
          <w:szCs w:val="20"/>
          <w:vertAlign w:val="superscript"/>
        </w:rPr>
        <w:t>b.</w:t>
      </w:r>
      <w:r>
        <w:rPr>
          <w:color w:val="212529"/>
          <w:sz w:val="20"/>
          <w:szCs w:val="20"/>
        </w:rPr>
        <w:t> Orientation of lowest horizontal structural member relative to the general direction of wave approach; parallel shall mean less than or equal to 20 degrees from the direction of approach; perpendicular shall mean greater than 20 degrees from the direction of approach.</w:t>
      </w:r>
    </w:p>
    <w:p w14:paraId="7AED67EF" w14:textId="77777777" w:rsidR="0056662F" w:rsidRDefault="0056662F" w:rsidP="0056662F">
      <w:pPr>
        <w:shd w:val="clear" w:color="auto" w:fill="FFFFFF"/>
        <w:ind w:firstLine="0"/>
        <w:jc w:val="both"/>
        <w:rPr>
          <w:color w:val="212529"/>
          <w:sz w:val="20"/>
          <w:szCs w:val="20"/>
        </w:rPr>
      </w:pPr>
      <w:r>
        <w:rPr>
          <w:color w:val="212529"/>
          <w:sz w:val="20"/>
          <w:szCs w:val="20"/>
          <w:vertAlign w:val="superscript"/>
        </w:rPr>
        <w:t>c.</w:t>
      </w:r>
      <w:r>
        <w:rPr>
          <w:color w:val="212529"/>
          <w:sz w:val="20"/>
          <w:szCs w:val="20"/>
        </w:rPr>
        <w:t> Buildings that include I-2 occupancies that are hospitals shall use the greater of (i) the DFE for the applicable structural occupancy category as indicated in this table or (ii) the 500-year flood elevation.</w:t>
      </w:r>
    </w:p>
    <w:p w14:paraId="00B93836" w14:textId="77777777" w:rsidR="0056662F" w:rsidRDefault="0056662F" w:rsidP="0056662F">
      <w:pPr>
        <w:spacing w:line="480" w:lineRule="auto"/>
        <w:ind w:firstLine="0"/>
        <w:jc w:val="both"/>
      </w:pPr>
    </w:p>
    <w:p w14:paraId="5CAE10CF" w14:textId="77777777" w:rsidR="0056662F" w:rsidRDefault="0056662F" w:rsidP="0056662F">
      <w:pPr>
        <w:spacing w:line="480" w:lineRule="auto"/>
        <w:jc w:val="both"/>
      </w:pPr>
      <w:r>
        <w:t>§ 3. The New York city amendments to section 5.1 of ASCE 24-05 as set forth in section G501.1 of chapter G5 of appendix G of the New York city building code, as amended by local law number 141 for the year 2013, is amended to read as follows:</w:t>
      </w:r>
    </w:p>
    <w:p w14:paraId="1CC7C0F3" w14:textId="77777777" w:rsidR="0056662F" w:rsidRDefault="0056662F" w:rsidP="0056662F">
      <w:pPr>
        <w:tabs>
          <w:tab w:val="left" w:pos="2492"/>
        </w:tabs>
        <w:ind w:firstLine="0"/>
        <w:jc w:val="both"/>
      </w:pPr>
      <w:r>
        <w:rPr>
          <w:b/>
        </w:rPr>
        <w:t>Section 5.1.</w:t>
      </w:r>
      <w:r>
        <w:t xml:space="preserve"> Table 5-1 of Section 5.1 (Materials, General) is amended to read as follows:</w:t>
      </w:r>
    </w:p>
    <w:p w14:paraId="3641F0DC" w14:textId="77777777" w:rsidR="0056662F" w:rsidRDefault="0056662F" w:rsidP="0056662F">
      <w:pPr>
        <w:tabs>
          <w:tab w:val="left" w:pos="2492"/>
        </w:tabs>
        <w:ind w:firstLine="0"/>
        <w:jc w:val="center"/>
        <w:rPr>
          <w:b/>
          <w:bCs/>
          <w:caps/>
          <w:color w:val="212529"/>
          <w:shd w:val="clear" w:color="auto" w:fill="FFFFFF"/>
        </w:rPr>
      </w:pPr>
      <w:r>
        <w:rPr>
          <w:b/>
          <w:bCs/>
          <w:caps/>
          <w:color w:val="212529"/>
          <w:shd w:val="clear" w:color="auto" w:fill="FFFFFF"/>
        </w:rPr>
        <w:t>Table 5-1</w:t>
      </w:r>
    </w:p>
    <w:p w14:paraId="1AC205CF" w14:textId="77777777" w:rsidR="0056662F" w:rsidRDefault="0056662F" w:rsidP="0056662F">
      <w:pPr>
        <w:tabs>
          <w:tab w:val="left" w:pos="2492"/>
        </w:tabs>
        <w:ind w:firstLine="0"/>
        <w:jc w:val="center"/>
        <w:rPr>
          <w:b/>
          <w:bCs/>
          <w:caps/>
          <w:color w:val="212529"/>
          <w:shd w:val="clear" w:color="auto" w:fill="FFFFFF"/>
        </w:rPr>
      </w:pPr>
      <w:r>
        <w:rPr>
          <w:b/>
          <w:bCs/>
          <w:caps/>
          <w:color w:val="212529"/>
          <w:shd w:val="clear" w:color="auto" w:fill="FFFFFF"/>
        </w:rPr>
        <w:t>Minimum Elevation, Relative to Design Flood</w:t>
      </w:r>
    </w:p>
    <w:p w14:paraId="2065A088" w14:textId="77777777" w:rsidR="0056662F" w:rsidRDefault="0056662F" w:rsidP="0056662F">
      <w:pPr>
        <w:tabs>
          <w:tab w:val="left" w:pos="2492"/>
        </w:tabs>
        <w:ind w:firstLine="0"/>
        <w:jc w:val="center"/>
        <w:rPr>
          <w:b/>
          <w:bCs/>
          <w:caps/>
          <w:color w:val="212529"/>
          <w:shd w:val="clear" w:color="auto" w:fill="FFFFFF"/>
        </w:rPr>
      </w:pPr>
      <w:r>
        <w:rPr>
          <w:b/>
          <w:bCs/>
          <w:caps/>
          <w:color w:val="212529"/>
          <w:shd w:val="clear" w:color="auto" w:fill="FFFFFF"/>
        </w:rPr>
        <w:t xml:space="preserve">Elevation (DFE), Below which Damage-Resistant </w:t>
      </w:r>
    </w:p>
    <w:p w14:paraId="75CC3C12" w14:textId="77777777" w:rsidR="0056662F" w:rsidRDefault="0056662F" w:rsidP="0056662F">
      <w:pPr>
        <w:tabs>
          <w:tab w:val="left" w:pos="2492"/>
        </w:tabs>
        <w:ind w:firstLine="0"/>
        <w:jc w:val="center"/>
        <w:rPr>
          <w:caps/>
        </w:rPr>
      </w:pPr>
      <w:r>
        <w:rPr>
          <w:b/>
          <w:bCs/>
          <w:caps/>
          <w:color w:val="212529"/>
          <w:shd w:val="clear" w:color="auto" w:fill="FFFFFF"/>
        </w:rPr>
        <w:t>Materials Shall be Used</w:t>
      </w:r>
    </w:p>
    <w:tbl>
      <w:tblPr>
        <w:tblStyle w:val="TableGrid"/>
        <w:tblW w:w="9810" w:type="dxa"/>
        <w:tblInd w:w="-5" w:type="dxa"/>
        <w:tblLook w:val="04A0" w:firstRow="1" w:lastRow="0" w:firstColumn="1" w:lastColumn="0" w:noHBand="0" w:noVBand="1"/>
      </w:tblPr>
      <w:tblGrid>
        <w:gridCol w:w="1870"/>
        <w:gridCol w:w="2180"/>
        <w:gridCol w:w="2610"/>
        <w:gridCol w:w="3150"/>
      </w:tblGrid>
      <w:tr w:rsidR="0056662F" w14:paraId="61AFA060" w14:textId="77777777" w:rsidTr="0056662F">
        <w:tc>
          <w:tcPr>
            <w:tcW w:w="1870" w:type="dxa"/>
            <w:vMerge w:val="restart"/>
            <w:tcBorders>
              <w:top w:val="single" w:sz="4" w:space="0" w:color="auto"/>
              <w:left w:val="single" w:sz="4" w:space="0" w:color="auto"/>
              <w:bottom w:val="single" w:sz="4" w:space="0" w:color="auto"/>
              <w:right w:val="single" w:sz="4" w:space="0" w:color="auto"/>
            </w:tcBorders>
            <w:hideMark/>
          </w:tcPr>
          <w:p w14:paraId="3729875C" w14:textId="77777777" w:rsidR="0056662F" w:rsidRDefault="0056662F">
            <w:pPr>
              <w:tabs>
                <w:tab w:val="left" w:pos="2492"/>
              </w:tabs>
              <w:ind w:firstLine="0"/>
              <w:jc w:val="center"/>
              <w:rPr>
                <w:b/>
                <w:caps/>
              </w:rPr>
            </w:pPr>
            <w:r>
              <w:rPr>
                <w:b/>
                <w:caps/>
              </w:rPr>
              <w:t>Structural</w:t>
            </w:r>
          </w:p>
          <w:p w14:paraId="4F3AA1F9" w14:textId="77777777" w:rsidR="0056662F" w:rsidRDefault="0056662F">
            <w:pPr>
              <w:tabs>
                <w:tab w:val="left" w:pos="2492"/>
              </w:tabs>
              <w:ind w:firstLine="0"/>
              <w:jc w:val="center"/>
              <w:rPr>
                <w:b/>
                <w:caps/>
              </w:rPr>
            </w:pPr>
            <w:r>
              <w:rPr>
                <w:b/>
                <w:caps/>
              </w:rPr>
              <w:t>Occupancy</w:t>
            </w:r>
          </w:p>
          <w:p w14:paraId="1764A739" w14:textId="77777777" w:rsidR="0056662F" w:rsidRDefault="0056662F">
            <w:pPr>
              <w:tabs>
                <w:tab w:val="left" w:pos="2492"/>
              </w:tabs>
              <w:ind w:firstLine="0"/>
              <w:jc w:val="center"/>
              <w:rPr>
                <w:b/>
                <w:caps/>
              </w:rPr>
            </w:pPr>
            <w:r>
              <w:rPr>
                <w:b/>
                <w:caps/>
              </w:rPr>
              <w:t>category</w:t>
            </w:r>
            <w:r>
              <w:rPr>
                <w:b/>
                <w:vertAlign w:val="superscript"/>
              </w:rPr>
              <w:t>a</w:t>
            </w:r>
          </w:p>
        </w:tc>
        <w:tc>
          <w:tcPr>
            <w:tcW w:w="2180" w:type="dxa"/>
            <w:vMerge w:val="restart"/>
            <w:tcBorders>
              <w:top w:val="single" w:sz="4" w:space="0" w:color="auto"/>
              <w:left w:val="single" w:sz="4" w:space="0" w:color="auto"/>
              <w:bottom w:val="single" w:sz="4" w:space="0" w:color="auto"/>
              <w:right w:val="single" w:sz="4" w:space="0" w:color="auto"/>
            </w:tcBorders>
            <w:hideMark/>
          </w:tcPr>
          <w:p w14:paraId="0B70006A" w14:textId="77777777" w:rsidR="0056662F" w:rsidRDefault="0056662F">
            <w:pPr>
              <w:tabs>
                <w:tab w:val="left" w:pos="2492"/>
              </w:tabs>
              <w:ind w:firstLine="0"/>
              <w:jc w:val="center"/>
              <w:rPr>
                <w:b/>
              </w:rPr>
            </w:pPr>
            <w:r>
              <w:rPr>
                <w:b/>
                <w:caps/>
              </w:rPr>
              <w:t>A-ZONE</w:t>
            </w:r>
          </w:p>
        </w:tc>
        <w:tc>
          <w:tcPr>
            <w:tcW w:w="5760" w:type="dxa"/>
            <w:gridSpan w:val="2"/>
            <w:tcBorders>
              <w:top w:val="single" w:sz="4" w:space="0" w:color="auto"/>
              <w:left w:val="single" w:sz="4" w:space="0" w:color="auto"/>
              <w:bottom w:val="single" w:sz="4" w:space="0" w:color="auto"/>
              <w:right w:val="single" w:sz="4" w:space="0" w:color="auto"/>
            </w:tcBorders>
            <w:hideMark/>
          </w:tcPr>
          <w:p w14:paraId="62CC99A7" w14:textId="77777777" w:rsidR="0056662F" w:rsidRDefault="0056662F">
            <w:pPr>
              <w:tabs>
                <w:tab w:val="left" w:pos="2492"/>
              </w:tabs>
              <w:ind w:firstLine="0"/>
              <w:jc w:val="center"/>
              <w:rPr>
                <w:b/>
              </w:rPr>
            </w:pPr>
            <w:r>
              <w:rPr>
                <w:b/>
              </w:rPr>
              <w:t>Coastal High Hazard Areas and</w:t>
            </w:r>
          </w:p>
          <w:p w14:paraId="5E2F8FE1" w14:textId="77777777" w:rsidR="0056662F" w:rsidRDefault="0056662F">
            <w:pPr>
              <w:tabs>
                <w:tab w:val="left" w:pos="2492"/>
              </w:tabs>
              <w:ind w:firstLine="0"/>
              <w:jc w:val="center"/>
              <w:rPr>
                <w:b/>
              </w:rPr>
            </w:pPr>
            <w:r>
              <w:rPr>
                <w:b/>
              </w:rPr>
              <w:t>Coastal A-Zones</w:t>
            </w:r>
          </w:p>
        </w:tc>
      </w:tr>
      <w:tr w:rsidR="0056662F" w14:paraId="01A5B402" w14:textId="77777777" w:rsidTr="0056662F">
        <w:tc>
          <w:tcPr>
            <w:tcW w:w="0" w:type="auto"/>
            <w:vMerge/>
            <w:tcBorders>
              <w:top w:val="single" w:sz="4" w:space="0" w:color="auto"/>
              <w:left w:val="single" w:sz="4" w:space="0" w:color="auto"/>
              <w:bottom w:val="single" w:sz="4" w:space="0" w:color="auto"/>
              <w:right w:val="single" w:sz="4" w:space="0" w:color="auto"/>
            </w:tcBorders>
            <w:vAlign w:val="center"/>
            <w:hideMark/>
          </w:tcPr>
          <w:p w14:paraId="29A86376" w14:textId="77777777" w:rsidR="0056662F" w:rsidRDefault="0056662F">
            <w:pPr>
              <w:ind w:firstLine="0"/>
              <w:rPr>
                <w:b/>
                <w:cap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FC5E83" w14:textId="77777777" w:rsidR="0056662F" w:rsidRDefault="0056662F">
            <w:pPr>
              <w:ind w:firstLine="0"/>
              <w:rPr>
                <w:b/>
              </w:rPr>
            </w:pPr>
          </w:p>
        </w:tc>
        <w:tc>
          <w:tcPr>
            <w:tcW w:w="2610" w:type="dxa"/>
            <w:tcBorders>
              <w:top w:val="single" w:sz="4" w:space="0" w:color="auto"/>
              <w:left w:val="single" w:sz="4" w:space="0" w:color="auto"/>
              <w:bottom w:val="single" w:sz="4" w:space="0" w:color="auto"/>
              <w:right w:val="single" w:sz="4" w:space="0" w:color="auto"/>
            </w:tcBorders>
            <w:hideMark/>
          </w:tcPr>
          <w:p w14:paraId="5BC2ADB7" w14:textId="77777777" w:rsidR="0056662F" w:rsidRDefault="0056662F">
            <w:pPr>
              <w:tabs>
                <w:tab w:val="left" w:pos="2492"/>
              </w:tabs>
              <w:ind w:firstLine="0"/>
              <w:jc w:val="center"/>
              <w:rPr>
                <w:b/>
              </w:rPr>
            </w:pPr>
            <w:r>
              <w:rPr>
                <w:b/>
              </w:rPr>
              <w:t>Orientation Parallel</w:t>
            </w:r>
            <w:r>
              <w:rPr>
                <w:b/>
                <w:vertAlign w:val="superscript"/>
              </w:rPr>
              <w:t>b</w:t>
            </w:r>
          </w:p>
        </w:tc>
        <w:tc>
          <w:tcPr>
            <w:tcW w:w="3150" w:type="dxa"/>
            <w:tcBorders>
              <w:top w:val="single" w:sz="4" w:space="0" w:color="auto"/>
              <w:left w:val="single" w:sz="4" w:space="0" w:color="auto"/>
              <w:bottom w:val="single" w:sz="4" w:space="0" w:color="auto"/>
              <w:right w:val="single" w:sz="4" w:space="0" w:color="auto"/>
            </w:tcBorders>
            <w:hideMark/>
          </w:tcPr>
          <w:p w14:paraId="568F356C" w14:textId="77777777" w:rsidR="0056662F" w:rsidRDefault="0056662F">
            <w:pPr>
              <w:tabs>
                <w:tab w:val="left" w:pos="2492"/>
              </w:tabs>
              <w:ind w:firstLine="0"/>
              <w:jc w:val="center"/>
              <w:rPr>
                <w:b/>
              </w:rPr>
            </w:pPr>
            <w:r>
              <w:rPr>
                <w:b/>
              </w:rPr>
              <w:t xml:space="preserve">Orientation </w:t>
            </w:r>
          </w:p>
          <w:p w14:paraId="4F01584F" w14:textId="77777777" w:rsidR="0056662F" w:rsidRDefault="0056662F">
            <w:pPr>
              <w:tabs>
                <w:tab w:val="left" w:pos="2492"/>
              </w:tabs>
              <w:ind w:firstLine="0"/>
              <w:jc w:val="center"/>
              <w:rPr>
                <w:b/>
              </w:rPr>
            </w:pPr>
            <w:r>
              <w:rPr>
                <w:b/>
              </w:rPr>
              <w:t>Perpendicular</w:t>
            </w:r>
            <w:r>
              <w:rPr>
                <w:b/>
                <w:vertAlign w:val="superscript"/>
              </w:rPr>
              <w:t>b</w:t>
            </w:r>
          </w:p>
        </w:tc>
      </w:tr>
      <w:tr w:rsidR="0056662F" w14:paraId="507D9AB8" w14:textId="77777777" w:rsidTr="0056662F">
        <w:tc>
          <w:tcPr>
            <w:tcW w:w="1870" w:type="dxa"/>
            <w:tcBorders>
              <w:top w:val="single" w:sz="4" w:space="0" w:color="auto"/>
              <w:left w:val="single" w:sz="4" w:space="0" w:color="auto"/>
              <w:bottom w:val="single" w:sz="4" w:space="0" w:color="auto"/>
              <w:right w:val="single" w:sz="4" w:space="0" w:color="auto"/>
            </w:tcBorders>
            <w:hideMark/>
          </w:tcPr>
          <w:p w14:paraId="4CF75404" w14:textId="77777777" w:rsidR="0056662F" w:rsidRDefault="0056662F">
            <w:pPr>
              <w:tabs>
                <w:tab w:val="left" w:pos="2492"/>
              </w:tabs>
              <w:ind w:firstLine="0"/>
              <w:jc w:val="both"/>
            </w:pPr>
            <w:r>
              <w:t>I</w:t>
            </w:r>
          </w:p>
        </w:tc>
        <w:tc>
          <w:tcPr>
            <w:tcW w:w="2180" w:type="dxa"/>
            <w:tcBorders>
              <w:top w:val="single" w:sz="4" w:space="0" w:color="auto"/>
              <w:left w:val="single" w:sz="4" w:space="0" w:color="auto"/>
              <w:bottom w:val="single" w:sz="4" w:space="0" w:color="auto"/>
              <w:right w:val="single" w:sz="4" w:space="0" w:color="auto"/>
            </w:tcBorders>
            <w:hideMark/>
          </w:tcPr>
          <w:p w14:paraId="475F0C7F" w14:textId="77777777" w:rsidR="0056662F" w:rsidRDefault="0056662F">
            <w:pPr>
              <w:tabs>
                <w:tab w:val="left" w:pos="2492"/>
              </w:tabs>
              <w:ind w:firstLine="0"/>
              <w:jc w:val="both"/>
            </w:pPr>
            <w:r>
              <w:t xml:space="preserve">DFE=BFE </w:t>
            </w:r>
            <w:r>
              <w:rPr>
                <w:u w:val="single"/>
              </w:rPr>
              <w:t>+ 2 ft</w:t>
            </w:r>
          </w:p>
        </w:tc>
        <w:tc>
          <w:tcPr>
            <w:tcW w:w="2610" w:type="dxa"/>
            <w:tcBorders>
              <w:top w:val="single" w:sz="4" w:space="0" w:color="auto"/>
              <w:left w:val="single" w:sz="4" w:space="0" w:color="auto"/>
              <w:bottom w:val="single" w:sz="4" w:space="0" w:color="auto"/>
              <w:right w:val="single" w:sz="4" w:space="0" w:color="auto"/>
            </w:tcBorders>
            <w:hideMark/>
          </w:tcPr>
          <w:p w14:paraId="246F50C9" w14:textId="77777777" w:rsidR="0056662F" w:rsidRDefault="0056662F">
            <w:pPr>
              <w:tabs>
                <w:tab w:val="left" w:pos="2492"/>
              </w:tabs>
              <w:ind w:firstLine="0"/>
              <w:jc w:val="both"/>
            </w:pPr>
            <w:r>
              <w:t xml:space="preserve">DFE=BFE </w:t>
            </w:r>
            <w:r>
              <w:rPr>
                <w:u w:val="single"/>
              </w:rPr>
              <w:t>+ 2 ft</w:t>
            </w:r>
          </w:p>
        </w:tc>
        <w:tc>
          <w:tcPr>
            <w:tcW w:w="3150" w:type="dxa"/>
            <w:tcBorders>
              <w:top w:val="single" w:sz="4" w:space="0" w:color="auto"/>
              <w:left w:val="single" w:sz="4" w:space="0" w:color="auto"/>
              <w:bottom w:val="single" w:sz="4" w:space="0" w:color="auto"/>
              <w:right w:val="single" w:sz="4" w:space="0" w:color="auto"/>
            </w:tcBorders>
            <w:hideMark/>
          </w:tcPr>
          <w:p w14:paraId="5D7AF108" w14:textId="77777777" w:rsidR="0056662F" w:rsidRDefault="0056662F">
            <w:pPr>
              <w:tabs>
                <w:tab w:val="left" w:pos="2492"/>
              </w:tabs>
              <w:ind w:firstLine="0"/>
              <w:jc w:val="both"/>
            </w:pPr>
            <w:r>
              <w:t xml:space="preserve">DFE=BFE </w:t>
            </w:r>
            <w:r>
              <w:rPr>
                <w:u w:val="single"/>
              </w:rPr>
              <w:t>+ 2 ft</w:t>
            </w:r>
          </w:p>
        </w:tc>
      </w:tr>
      <w:tr w:rsidR="0056662F" w14:paraId="271BC865" w14:textId="77777777" w:rsidTr="0056662F">
        <w:tc>
          <w:tcPr>
            <w:tcW w:w="1870" w:type="dxa"/>
            <w:tcBorders>
              <w:top w:val="single" w:sz="4" w:space="0" w:color="auto"/>
              <w:left w:val="single" w:sz="4" w:space="0" w:color="auto"/>
              <w:bottom w:val="single" w:sz="4" w:space="0" w:color="auto"/>
              <w:right w:val="single" w:sz="4" w:space="0" w:color="auto"/>
            </w:tcBorders>
            <w:hideMark/>
          </w:tcPr>
          <w:p w14:paraId="7DA56460" w14:textId="77777777" w:rsidR="0056662F" w:rsidRDefault="0056662F">
            <w:pPr>
              <w:tabs>
                <w:tab w:val="left" w:pos="2492"/>
              </w:tabs>
              <w:ind w:firstLine="0"/>
              <w:jc w:val="both"/>
            </w:pPr>
            <w:r>
              <w:t>[II (1-and 2- family dwellings)]</w:t>
            </w:r>
          </w:p>
        </w:tc>
        <w:tc>
          <w:tcPr>
            <w:tcW w:w="2180" w:type="dxa"/>
            <w:tcBorders>
              <w:top w:val="single" w:sz="4" w:space="0" w:color="auto"/>
              <w:left w:val="single" w:sz="4" w:space="0" w:color="auto"/>
              <w:bottom w:val="single" w:sz="4" w:space="0" w:color="auto"/>
              <w:right w:val="single" w:sz="4" w:space="0" w:color="auto"/>
            </w:tcBorders>
            <w:hideMark/>
          </w:tcPr>
          <w:p w14:paraId="4D08A76B" w14:textId="77777777" w:rsidR="0056662F" w:rsidRDefault="0056662F">
            <w:pPr>
              <w:tabs>
                <w:tab w:val="left" w:pos="2492"/>
              </w:tabs>
              <w:ind w:firstLine="0"/>
              <w:jc w:val="both"/>
            </w:pPr>
            <w:r>
              <w:t>[DFE=BFE + 2 ft]</w:t>
            </w:r>
          </w:p>
        </w:tc>
        <w:tc>
          <w:tcPr>
            <w:tcW w:w="2610" w:type="dxa"/>
            <w:tcBorders>
              <w:top w:val="single" w:sz="4" w:space="0" w:color="auto"/>
              <w:left w:val="single" w:sz="4" w:space="0" w:color="auto"/>
              <w:bottom w:val="single" w:sz="4" w:space="0" w:color="auto"/>
              <w:right w:val="single" w:sz="4" w:space="0" w:color="auto"/>
            </w:tcBorders>
            <w:hideMark/>
          </w:tcPr>
          <w:p w14:paraId="600B871D" w14:textId="77777777" w:rsidR="0056662F" w:rsidRDefault="0056662F">
            <w:pPr>
              <w:tabs>
                <w:tab w:val="left" w:pos="2492"/>
              </w:tabs>
              <w:ind w:firstLine="0"/>
              <w:jc w:val="both"/>
            </w:pPr>
            <w:r>
              <w:t>[DFE=BFE + 2 ft]</w:t>
            </w:r>
          </w:p>
        </w:tc>
        <w:tc>
          <w:tcPr>
            <w:tcW w:w="3150" w:type="dxa"/>
            <w:tcBorders>
              <w:top w:val="single" w:sz="4" w:space="0" w:color="auto"/>
              <w:left w:val="single" w:sz="4" w:space="0" w:color="auto"/>
              <w:bottom w:val="single" w:sz="4" w:space="0" w:color="auto"/>
              <w:right w:val="single" w:sz="4" w:space="0" w:color="auto"/>
            </w:tcBorders>
            <w:hideMark/>
          </w:tcPr>
          <w:p w14:paraId="354B5C2C" w14:textId="77777777" w:rsidR="0056662F" w:rsidRDefault="0056662F">
            <w:pPr>
              <w:tabs>
                <w:tab w:val="left" w:pos="2492"/>
              </w:tabs>
              <w:ind w:firstLine="0"/>
              <w:jc w:val="both"/>
            </w:pPr>
            <w:r>
              <w:t>[DFE=BFE + 2 ft]</w:t>
            </w:r>
          </w:p>
        </w:tc>
      </w:tr>
      <w:tr w:rsidR="0056662F" w14:paraId="6D80EFFE" w14:textId="77777777" w:rsidTr="0056662F">
        <w:tc>
          <w:tcPr>
            <w:tcW w:w="1870" w:type="dxa"/>
            <w:tcBorders>
              <w:top w:val="single" w:sz="4" w:space="0" w:color="auto"/>
              <w:left w:val="single" w:sz="4" w:space="0" w:color="auto"/>
              <w:bottom w:val="single" w:sz="4" w:space="0" w:color="auto"/>
              <w:right w:val="single" w:sz="4" w:space="0" w:color="auto"/>
            </w:tcBorders>
            <w:hideMark/>
          </w:tcPr>
          <w:p w14:paraId="6FE39E4F" w14:textId="77777777" w:rsidR="0056662F" w:rsidRDefault="0056662F">
            <w:pPr>
              <w:tabs>
                <w:tab w:val="left" w:pos="2492"/>
              </w:tabs>
              <w:ind w:firstLine="0"/>
              <w:jc w:val="both"/>
            </w:pPr>
            <w:r>
              <w:t>II</w:t>
            </w:r>
            <w:r>
              <w:rPr>
                <w:vertAlign w:val="superscript"/>
              </w:rPr>
              <w:t>c</w:t>
            </w:r>
            <w:r>
              <w:t> [(all others)]</w:t>
            </w:r>
          </w:p>
        </w:tc>
        <w:tc>
          <w:tcPr>
            <w:tcW w:w="2180" w:type="dxa"/>
            <w:tcBorders>
              <w:top w:val="single" w:sz="4" w:space="0" w:color="auto"/>
              <w:left w:val="single" w:sz="4" w:space="0" w:color="auto"/>
              <w:bottom w:val="single" w:sz="4" w:space="0" w:color="auto"/>
              <w:right w:val="single" w:sz="4" w:space="0" w:color="auto"/>
            </w:tcBorders>
            <w:hideMark/>
          </w:tcPr>
          <w:p w14:paraId="0A3D31D1" w14:textId="77777777" w:rsidR="0056662F" w:rsidRDefault="0056662F">
            <w:pPr>
              <w:tabs>
                <w:tab w:val="left" w:pos="2492"/>
              </w:tabs>
              <w:ind w:firstLine="0"/>
              <w:jc w:val="both"/>
            </w:pPr>
            <w:r>
              <w:t xml:space="preserve">DFE=BFE + [1] </w:t>
            </w:r>
            <w:r>
              <w:rPr>
                <w:u w:val="single"/>
              </w:rPr>
              <w:t>2</w:t>
            </w:r>
            <w:r>
              <w:t xml:space="preserve"> ft</w:t>
            </w:r>
          </w:p>
        </w:tc>
        <w:tc>
          <w:tcPr>
            <w:tcW w:w="2610" w:type="dxa"/>
            <w:tcBorders>
              <w:top w:val="single" w:sz="4" w:space="0" w:color="auto"/>
              <w:left w:val="single" w:sz="4" w:space="0" w:color="auto"/>
              <w:bottom w:val="single" w:sz="4" w:space="0" w:color="auto"/>
              <w:right w:val="single" w:sz="4" w:space="0" w:color="auto"/>
            </w:tcBorders>
            <w:hideMark/>
          </w:tcPr>
          <w:p w14:paraId="68ACCECE" w14:textId="77777777" w:rsidR="0056662F" w:rsidRDefault="0056662F">
            <w:pPr>
              <w:tabs>
                <w:tab w:val="left" w:pos="2492"/>
              </w:tabs>
              <w:ind w:firstLine="0"/>
              <w:jc w:val="both"/>
            </w:pPr>
            <w:r>
              <w:t xml:space="preserve">DFE=BFE + [1] </w:t>
            </w:r>
            <w:r>
              <w:rPr>
                <w:u w:val="single"/>
              </w:rPr>
              <w:t>2</w:t>
            </w:r>
            <w:r>
              <w:t xml:space="preserve"> ft</w:t>
            </w:r>
          </w:p>
        </w:tc>
        <w:tc>
          <w:tcPr>
            <w:tcW w:w="3150" w:type="dxa"/>
            <w:tcBorders>
              <w:top w:val="single" w:sz="4" w:space="0" w:color="auto"/>
              <w:left w:val="single" w:sz="4" w:space="0" w:color="auto"/>
              <w:bottom w:val="single" w:sz="4" w:space="0" w:color="auto"/>
              <w:right w:val="single" w:sz="4" w:space="0" w:color="auto"/>
            </w:tcBorders>
            <w:hideMark/>
          </w:tcPr>
          <w:p w14:paraId="4886914C" w14:textId="77777777" w:rsidR="0056662F" w:rsidRDefault="0056662F">
            <w:pPr>
              <w:tabs>
                <w:tab w:val="left" w:pos="2492"/>
              </w:tabs>
              <w:ind w:firstLine="0"/>
              <w:jc w:val="both"/>
            </w:pPr>
            <w:r>
              <w:t>DFE=BFE + 2 ft</w:t>
            </w:r>
          </w:p>
        </w:tc>
      </w:tr>
      <w:tr w:rsidR="0056662F" w14:paraId="649ACC8B" w14:textId="77777777" w:rsidTr="0056662F">
        <w:tc>
          <w:tcPr>
            <w:tcW w:w="1870" w:type="dxa"/>
            <w:tcBorders>
              <w:top w:val="single" w:sz="4" w:space="0" w:color="auto"/>
              <w:left w:val="single" w:sz="4" w:space="0" w:color="auto"/>
              <w:bottom w:val="single" w:sz="4" w:space="0" w:color="auto"/>
              <w:right w:val="single" w:sz="4" w:space="0" w:color="auto"/>
            </w:tcBorders>
            <w:hideMark/>
          </w:tcPr>
          <w:p w14:paraId="0683C5E2" w14:textId="77777777" w:rsidR="0056662F" w:rsidRDefault="0056662F">
            <w:pPr>
              <w:tabs>
                <w:tab w:val="left" w:pos="2492"/>
              </w:tabs>
              <w:ind w:firstLine="0"/>
              <w:jc w:val="both"/>
            </w:pPr>
            <w:r>
              <w:t>III</w:t>
            </w:r>
            <w:r>
              <w:rPr>
                <w:vertAlign w:val="superscript"/>
              </w:rPr>
              <w:t>c</w:t>
            </w:r>
          </w:p>
        </w:tc>
        <w:tc>
          <w:tcPr>
            <w:tcW w:w="2180" w:type="dxa"/>
            <w:tcBorders>
              <w:top w:val="single" w:sz="4" w:space="0" w:color="auto"/>
              <w:left w:val="single" w:sz="4" w:space="0" w:color="auto"/>
              <w:bottom w:val="single" w:sz="4" w:space="0" w:color="auto"/>
              <w:right w:val="single" w:sz="4" w:space="0" w:color="auto"/>
            </w:tcBorders>
            <w:hideMark/>
          </w:tcPr>
          <w:p w14:paraId="084B2414" w14:textId="77777777" w:rsidR="0056662F" w:rsidRDefault="0056662F">
            <w:pPr>
              <w:tabs>
                <w:tab w:val="left" w:pos="2492"/>
              </w:tabs>
              <w:ind w:firstLine="0"/>
              <w:jc w:val="both"/>
            </w:pPr>
            <w:r>
              <w:t xml:space="preserve">DFE=BFE + [1] </w:t>
            </w:r>
            <w:r>
              <w:rPr>
                <w:u w:val="single"/>
              </w:rPr>
              <w:t>2</w:t>
            </w:r>
            <w:r>
              <w:t xml:space="preserve"> ft</w:t>
            </w:r>
          </w:p>
        </w:tc>
        <w:tc>
          <w:tcPr>
            <w:tcW w:w="2610" w:type="dxa"/>
            <w:tcBorders>
              <w:top w:val="single" w:sz="4" w:space="0" w:color="auto"/>
              <w:left w:val="single" w:sz="4" w:space="0" w:color="auto"/>
              <w:bottom w:val="single" w:sz="4" w:space="0" w:color="auto"/>
              <w:right w:val="single" w:sz="4" w:space="0" w:color="auto"/>
            </w:tcBorders>
            <w:hideMark/>
          </w:tcPr>
          <w:p w14:paraId="45B3D6DA" w14:textId="77777777" w:rsidR="0056662F" w:rsidRDefault="0056662F">
            <w:pPr>
              <w:tabs>
                <w:tab w:val="left" w:pos="2492"/>
              </w:tabs>
              <w:ind w:firstLine="0"/>
              <w:jc w:val="both"/>
            </w:pPr>
            <w:r>
              <w:t>DFE=BFE + 2 ft</w:t>
            </w:r>
          </w:p>
        </w:tc>
        <w:tc>
          <w:tcPr>
            <w:tcW w:w="3150" w:type="dxa"/>
            <w:tcBorders>
              <w:top w:val="single" w:sz="4" w:space="0" w:color="auto"/>
              <w:left w:val="single" w:sz="4" w:space="0" w:color="auto"/>
              <w:bottom w:val="single" w:sz="4" w:space="0" w:color="auto"/>
              <w:right w:val="single" w:sz="4" w:space="0" w:color="auto"/>
            </w:tcBorders>
            <w:hideMark/>
          </w:tcPr>
          <w:p w14:paraId="1F463CE4" w14:textId="77777777" w:rsidR="0056662F" w:rsidRDefault="0056662F">
            <w:pPr>
              <w:tabs>
                <w:tab w:val="left" w:pos="2492"/>
              </w:tabs>
              <w:ind w:firstLine="0"/>
              <w:jc w:val="both"/>
            </w:pPr>
            <w:r>
              <w:t>DFE=BFE + 3 ft</w:t>
            </w:r>
          </w:p>
        </w:tc>
      </w:tr>
      <w:tr w:rsidR="0056662F" w14:paraId="104D5B84" w14:textId="77777777" w:rsidTr="0056662F">
        <w:tc>
          <w:tcPr>
            <w:tcW w:w="1870" w:type="dxa"/>
            <w:tcBorders>
              <w:top w:val="single" w:sz="4" w:space="0" w:color="auto"/>
              <w:left w:val="single" w:sz="4" w:space="0" w:color="auto"/>
              <w:bottom w:val="single" w:sz="4" w:space="0" w:color="auto"/>
              <w:right w:val="single" w:sz="4" w:space="0" w:color="auto"/>
            </w:tcBorders>
            <w:hideMark/>
          </w:tcPr>
          <w:p w14:paraId="21A5E8E8" w14:textId="77777777" w:rsidR="0056662F" w:rsidRDefault="0056662F">
            <w:pPr>
              <w:tabs>
                <w:tab w:val="left" w:pos="2492"/>
              </w:tabs>
              <w:ind w:firstLine="0"/>
              <w:jc w:val="both"/>
            </w:pPr>
            <w:r>
              <w:t>IV</w:t>
            </w:r>
            <w:r>
              <w:rPr>
                <w:vertAlign w:val="superscript"/>
              </w:rPr>
              <w:t>c</w:t>
            </w:r>
          </w:p>
        </w:tc>
        <w:tc>
          <w:tcPr>
            <w:tcW w:w="2180" w:type="dxa"/>
            <w:tcBorders>
              <w:top w:val="single" w:sz="4" w:space="0" w:color="auto"/>
              <w:left w:val="single" w:sz="4" w:space="0" w:color="auto"/>
              <w:bottom w:val="single" w:sz="4" w:space="0" w:color="auto"/>
              <w:right w:val="single" w:sz="4" w:space="0" w:color="auto"/>
            </w:tcBorders>
            <w:hideMark/>
          </w:tcPr>
          <w:p w14:paraId="74E4E225" w14:textId="77777777" w:rsidR="0056662F" w:rsidRDefault="0056662F">
            <w:pPr>
              <w:autoSpaceDE w:val="0"/>
              <w:autoSpaceDN w:val="0"/>
              <w:adjustRightInd w:val="0"/>
              <w:ind w:firstLine="0"/>
              <w:rPr>
                <w:rFonts w:eastAsia="Calibri"/>
                <w:u w:val="single"/>
              </w:rPr>
            </w:pPr>
            <w:r>
              <w:t>DFE=BFE + 2 ft</w:t>
            </w:r>
            <w:r>
              <w:rPr>
                <w:rFonts w:eastAsia="Calibri"/>
              </w:rPr>
              <w:t xml:space="preserve"> </w:t>
            </w:r>
            <w:r>
              <w:rPr>
                <w:rFonts w:eastAsia="Calibri"/>
                <w:u w:val="single"/>
              </w:rPr>
              <w:t>or</w:t>
            </w:r>
          </w:p>
          <w:p w14:paraId="0BC4ABCB" w14:textId="77777777" w:rsidR="0056662F" w:rsidRDefault="0056662F">
            <w:pPr>
              <w:autoSpaceDE w:val="0"/>
              <w:autoSpaceDN w:val="0"/>
              <w:adjustRightInd w:val="0"/>
              <w:ind w:firstLine="0"/>
              <w:rPr>
                <w:rFonts w:eastAsia="Calibri"/>
                <w:u w:val="single"/>
              </w:rPr>
            </w:pPr>
            <w:r>
              <w:rPr>
                <w:rFonts w:eastAsia="Calibri"/>
                <w:u w:val="single"/>
              </w:rPr>
              <w:t>500-year flood</w:t>
            </w:r>
          </w:p>
          <w:p w14:paraId="12FF3216" w14:textId="77777777" w:rsidR="0056662F" w:rsidRDefault="0056662F">
            <w:pPr>
              <w:autoSpaceDE w:val="0"/>
              <w:autoSpaceDN w:val="0"/>
              <w:adjustRightInd w:val="0"/>
              <w:ind w:firstLine="0"/>
              <w:rPr>
                <w:rFonts w:eastAsia="Calibri"/>
                <w:u w:val="single"/>
              </w:rPr>
            </w:pPr>
            <w:r>
              <w:rPr>
                <w:rFonts w:eastAsia="Calibri"/>
                <w:u w:val="single"/>
              </w:rPr>
              <w:t>elevation, whichever</w:t>
            </w:r>
          </w:p>
          <w:p w14:paraId="63313754" w14:textId="77777777" w:rsidR="0056662F" w:rsidRDefault="0056662F">
            <w:pPr>
              <w:tabs>
                <w:tab w:val="left" w:pos="2492"/>
              </w:tabs>
              <w:ind w:firstLine="0"/>
              <w:jc w:val="both"/>
            </w:pPr>
            <w:r>
              <w:rPr>
                <w:rFonts w:eastAsia="Calibri"/>
                <w:u w:val="single"/>
              </w:rPr>
              <w:t>is higher</w:t>
            </w:r>
          </w:p>
        </w:tc>
        <w:tc>
          <w:tcPr>
            <w:tcW w:w="2610" w:type="dxa"/>
            <w:tcBorders>
              <w:top w:val="single" w:sz="4" w:space="0" w:color="auto"/>
              <w:left w:val="single" w:sz="4" w:space="0" w:color="auto"/>
              <w:bottom w:val="single" w:sz="4" w:space="0" w:color="auto"/>
              <w:right w:val="single" w:sz="4" w:space="0" w:color="auto"/>
            </w:tcBorders>
            <w:hideMark/>
          </w:tcPr>
          <w:p w14:paraId="72247A56" w14:textId="77777777" w:rsidR="0056662F" w:rsidRDefault="0056662F">
            <w:pPr>
              <w:autoSpaceDE w:val="0"/>
              <w:autoSpaceDN w:val="0"/>
              <w:adjustRightInd w:val="0"/>
              <w:ind w:firstLine="0"/>
              <w:rPr>
                <w:rFonts w:eastAsia="Calibri"/>
                <w:u w:val="single"/>
              </w:rPr>
            </w:pPr>
            <w:r>
              <w:t>DFE=BFE + 2 ft</w:t>
            </w:r>
            <w:r>
              <w:rPr>
                <w:rFonts w:eastAsia="Calibri"/>
              </w:rPr>
              <w:t xml:space="preserve"> </w:t>
            </w:r>
            <w:r>
              <w:rPr>
                <w:rFonts w:eastAsia="Calibri"/>
                <w:u w:val="single"/>
              </w:rPr>
              <w:t>or</w:t>
            </w:r>
          </w:p>
          <w:p w14:paraId="7C7639DD" w14:textId="77777777" w:rsidR="0056662F" w:rsidRDefault="0056662F">
            <w:pPr>
              <w:autoSpaceDE w:val="0"/>
              <w:autoSpaceDN w:val="0"/>
              <w:adjustRightInd w:val="0"/>
              <w:ind w:firstLine="0"/>
              <w:rPr>
                <w:rFonts w:eastAsia="Calibri"/>
                <w:u w:val="single"/>
              </w:rPr>
            </w:pPr>
            <w:r>
              <w:rPr>
                <w:rFonts w:eastAsia="Calibri"/>
                <w:u w:val="single"/>
              </w:rPr>
              <w:t>500-year flood</w:t>
            </w:r>
          </w:p>
          <w:p w14:paraId="5E96C09B" w14:textId="77777777" w:rsidR="0056662F" w:rsidRDefault="0056662F">
            <w:pPr>
              <w:autoSpaceDE w:val="0"/>
              <w:autoSpaceDN w:val="0"/>
              <w:adjustRightInd w:val="0"/>
              <w:ind w:firstLine="0"/>
              <w:rPr>
                <w:rFonts w:eastAsia="Calibri"/>
                <w:u w:val="single"/>
              </w:rPr>
            </w:pPr>
            <w:r>
              <w:rPr>
                <w:rFonts w:eastAsia="Calibri"/>
                <w:u w:val="single"/>
              </w:rPr>
              <w:t>elevation, whichever</w:t>
            </w:r>
          </w:p>
          <w:p w14:paraId="5867D4BF" w14:textId="77777777" w:rsidR="0056662F" w:rsidRDefault="0056662F">
            <w:pPr>
              <w:tabs>
                <w:tab w:val="left" w:pos="2492"/>
              </w:tabs>
              <w:ind w:firstLine="0"/>
              <w:jc w:val="both"/>
            </w:pPr>
            <w:r>
              <w:rPr>
                <w:rFonts w:eastAsia="Calibri"/>
                <w:u w:val="single"/>
              </w:rPr>
              <w:t>is higher</w:t>
            </w:r>
          </w:p>
        </w:tc>
        <w:tc>
          <w:tcPr>
            <w:tcW w:w="3150" w:type="dxa"/>
            <w:tcBorders>
              <w:top w:val="single" w:sz="4" w:space="0" w:color="auto"/>
              <w:left w:val="single" w:sz="4" w:space="0" w:color="auto"/>
              <w:bottom w:val="single" w:sz="4" w:space="0" w:color="auto"/>
              <w:right w:val="single" w:sz="4" w:space="0" w:color="auto"/>
            </w:tcBorders>
            <w:hideMark/>
          </w:tcPr>
          <w:p w14:paraId="22598672" w14:textId="77777777" w:rsidR="0056662F" w:rsidRDefault="0056662F">
            <w:pPr>
              <w:autoSpaceDE w:val="0"/>
              <w:autoSpaceDN w:val="0"/>
              <w:adjustRightInd w:val="0"/>
              <w:ind w:firstLine="0"/>
              <w:rPr>
                <w:rFonts w:eastAsia="Calibri"/>
                <w:u w:val="single"/>
              </w:rPr>
            </w:pPr>
            <w:r>
              <w:t>DFE=BFE + 3 ft</w:t>
            </w:r>
            <w:r>
              <w:rPr>
                <w:rFonts w:eastAsia="Calibri"/>
              </w:rPr>
              <w:t xml:space="preserve"> </w:t>
            </w:r>
            <w:r>
              <w:rPr>
                <w:rFonts w:eastAsia="Calibri"/>
                <w:u w:val="single"/>
              </w:rPr>
              <w:t>or</w:t>
            </w:r>
          </w:p>
          <w:p w14:paraId="5F877BD5" w14:textId="77777777" w:rsidR="0056662F" w:rsidRDefault="0056662F">
            <w:pPr>
              <w:autoSpaceDE w:val="0"/>
              <w:autoSpaceDN w:val="0"/>
              <w:adjustRightInd w:val="0"/>
              <w:ind w:firstLine="0"/>
              <w:rPr>
                <w:rFonts w:eastAsia="Calibri"/>
                <w:u w:val="single"/>
              </w:rPr>
            </w:pPr>
            <w:r>
              <w:rPr>
                <w:rFonts w:eastAsia="Calibri"/>
                <w:u w:val="single"/>
              </w:rPr>
              <w:t>500-year flood</w:t>
            </w:r>
          </w:p>
          <w:p w14:paraId="6BA691F6" w14:textId="77777777" w:rsidR="0056662F" w:rsidRDefault="0056662F">
            <w:pPr>
              <w:autoSpaceDE w:val="0"/>
              <w:autoSpaceDN w:val="0"/>
              <w:adjustRightInd w:val="0"/>
              <w:ind w:firstLine="0"/>
              <w:rPr>
                <w:rFonts w:eastAsia="Calibri"/>
                <w:u w:val="single"/>
              </w:rPr>
            </w:pPr>
            <w:r>
              <w:rPr>
                <w:rFonts w:eastAsia="Calibri"/>
                <w:u w:val="single"/>
              </w:rPr>
              <w:t>elevation, whichever</w:t>
            </w:r>
          </w:p>
          <w:p w14:paraId="703A86AC" w14:textId="77777777" w:rsidR="0056662F" w:rsidRDefault="0056662F">
            <w:pPr>
              <w:tabs>
                <w:tab w:val="left" w:pos="2492"/>
              </w:tabs>
              <w:ind w:firstLine="0"/>
              <w:jc w:val="both"/>
            </w:pPr>
            <w:r>
              <w:rPr>
                <w:rFonts w:eastAsia="Calibri"/>
                <w:u w:val="single"/>
              </w:rPr>
              <w:t>is higher</w:t>
            </w:r>
          </w:p>
        </w:tc>
      </w:tr>
    </w:tbl>
    <w:p w14:paraId="02BC8124" w14:textId="77777777" w:rsidR="0056662F" w:rsidRDefault="0056662F" w:rsidP="0056662F">
      <w:pPr>
        <w:shd w:val="clear" w:color="auto" w:fill="FFFFFF"/>
        <w:ind w:firstLine="0"/>
        <w:jc w:val="both"/>
        <w:rPr>
          <w:color w:val="212529"/>
          <w:sz w:val="20"/>
          <w:szCs w:val="20"/>
        </w:rPr>
      </w:pPr>
      <w:r>
        <w:rPr>
          <w:color w:val="212529"/>
          <w:sz w:val="20"/>
          <w:szCs w:val="20"/>
          <w:vertAlign w:val="superscript"/>
        </w:rPr>
        <w:t>a.</w:t>
      </w:r>
      <w:r>
        <w:rPr>
          <w:color w:val="212529"/>
          <w:sz w:val="20"/>
          <w:szCs w:val="20"/>
        </w:rPr>
        <w:t> See Table 1-1, or Table 1604.5 of the </w:t>
      </w:r>
      <w:r>
        <w:rPr>
          <w:i/>
          <w:iCs/>
          <w:color w:val="212529"/>
          <w:sz w:val="20"/>
          <w:szCs w:val="20"/>
        </w:rPr>
        <w:t>New York City Building Code,</w:t>
      </w:r>
      <w:r>
        <w:rPr>
          <w:color w:val="212529"/>
          <w:sz w:val="20"/>
          <w:szCs w:val="20"/>
        </w:rPr>
        <w:t> for structural occupancy category descriptions.</w:t>
      </w:r>
    </w:p>
    <w:p w14:paraId="14B2FFAC" w14:textId="77777777" w:rsidR="0056662F" w:rsidRDefault="0056662F" w:rsidP="0056662F">
      <w:pPr>
        <w:shd w:val="clear" w:color="auto" w:fill="FFFFFF"/>
        <w:ind w:firstLine="0"/>
        <w:jc w:val="both"/>
        <w:rPr>
          <w:color w:val="212529"/>
          <w:sz w:val="20"/>
          <w:szCs w:val="20"/>
        </w:rPr>
      </w:pPr>
      <w:r>
        <w:rPr>
          <w:color w:val="212529"/>
          <w:sz w:val="20"/>
          <w:szCs w:val="20"/>
          <w:vertAlign w:val="superscript"/>
        </w:rPr>
        <w:t>b.</w:t>
      </w:r>
      <w:r>
        <w:rPr>
          <w:color w:val="212529"/>
          <w:sz w:val="20"/>
          <w:szCs w:val="20"/>
        </w:rPr>
        <w:t xml:space="preserve"> Wet or dry floodproofing shall extend to the same level.</w:t>
      </w:r>
    </w:p>
    <w:p w14:paraId="320728CD" w14:textId="77777777" w:rsidR="0056662F" w:rsidRDefault="0056662F" w:rsidP="0056662F">
      <w:pPr>
        <w:shd w:val="clear" w:color="auto" w:fill="FFFFFF"/>
        <w:ind w:firstLine="0"/>
        <w:jc w:val="both"/>
        <w:rPr>
          <w:color w:val="212529"/>
          <w:sz w:val="20"/>
          <w:szCs w:val="20"/>
        </w:rPr>
      </w:pPr>
      <w:r>
        <w:rPr>
          <w:color w:val="212529"/>
          <w:sz w:val="20"/>
          <w:szCs w:val="20"/>
          <w:vertAlign w:val="superscript"/>
        </w:rPr>
        <w:t>c.</w:t>
      </w:r>
      <w:r>
        <w:rPr>
          <w:color w:val="212529"/>
          <w:sz w:val="20"/>
          <w:szCs w:val="20"/>
        </w:rPr>
        <w:t xml:space="preserve"> Dry floodproofing of residential buildings and residential portions of mixed use buildings shall not be permitted.</w:t>
      </w:r>
    </w:p>
    <w:p w14:paraId="57B51D9B" w14:textId="77777777" w:rsidR="0056662F" w:rsidRDefault="0056662F" w:rsidP="0056662F">
      <w:pPr>
        <w:shd w:val="clear" w:color="auto" w:fill="FFFFFF"/>
        <w:ind w:firstLine="0"/>
        <w:jc w:val="both"/>
        <w:rPr>
          <w:color w:val="212529"/>
          <w:sz w:val="20"/>
          <w:szCs w:val="20"/>
        </w:rPr>
      </w:pPr>
      <w:r>
        <w:rPr>
          <w:color w:val="212529"/>
          <w:sz w:val="20"/>
          <w:szCs w:val="20"/>
          <w:vertAlign w:val="superscript"/>
        </w:rPr>
        <w:t>d.</w:t>
      </w:r>
      <w:r>
        <w:rPr>
          <w:color w:val="212529"/>
          <w:sz w:val="20"/>
          <w:szCs w:val="20"/>
        </w:rPr>
        <w:t xml:space="preserve"> Buildings that include I-2 occupancies that are hospitals shall use the greater of (i) the DFE for the applicable structural occupancy category as indicated in this table or (ii) the 500-year flood elevation.</w:t>
      </w:r>
    </w:p>
    <w:p w14:paraId="5A3DBB0B" w14:textId="77777777" w:rsidR="0056662F" w:rsidRDefault="0056662F" w:rsidP="0056662F">
      <w:pPr>
        <w:spacing w:line="480" w:lineRule="auto"/>
        <w:jc w:val="both"/>
      </w:pPr>
    </w:p>
    <w:p w14:paraId="0D3D78E1" w14:textId="77777777" w:rsidR="0056662F" w:rsidRDefault="0056662F" w:rsidP="0056662F">
      <w:pPr>
        <w:spacing w:line="480" w:lineRule="auto"/>
        <w:jc w:val="both"/>
      </w:pPr>
      <w:r>
        <w:t>§ 4. The New York city amendments to section 6.2 of ASCE 24-05 as set forth in section G501.1 of chapter G5 of appendix G of the New York city building code, as amended by local law number 141 for the year 2013, is amended to read as follows:</w:t>
      </w:r>
    </w:p>
    <w:p w14:paraId="0A530817" w14:textId="77777777" w:rsidR="0056662F" w:rsidRDefault="0056662F" w:rsidP="0056662F">
      <w:pPr>
        <w:spacing w:line="480" w:lineRule="auto"/>
        <w:ind w:firstLine="0"/>
        <w:jc w:val="both"/>
      </w:pPr>
      <w:r>
        <w:rPr>
          <w:b/>
        </w:rPr>
        <w:t>Section 6.2.</w:t>
      </w:r>
      <w:r>
        <w:t xml:space="preserve"> Table 6-1 of Section 6.2 (Dry Floodproofing) is amended to read as follows:</w:t>
      </w:r>
    </w:p>
    <w:p w14:paraId="2E69FE3F" w14:textId="77777777" w:rsidR="0056662F" w:rsidRDefault="0056662F" w:rsidP="0056662F">
      <w:pPr>
        <w:tabs>
          <w:tab w:val="left" w:pos="2492"/>
        </w:tabs>
        <w:ind w:firstLine="0"/>
        <w:jc w:val="center"/>
        <w:rPr>
          <w:b/>
          <w:bCs/>
          <w:caps/>
          <w:color w:val="212529"/>
          <w:shd w:val="clear" w:color="auto" w:fill="FFFFFF"/>
        </w:rPr>
      </w:pPr>
      <w:r>
        <w:rPr>
          <w:b/>
          <w:bCs/>
          <w:caps/>
          <w:color w:val="212529"/>
          <w:shd w:val="clear" w:color="auto" w:fill="FFFFFF"/>
        </w:rPr>
        <w:t>TABLE 6-1</w:t>
      </w:r>
    </w:p>
    <w:p w14:paraId="334B90F4" w14:textId="77777777" w:rsidR="0056662F" w:rsidRDefault="0056662F" w:rsidP="0056662F">
      <w:pPr>
        <w:tabs>
          <w:tab w:val="left" w:pos="2492"/>
        </w:tabs>
        <w:ind w:firstLine="0"/>
        <w:jc w:val="center"/>
        <w:rPr>
          <w:b/>
          <w:bCs/>
          <w:caps/>
          <w:color w:val="212529"/>
          <w:shd w:val="clear" w:color="auto" w:fill="FFFFFF"/>
        </w:rPr>
      </w:pPr>
      <w:r>
        <w:rPr>
          <w:b/>
          <w:bCs/>
          <w:caps/>
          <w:color w:val="212529"/>
          <w:shd w:val="clear" w:color="auto" w:fill="FFFFFF"/>
        </w:rPr>
        <w:t>MINIMUM ELEVATION OF FLOODPROOFING, RELATIVE TO</w:t>
      </w:r>
    </w:p>
    <w:p w14:paraId="7504A0DA" w14:textId="77777777" w:rsidR="0056662F" w:rsidRDefault="0056662F" w:rsidP="0056662F">
      <w:pPr>
        <w:tabs>
          <w:tab w:val="left" w:pos="2492"/>
        </w:tabs>
        <w:ind w:firstLine="0"/>
        <w:jc w:val="center"/>
        <w:rPr>
          <w:b/>
          <w:bCs/>
          <w:caps/>
          <w:color w:val="212529"/>
          <w:shd w:val="clear" w:color="auto" w:fill="FFFFFF"/>
        </w:rPr>
      </w:pPr>
      <w:r>
        <w:rPr>
          <w:b/>
          <w:bCs/>
          <w:caps/>
          <w:color w:val="212529"/>
          <w:shd w:val="clear" w:color="auto" w:fill="FFFFFF"/>
        </w:rPr>
        <w:t>DESIGN FLOOD ELEVATION (DFE)—A-ZONES</w:t>
      </w:r>
    </w:p>
    <w:tbl>
      <w:tblPr>
        <w:tblW w:w="0" w:type="dxa"/>
        <w:jc w:val="center"/>
        <w:tblLayout w:type="fixed"/>
        <w:tblCellMar>
          <w:left w:w="0" w:type="dxa"/>
          <w:right w:w="0" w:type="dxa"/>
        </w:tblCellMar>
        <w:tblLook w:val="04A0" w:firstRow="1" w:lastRow="0" w:firstColumn="1" w:lastColumn="0" w:noHBand="0" w:noVBand="1"/>
      </w:tblPr>
      <w:tblGrid>
        <w:gridCol w:w="2517"/>
        <w:gridCol w:w="5130"/>
      </w:tblGrid>
      <w:tr w:rsidR="0056662F" w14:paraId="4A385212" w14:textId="77777777" w:rsidTr="0056662F">
        <w:trPr>
          <w:trHeight w:hRule="exact" w:val="977"/>
          <w:jc w:val="center"/>
        </w:trPr>
        <w:tc>
          <w:tcPr>
            <w:tcW w:w="2517" w:type="dxa"/>
            <w:tcBorders>
              <w:top w:val="single" w:sz="2" w:space="0" w:color="auto"/>
              <w:left w:val="single" w:sz="2" w:space="0" w:color="auto"/>
              <w:bottom w:val="single" w:sz="2" w:space="0" w:color="auto"/>
              <w:right w:val="single" w:sz="2" w:space="0" w:color="auto"/>
            </w:tcBorders>
            <w:hideMark/>
          </w:tcPr>
          <w:p w14:paraId="4D9BBE96" w14:textId="77777777" w:rsidR="0056662F" w:rsidRDefault="0056662F">
            <w:pPr>
              <w:ind w:firstLine="0"/>
              <w:jc w:val="center"/>
              <w:rPr>
                <w:b/>
                <w:bCs/>
                <w:szCs w:val="16"/>
                <w:u w:val="single"/>
              </w:rPr>
            </w:pPr>
            <w:r>
              <w:rPr>
                <w:b/>
                <w:bCs/>
                <w:szCs w:val="16"/>
              </w:rPr>
              <w:t>STRUCTURAL</w:t>
            </w:r>
            <w:r>
              <w:rPr>
                <w:b/>
                <w:bCs/>
                <w:szCs w:val="16"/>
              </w:rPr>
              <w:br/>
              <w:t>OCCUPANCY CATEGORY</w:t>
            </w:r>
            <w:r>
              <w:rPr>
                <w:b/>
                <w:bCs/>
                <w:w w:val="110"/>
                <w:szCs w:val="16"/>
                <w:vertAlign w:val="superscript"/>
              </w:rPr>
              <w:t>a</w:t>
            </w:r>
          </w:p>
        </w:tc>
        <w:tc>
          <w:tcPr>
            <w:tcW w:w="5130" w:type="dxa"/>
            <w:tcBorders>
              <w:top w:val="single" w:sz="2" w:space="0" w:color="auto"/>
              <w:left w:val="single" w:sz="2" w:space="0" w:color="auto"/>
              <w:bottom w:val="single" w:sz="2" w:space="0" w:color="auto"/>
              <w:right w:val="single" w:sz="2" w:space="0" w:color="auto"/>
            </w:tcBorders>
            <w:hideMark/>
          </w:tcPr>
          <w:p w14:paraId="6AEB4FD7" w14:textId="77777777" w:rsidR="0056662F" w:rsidRDefault="0056662F">
            <w:pPr>
              <w:jc w:val="center"/>
              <w:rPr>
                <w:b/>
                <w:bCs/>
                <w:szCs w:val="16"/>
              </w:rPr>
            </w:pPr>
            <w:r>
              <w:rPr>
                <w:b/>
                <w:bCs/>
                <w:szCs w:val="16"/>
              </w:rPr>
              <w:t>MINIMUM ELEVATION OF</w:t>
            </w:r>
          </w:p>
          <w:p w14:paraId="6062D2A8" w14:textId="77777777" w:rsidR="0056662F" w:rsidRDefault="0056662F">
            <w:pPr>
              <w:jc w:val="center"/>
              <w:rPr>
                <w:b/>
                <w:bCs/>
                <w:spacing w:val="-2"/>
                <w:szCs w:val="16"/>
              </w:rPr>
            </w:pPr>
            <w:r>
              <w:rPr>
                <w:b/>
                <w:bCs/>
                <w:spacing w:val="-2"/>
                <w:szCs w:val="16"/>
              </w:rPr>
              <w:t>FLOODPROOFING</w:t>
            </w:r>
            <w:r>
              <w:rPr>
                <w:b/>
                <w:bCs/>
                <w:spacing w:val="-2"/>
                <w:w w:val="110"/>
                <w:szCs w:val="16"/>
                <w:vertAlign w:val="superscript"/>
              </w:rPr>
              <w:t>b</w:t>
            </w:r>
          </w:p>
        </w:tc>
      </w:tr>
      <w:tr w:rsidR="0056662F" w14:paraId="19070B47" w14:textId="77777777" w:rsidTr="0056662F">
        <w:trPr>
          <w:trHeight w:hRule="exact" w:val="303"/>
          <w:jc w:val="center"/>
        </w:trPr>
        <w:tc>
          <w:tcPr>
            <w:tcW w:w="2517" w:type="dxa"/>
            <w:tcBorders>
              <w:top w:val="single" w:sz="2" w:space="0" w:color="auto"/>
              <w:left w:val="single" w:sz="2" w:space="0" w:color="auto"/>
              <w:bottom w:val="single" w:sz="2" w:space="0" w:color="auto"/>
              <w:right w:val="single" w:sz="2" w:space="0" w:color="auto"/>
            </w:tcBorders>
            <w:vAlign w:val="center"/>
            <w:hideMark/>
          </w:tcPr>
          <w:p w14:paraId="6DB14A9D" w14:textId="77777777" w:rsidR="0056662F" w:rsidRDefault="0056662F">
            <w:pPr>
              <w:jc w:val="center"/>
              <w:rPr>
                <w:spacing w:val="10"/>
                <w:szCs w:val="16"/>
              </w:rPr>
            </w:pPr>
            <w:r>
              <w:rPr>
                <w:spacing w:val="10"/>
                <w:szCs w:val="16"/>
              </w:rPr>
              <w:t>I</w:t>
            </w:r>
          </w:p>
        </w:tc>
        <w:tc>
          <w:tcPr>
            <w:tcW w:w="5130" w:type="dxa"/>
            <w:tcBorders>
              <w:top w:val="single" w:sz="2" w:space="0" w:color="auto"/>
              <w:left w:val="single" w:sz="2" w:space="0" w:color="auto"/>
              <w:bottom w:val="single" w:sz="2" w:space="0" w:color="auto"/>
              <w:right w:val="single" w:sz="2" w:space="0" w:color="auto"/>
            </w:tcBorders>
            <w:vAlign w:val="center"/>
            <w:hideMark/>
          </w:tcPr>
          <w:p w14:paraId="45884D37" w14:textId="77777777" w:rsidR="0056662F" w:rsidRDefault="0056662F">
            <w:pPr>
              <w:jc w:val="center"/>
              <w:rPr>
                <w:spacing w:val="10"/>
                <w:szCs w:val="16"/>
              </w:rPr>
            </w:pPr>
            <w:r>
              <w:rPr>
                <w:spacing w:val="10"/>
                <w:szCs w:val="16"/>
              </w:rPr>
              <w:t xml:space="preserve">DFE=BFE+ </w:t>
            </w:r>
            <w:r>
              <w:rPr>
                <w:spacing w:val="14"/>
                <w:szCs w:val="16"/>
              </w:rPr>
              <w:t xml:space="preserve">[1] </w:t>
            </w:r>
            <w:r>
              <w:rPr>
                <w:spacing w:val="14"/>
                <w:szCs w:val="16"/>
                <w:u w:val="single"/>
              </w:rPr>
              <w:t>2</w:t>
            </w:r>
            <w:r>
              <w:rPr>
                <w:spacing w:val="14"/>
                <w:szCs w:val="16"/>
              </w:rPr>
              <w:t xml:space="preserve"> ft</w:t>
            </w:r>
          </w:p>
        </w:tc>
      </w:tr>
      <w:tr w:rsidR="0056662F" w14:paraId="197B70B3" w14:textId="77777777" w:rsidTr="0056662F">
        <w:trPr>
          <w:trHeight w:hRule="exact" w:val="297"/>
          <w:jc w:val="center"/>
        </w:trPr>
        <w:tc>
          <w:tcPr>
            <w:tcW w:w="2517" w:type="dxa"/>
            <w:tcBorders>
              <w:top w:val="single" w:sz="2" w:space="0" w:color="auto"/>
              <w:left w:val="single" w:sz="2" w:space="0" w:color="auto"/>
              <w:bottom w:val="single" w:sz="2" w:space="0" w:color="auto"/>
              <w:right w:val="single" w:sz="2" w:space="0" w:color="auto"/>
            </w:tcBorders>
            <w:vAlign w:val="center"/>
            <w:hideMark/>
          </w:tcPr>
          <w:p w14:paraId="3E486388" w14:textId="77777777" w:rsidR="0056662F" w:rsidRDefault="0056662F">
            <w:pPr>
              <w:jc w:val="center"/>
              <w:rPr>
                <w:szCs w:val="16"/>
              </w:rPr>
            </w:pPr>
            <w:r>
              <w:rPr>
                <w:spacing w:val="10"/>
                <w:szCs w:val="16"/>
              </w:rPr>
              <w:t>II</w:t>
            </w:r>
            <w:r>
              <w:rPr>
                <w:spacing w:val="10"/>
                <w:szCs w:val="16"/>
                <w:vertAlign w:val="superscript"/>
              </w:rPr>
              <w:t>c,d</w:t>
            </w:r>
          </w:p>
        </w:tc>
        <w:tc>
          <w:tcPr>
            <w:tcW w:w="5130" w:type="dxa"/>
            <w:tcBorders>
              <w:top w:val="single" w:sz="2" w:space="0" w:color="auto"/>
              <w:left w:val="single" w:sz="2" w:space="0" w:color="auto"/>
              <w:bottom w:val="single" w:sz="2" w:space="0" w:color="auto"/>
              <w:right w:val="single" w:sz="2" w:space="0" w:color="auto"/>
            </w:tcBorders>
            <w:vAlign w:val="center"/>
            <w:hideMark/>
          </w:tcPr>
          <w:p w14:paraId="7A1F2FD8" w14:textId="77777777" w:rsidR="0056662F" w:rsidRDefault="0056662F">
            <w:pPr>
              <w:jc w:val="center"/>
              <w:rPr>
                <w:spacing w:val="10"/>
                <w:szCs w:val="16"/>
              </w:rPr>
            </w:pPr>
            <w:r>
              <w:rPr>
                <w:spacing w:val="10"/>
                <w:szCs w:val="16"/>
              </w:rPr>
              <w:t xml:space="preserve">DFE=BFE+ </w:t>
            </w:r>
            <w:r>
              <w:rPr>
                <w:spacing w:val="14"/>
                <w:szCs w:val="16"/>
              </w:rPr>
              <w:t xml:space="preserve">[1] </w:t>
            </w:r>
            <w:r>
              <w:rPr>
                <w:spacing w:val="14"/>
                <w:szCs w:val="16"/>
                <w:u w:val="single"/>
              </w:rPr>
              <w:t>2</w:t>
            </w:r>
            <w:r>
              <w:rPr>
                <w:spacing w:val="14"/>
                <w:szCs w:val="16"/>
              </w:rPr>
              <w:t xml:space="preserve"> ft</w:t>
            </w:r>
          </w:p>
        </w:tc>
      </w:tr>
      <w:tr w:rsidR="0056662F" w14:paraId="38D5951B" w14:textId="77777777" w:rsidTr="0056662F">
        <w:trPr>
          <w:trHeight w:hRule="exact" w:val="303"/>
          <w:jc w:val="center"/>
        </w:trPr>
        <w:tc>
          <w:tcPr>
            <w:tcW w:w="2517" w:type="dxa"/>
            <w:tcBorders>
              <w:top w:val="single" w:sz="2" w:space="0" w:color="auto"/>
              <w:left w:val="single" w:sz="2" w:space="0" w:color="auto"/>
              <w:bottom w:val="single" w:sz="2" w:space="0" w:color="auto"/>
              <w:right w:val="single" w:sz="2" w:space="0" w:color="auto"/>
            </w:tcBorders>
            <w:vAlign w:val="center"/>
            <w:hideMark/>
          </w:tcPr>
          <w:p w14:paraId="2F9F46FD" w14:textId="77777777" w:rsidR="0056662F" w:rsidRDefault="0056662F">
            <w:pPr>
              <w:jc w:val="center"/>
              <w:rPr>
                <w:spacing w:val="10"/>
                <w:szCs w:val="16"/>
              </w:rPr>
            </w:pPr>
            <w:r>
              <w:rPr>
                <w:spacing w:val="10"/>
                <w:szCs w:val="16"/>
              </w:rPr>
              <w:t>III</w:t>
            </w:r>
            <w:r>
              <w:rPr>
                <w:spacing w:val="10"/>
                <w:szCs w:val="16"/>
                <w:vertAlign w:val="superscript"/>
              </w:rPr>
              <w:t>d</w:t>
            </w:r>
          </w:p>
        </w:tc>
        <w:tc>
          <w:tcPr>
            <w:tcW w:w="5130" w:type="dxa"/>
            <w:tcBorders>
              <w:top w:val="single" w:sz="2" w:space="0" w:color="auto"/>
              <w:left w:val="single" w:sz="2" w:space="0" w:color="auto"/>
              <w:bottom w:val="single" w:sz="2" w:space="0" w:color="auto"/>
              <w:right w:val="single" w:sz="2" w:space="0" w:color="auto"/>
            </w:tcBorders>
            <w:vAlign w:val="center"/>
            <w:hideMark/>
          </w:tcPr>
          <w:p w14:paraId="0C732816" w14:textId="77777777" w:rsidR="0056662F" w:rsidRDefault="0056662F">
            <w:pPr>
              <w:jc w:val="center"/>
              <w:rPr>
                <w:spacing w:val="14"/>
                <w:szCs w:val="16"/>
              </w:rPr>
            </w:pPr>
            <w:r>
              <w:rPr>
                <w:spacing w:val="14"/>
                <w:szCs w:val="16"/>
              </w:rPr>
              <w:t xml:space="preserve">DFE=BFE+ [1] </w:t>
            </w:r>
            <w:r>
              <w:rPr>
                <w:spacing w:val="14"/>
                <w:szCs w:val="16"/>
                <w:u w:val="single"/>
              </w:rPr>
              <w:t>2</w:t>
            </w:r>
            <w:r>
              <w:rPr>
                <w:spacing w:val="14"/>
                <w:szCs w:val="16"/>
              </w:rPr>
              <w:t xml:space="preserve"> ft</w:t>
            </w:r>
          </w:p>
        </w:tc>
      </w:tr>
      <w:tr w:rsidR="0056662F" w14:paraId="6457A5EC" w14:textId="77777777" w:rsidTr="0056662F">
        <w:trPr>
          <w:trHeight w:hRule="exact" w:val="1085"/>
          <w:jc w:val="center"/>
        </w:trPr>
        <w:tc>
          <w:tcPr>
            <w:tcW w:w="2517" w:type="dxa"/>
            <w:tcBorders>
              <w:top w:val="single" w:sz="2" w:space="0" w:color="auto"/>
              <w:left w:val="single" w:sz="2" w:space="0" w:color="auto"/>
              <w:bottom w:val="single" w:sz="2" w:space="0" w:color="auto"/>
              <w:right w:val="single" w:sz="2" w:space="0" w:color="auto"/>
            </w:tcBorders>
            <w:vAlign w:val="center"/>
            <w:hideMark/>
          </w:tcPr>
          <w:p w14:paraId="74C600BA" w14:textId="77777777" w:rsidR="0056662F" w:rsidRDefault="0056662F">
            <w:pPr>
              <w:jc w:val="center"/>
              <w:rPr>
                <w:spacing w:val="10"/>
                <w:szCs w:val="16"/>
              </w:rPr>
            </w:pPr>
            <w:r>
              <w:rPr>
                <w:spacing w:val="10"/>
                <w:szCs w:val="16"/>
              </w:rPr>
              <w:t>IV</w:t>
            </w:r>
            <w:r>
              <w:rPr>
                <w:spacing w:val="10"/>
                <w:szCs w:val="16"/>
                <w:vertAlign w:val="superscript"/>
              </w:rPr>
              <w:t>d</w:t>
            </w:r>
          </w:p>
        </w:tc>
        <w:tc>
          <w:tcPr>
            <w:tcW w:w="5130" w:type="dxa"/>
            <w:tcBorders>
              <w:top w:val="single" w:sz="2" w:space="0" w:color="auto"/>
              <w:left w:val="single" w:sz="2" w:space="0" w:color="auto"/>
              <w:bottom w:val="single" w:sz="2" w:space="0" w:color="auto"/>
              <w:right w:val="single" w:sz="2" w:space="0" w:color="auto"/>
            </w:tcBorders>
            <w:vAlign w:val="center"/>
            <w:hideMark/>
          </w:tcPr>
          <w:p w14:paraId="6B16CA31" w14:textId="77777777" w:rsidR="0056662F" w:rsidRDefault="0056662F">
            <w:pPr>
              <w:jc w:val="center"/>
              <w:rPr>
                <w:spacing w:val="14"/>
                <w:szCs w:val="16"/>
              </w:rPr>
            </w:pPr>
            <w:r>
              <w:rPr>
                <w:spacing w:val="14"/>
                <w:szCs w:val="16"/>
              </w:rPr>
              <w:t xml:space="preserve">DFE=BFE+ 2 ft </w:t>
            </w:r>
            <w:r>
              <w:rPr>
                <w:spacing w:val="14"/>
                <w:szCs w:val="16"/>
                <w:u w:val="single"/>
              </w:rPr>
              <w:t>or 500-year flood elevation, whichever is higher</w:t>
            </w:r>
          </w:p>
        </w:tc>
      </w:tr>
    </w:tbl>
    <w:p w14:paraId="11852CC6" w14:textId="77777777" w:rsidR="0056662F" w:rsidRDefault="0056662F" w:rsidP="0056662F">
      <w:pPr>
        <w:spacing w:line="480" w:lineRule="auto"/>
        <w:jc w:val="both"/>
      </w:pPr>
    </w:p>
    <w:p w14:paraId="3D1359D5" w14:textId="77777777" w:rsidR="0056662F" w:rsidRDefault="0056662F" w:rsidP="0056662F">
      <w:pPr>
        <w:spacing w:line="480" w:lineRule="auto"/>
        <w:jc w:val="both"/>
      </w:pPr>
      <w:r>
        <w:t>§ 5. The New York city amendments to section 7.1 of ASCE 24-05 as set forth in section G501.1 of chapter G5 of appendix G of the New York city building code, as amended by local law number 141 for the year 2013, is amended to read as follows:</w:t>
      </w:r>
    </w:p>
    <w:p w14:paraId="2A6A192C" w14:textId="77777777" w:rsidR="0056662F" w:rsidRDefault="0056662F" w:rsidP="0056662F">
      <w:pPr>
        <w:tabs>
          <w:tab w:val="left" w:pos="2492"/>
        </w:tabs>
        <w:ind w:firstLine="0"/>
        <w:jc w:val="both"/>
      </w:pPr>
      <w:r>
        <w:rPr>
          <w:b/>
        </w:rPr>
        <w:t>Section 7.1.</w:t>
      </w:r>
      <w:r>
        <w:t xml:space="preserve"> Table 7-1 of Section 7.1 (General) is amended to read as follows (see Table 7-1 below):</w:t>
      </w:r>
    </w:p>
    <w:p w14:paraId="435469D4" w14:textId="77777777" w:rsidR="0056662F" w:rsidRDefault="0056662F" w:rsidP="0056662F">
      <w:pPr>
        <w:tabs>
          <w:tab w:val="left" w:pos="2492"/>
        </w:tabs>
        <w:ind w:firstLine="0"/>
        <w:jc w:val="center"/>
        <w:rPr>
          <w:b/>
          <w:bCs/>
          <w:caps/>
          <w:color w:val="212529"/>
          <w:shd w:val="clear" w:color="auto" w:fill="FFFFFF"/>
        </w:rPr>
      </w:pPr>
      <w:r>
        <w:rPr>
          <w:b/>
          <w:bCs/>
          <w:caps/>
          <w:color w:val="212529"/>
          <w:shd w:val="clear" w:color="auto" w:fill="FFFFFF"/>
        </w:rPr>
        <w:t>Table 7-1</w:t>
      </w:r>
    </w:p>
    <w:p w14:paraId="186CB060" w14:textId="77777777" w:rsidR="0056662F" w:rsidRDefault="0056662F" w:rsidP="0056662F">
      <w:pPr>
        <w:tabs>
          <w:tab w:val="left" w:pos="2492"/>
        </w:tabs>
        <w:ind w:firstLine="0"/>
        <w:jc w:val="center"/>
        <w:rPr>
          <w:caps/>
        </w:rPr>
      </w:pPr>
      <w:r>
        <w:rPr>
          <w:b/>
          <w:bCs/>
          <w:caps/>
          <w:color w:val="212529"/>
          <w:shd w:val="clear" w:color="auto" w:fill="FFFFFF"/>
        </w:rPr>
        <w:t>Minimum Elevation of utilities and attendant equipment relative to design flood elevation (dfe)</w:t>
      </w:r>
    </w:p>
    <w:tbl>
      <w:tblPr>
        <w:tblStyle w:val="TableGrid"/>
        <w:tblW w:w="9810" w:type="dxa"/>
        <w:tblInd w:w="-5" w:type="dxa"/>
        <w:tblLook w:val="04A0" w:firstRow="1" w:lastRow="0" w:firstColumn="1" w:lastColumn="0" w:noHBand="0" w:noVBand="1"/>
      </w:tblPr>
      <w:tblGrid>
        <w:gridCol w:w="1870"/>
        <w:gridCol w:w="2180"/>
        <w:gridCol w:w="2610"/>
        <w:gridCol w:w="3150"/>
      </w:tblGrid>
      <w:tr w:rsidR="0056662F" w14:paraId="0BE02714" w14:textId="77777777" w:rsidTr="0056662F">
        <w:tc>
          <w:tcPr>
            <w:tcW w:w="1870" w:type="dxa"/>
            <w:vMerge w:val="restart"/>
            <w:tcBorders>
              <w:top w:val="single" w:sz="4" w:space="0" w:color="auto"/>
              <w:left w:val="single" w:sz="4" w:space="0" w:color="auto"/>
              <w:bottom w:val="single" w:sz="4" w:space="0" w:color="auto"/>
              <w:right w:val="single" w:sz="4" w:space="0" w:color="auto"/>
            </w:tcBorders>
            <w:hideMark/>
          </w:tcPr>
          <w:p w14:paraId="1CB71BDC" w14:textId="77777777" w:rsidR="0056662F" w:rsidRDefault="0056662F">
            <w:pPr>
              <w:tabs>
                <w:tab w:val="left" w:pos="2492"/>
              </w:tabs>
              <w:ind w:firstLine="0"/>
              <w:jc w:val="center"/>
              <w:rPr>
                <w:b/>
                <w:caps/>
              </w:rPr>
            </w:pPr>
            <w:r>
              <w:rPr>
                <w:b/>
                <w:caps/>
              </w:rPr>
              <w:t>Structural</w:t>
            </w:r>
          </w:p>
          <w:p w14:paraId="37B47740" w14:textId="77777777" w:rsidR="0056662F" w:rsidRDefault="0056662F">
            <w:pPr>
              <w:tabs>
                <w:tab w:val="left" w:pos="2492"/>
              </w:tabs>
              <w:ind w:firstLine="0"/>
              <w:jc w:val="center"/>
              <w:rPr>
                <w:b/>
                <w:caps/>
              </w:rPr>
            </w:pPr>
            <w:r>
              <w:rPr>
                <w:b/>
                <w:caps/>
              </w:rPr>
              <w:t>Occupancy</w:t>
            </w:r>
          </w:p>
          <w:p w14:paraId="214FB229" w14:textId="77777777" w:rsidR="0056662F" w:rsidRDefault="0056662F">
            <w:pPr>
              <w:tabs>
                <w:tab w:val="left" w:pos="2492"/>
              </w:tabs>
              <w:ind w:firstLine="0"/>
              <w:rPr>
                <w:b/>
                <w:caps/>
              </w:rPr>
            </w:pPr>
            <w:r>
              <w:rPr>
                <w:b/>
                <w:caps/>
              </w:rPr>
              <w:t>category</w:t>
            </w:r>
            <w:r>
              <w:rPr>
                <w:b/>
                <w:vertAlign w:val="superscript"/>
              </w:rPr>
              <w:t>a</w:t>
            </w:r>
          </w:p>
        </w:tc>
        <w:tc>
          <w:tcPr>
            <w:tcW w:w="7940" w:type="dxa"/>
            <w:gridSpan w:val="3"/>
            <w:tcBorders>
              <w:top w:val="single" w:sz="4" w:space="0" w:color="auto"/>
              <w:left w:val="single" w:sz="4" w:space="0" w:color="auto"/>
              <w:bottom w:val="single" w:sz="4" w:space="0" w:color="auto"/>
              <w:right w:val="single" w:sz="4" w:space="0" w:color="auto"/>
            </w:tcBorders>
            <w:hideMark/>
          </w:tcPr>
          <w:p w14:paraId="0972958E" w14:textId="77777777" w:rsidR="0056662F" w:rsidRDefault="0056662F">
            <w:pPr>
              <w:tabs>
                <w:tab w:val="left" w:pos="2492"/>
              </w:tabs>
              <w:ind w:firstLine="0"/>
              <w:rPr>
                <w:b/>
              </w:rPr>
            </w:pPr>
            <w:r>
              <w:rPr>
                <w:b/>
              </w:rPr>
              <w:t>LOCATE UTILITIES AND ATTENDANT EQUIPMENT ABOVE</w:t>
            </w:r>
            <w:r>
              <w:rPr>
                <w:b/>
                <w:vertAlign w:val="superscript"/>
              </w:rPr>
              <w:t>b</w:t>
            </w:r>
          </w:p>
        </w:tc>
      </w:tr>
      <w:tr w:rsidR="0056662F" w14:paraId="55F15300" w14:textId="77777777" w:rsidTr="0056662F">
        <w:tc>
          <w:tcPr>
            <w:tcW w:w="0" w:type="auto"/>
            <w:vMerge/>
            <w:tcBorders>
              <w:top w:val="single" w:sz="4" w:space="0" w:color="auto"/>
              <w:left w:val="single" w:sz="4" w:space="0" w:color="auto"/>
              <w:bottom w:val="single" w:sz="4" w:space="0" w:color="auto"/>
              <w:right w:val="single" w:sz="4" w:space="0" w:color="auto"/>
            </w:tcBorders>
            <w:vAlign w:val="center"/>
            <w:hideMark/>
          </w:tcPr>
          <w:p w14:paraId="3147F07A" w14:textId="77777777" w:rsidR="0056662F" w:rsidRDefault="0056662F">
            <w:pPr>
              <w:ind w:firstLine="0"/>
              <w:rPr>
                <w:b/>
                <w:caps/>
              </w:rPr>
            </w:pPr>
          </w:p>
        </w:tc>
        <w:tc>
          <w:tcPr>
            <w:tcW w:w="2180" w:type="dxa"/>
            <w:vMerge w:val="restart"/>
            <w:tcBorders>
              <w:top w:val="single" w:sz="4" w:space="0" w:color="auto"/>
              <w:left w:val="single" w:sz="4" w:space="0" w:color="auto"/>
              <w:bottom w:val="single" w:sz="4" w:space="0" w:color="auto"/>
              <w:right w:val="single" w:sz="4" w:space="0" w:color="auto"/>
            </w:tcBorders>
            <w:hideMark/>
          </w:tcPr>
          <w:p w14:paraId="2FE1335D" w14:textId="77777777" w:rsidR="0056662F" w:rsidRDefault="0056662F">
            <w:pPr>
              <w:tabs>
                <w:tab w:val="left" w:pos="2492"/>
              </w:tabs>
              <w:ind w:firstLine="0"/>
              <w:jc w:val="center"/>
              <w:rPr>
                <w:b/>
              </w:rPr>
            </w:pPr>
            <w:r>
              <w:rPr>
                <w:b/>
              </w:rPr>
              <w:t>A-Zones</w:t>
            </w:r>
          </w:p>
        </w:tc>
        <w:tc>
          <w:tcPr>
            <w:tcW w:w="5760" w:type="dxa"/>
            <w:gridSpan w:val="2"/>
            <w:tcBorders>
              <w:top w:val="single" w:sz="4" w:space="0" w:color="auto"/>
              <w:left w:val="single" w:sz="4" w:space="0" w:color="auto"/>
              <w:bottom w:val="single" w:sz="4" w:space="0" w:color="auto"/>
              <w:right w:val="single" w:sz="4" w:space="0" w:color="auto"/>
            </w:tcBorders>
            <w:hideMark/>
          </w:tcPr>
          <w:p w14:paraId="6D7C55B8" w14:textId="77777777" w:rsidR="0056662F" w:rsidRDefault="0056662F">
            <w:pPr>
              <w:tabs>
                <w:tab w:val="left" w:pos="2492"/>
              </w:tabs>
              <w:ind w:firstLine="0"/>
              <w:jc w:val="center"/>
              <w:rPr>
                <w:b/>
              </w:rPr>
            </w:pPr>
            <w:r>
              <w:rPr>
                <w:b/>
              </w:rPr>
              <w:t>Coastal High Hazard Area and Coastal A-Zones</w:t>
            </w:r>
          </w:p>
        </w:tc>
      </w:tr>
      <w:tr w:rsidR="0056662F" w14:paraId="11410902" w14:textId="77777777" w:rsidTr="0056662F">
        <w:tc>
          <w:tcPr>
            <w:tcW w:w="0" w:type="auto"/>
            <w:vMerge/>
            <w:tcBorders>
              <w:top w:val="single" w:sz="4" w:space="0" w:color="auto"/>
              <w:left w:val="single" w:sz="4" w:space="0" w:color="auto"/>
              <w:bottom w:val="single" w:sz="4" w:space="0" w:color="auto"/>
              <w:right w:val="single" w:sz="4" w:space="0" w:color="auto"/>
            </w:tcBorders>
            <w:vAlign w:val="center"/>
            <w:hideMark/>
          </w:tcPr>
          <w:p w14:paraId="260A1B37" w14:textId="77777777" w:rsidR="0056662F" w:rsidRDefault="0056662F">
            <w:pPr>
              <w:ind w:firstLine="0"/>
              <w:rPr>
                <w:b/>
                <w:cap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C2DC41" w14:textId="77777777" w:rsidR="0056662F" w:rsidRDefault="0056662F">
            <w:pPr>
              <w:ind w:firstLine="0"/>
              <w:rPr>
                <w:b/>
              </w:rPr>
            </w:pPr>
          </w:p>
        </w:tc>
        <w:tc>
          <w:tcPr>
            <w:tcW w:w="2610" w:type="dxa"/>
            <w:tcBorders>
              <w:top w:val="single" w:sz="4" w:space="0" w:color="auto"/>
              <w:left w:val="single" w:sz="4" w:space="0" w:color="auto"/>
              <w:bottom w:val="single" w:sz="4" w:space="0" w:color="auto"/>
              <w:right w:val="single" w:sz="4" w:space="0" w:color="auto"/>
            </w:tcBorders>
            <w:hideMark/>
          </w:tcPr>
          <w:p w14:paraId="0A888A33" w14:textId="77777777" w:rsidR="0056662F" w:rsidRDefault="0056662F">
            <w:pPr>
              <w:tabs>
                <w:tab w:val="left" w:pos="2492"/>
              </w:tabs>
              <w:ind w:firstLine="0"/>
              <w:jc w:val="center"/>
              <w:rPr>
                <w:b/>
              </w:rPr>
            </w:pPr>
            <w:r>
              <w:rPr>
                <w:b/>
              </w:rPr>
              <w:t>Orientation Parallel</w:t>
            </w:r>
            <w:r>
              <w:rPr>
                <w:b/>
                <w:vertAlign w:val="superscript"/>
              </w:rPr>
              <w:t>c</w:t>
            </w:r>
          </w:p>
        </w:tc>
        <w:tc>
          <w:tcPr>
            <w:tcW w:w="3150" w:type="dxa"/>
            <w:tcBorders>
              <w:top w:val="single" w:sz="4" w:space="0" w:color="auto"/>
              <w:left w:val="single" w:sz="4" w:space="0" w:color="auto"/>
              <w:bottom w:val="single" w:sz="4" w:space="0" w:color="auto"/>
              <w:right w:val="single" w:sz="4" w:space="0" w:color="auto"/>
            </w:tcBorders>
            <w:hideMark/>
          </w:tcPr>
          <w:p w14:paraId="332A7F40" w14:textId="77777777" w:rsidR="0056662F" w:rsidRDefault="0056662F">
            <w:pPr>
              <w:tabs>
                <w:tab w:val="left" w:pos="2492"/>
              </w:tabs>
              <w:ind w:firstLine="0"/>
              <w:jc w:val="center"/>
              <w:rPr>
                <w:b/>
              </w:rPr>
            </w:pPr>
            <w:r>
              <w:rPr>
                <w:b/>
              </w:rPr>
              <w:t xml:space="preserve">Orientation </w:t>
            </w:r>
          </w:p>
          <w:p w14:paraId="006080FD" w14:textId="77777777" w:rsidR="0056662F" w:rsidRDefault="0056662F">
            <w:pPr>
              <w:tabs>
                <w:tab w:val="left" w:pos="2492"/>
              </w:tabs>
              <w:ind w:firstLine="0"/>
              <w:jc w:val="center"/>
              <w:rPr>
                <w:b/>
              </w:rPr>
            </w:pPr>
            <w:r>
              <w:rPr>
                <w:b/>
              </w:rPr>
              <w:t>Perpendicular</w:t>
            </w:r>
            <w:r>
              <w:rPr>
                <w:b/>
                <w:vertAlign w:val="superscript"/>
              </w:rPr>
              <w:t>c</w:t>
            </w:r>
          </w:p>
        </w:tc>
      </w:tr>
      <w:tr w:rsidR="0056662F" w14:paraId="304591F4" w14:textId="77777777" w:rsidTr="0056662F">
        <w:tc>
          <w:tcPr>
            <w:tcW w:w="1870" w:type="dxa"/>
            <w:tcBorders>
              <w:top w:val="single" w:sz="4" w:space="0" w:color="auto"/>
              <w:left w:val="single" w:sz="4" w:space="0" w:color="auto"/>
              <w:bottom w:val="single" w:sz="4" w:space="0" w:color="auto"/>
              <w:right w:val="single" w:sz="4" w:space="0" w:color="auto"/>
            </w:tcBorders>
            <w:hideMark/>
          </w:tcPr>
          <w:p w14:paraId="070353D2" w14:textId="77777777" w:rsidR="0056662F" w:rsidRDefault="0056662F">
            <w:pPr>
              <w:tabs>
                <w:tab w:val="left" w:pos="2492"/>
              </w:tabs>
              <w:ind w:firstLine="0"/>
              <w:jc w:val="both"/>
            </w:pPr>
            <w:r>
              <w:t>I</w:t>
            </w:r>
          </w:p>
        </w:tc>
        <w:tc>
          <w:tcPr>
            <w:tcW w:w="2180" w:type="dxa"/>
            <w:tcBorders>
              <w:top w:val="single" w:sz="4" w:space="0" w:color="auto"/>
              <w:left w:val="single" w:sz="4" w:space="0" w:color="auto"/>
              <w:bottom w:val="single" w:sz="4" w:space="0" w:color="auto"/>
              <w:right w:val="single" w:sz="4" w:space="0" w:color="auto"/>
            </w:tcBorders>
            <w:hideMark/>
          </w:tcPr>
          <w:p w14:paraId="25B342B7" w14:textId="77777777" w:rsidR="0056662F" w:rsidRDefault="0056662F">
            <w:pPr>
              <w:tabs>
                <w:tab w:val="left" w:pos="2492"/>
              </w:tabs>
              <w:ind w:firstLine="0"/>
              <w:jc w:val="both"/>
            </w:pPr>
            <w:r>
              <w:t xml:space="preserve">DFE=BFE </w:t>
            </w:r>
            <w:r>
              <w:rPr>
                <w:u w:val="single"/>
              </w:rPr>
              <w:t>+ 2 ft</w:t>
            </w:r>
          </w:p>
        </w:tc>
        <w:tc>
          <w:tcPr>
            <w:tcW w:w="2610" w:type="dxa"/>
            <w:tcBorders>
              <w:top w:val="single" w:sz="4" w:space="0" w:color="auto"/>
              <w:left w:val="single" w:sz="4" w:space="0" w:color="auto"/>
              <w:bottom w:val="single" w:sz="4" w:space="0" w:color="auto"/>
              <w:right w:val="single" w:sz="4" w:space="0" w:color="auto"/>
            </w:tcBorders>
            <w:hideMark/>
          </w:tcPr>
          <w:p w14:paraId="69131E95" w14:textId="77777777" w:rsidR="0056662F" w:rsidRDefault="0056662F">
            <w:pPr>
              <w:tabs>
                <w:tab w:val="left" w:pos="2492"/>
              </w:tabs>
              <w:ind w:firstLine="0"/>
              <w:jc w:val="both"/>
            </w:pPr>
            <w:r>
              <w:t xml:space="preserve">DFE=BFE </w:t>
            </w:r>
            <w:r>
              <w:rPr>
                <w:u w:val="single"/>
              </w:rPr>
              <w:t>+ 2 ft</w:t>
            </w:r>
          </w:p>
        </w:tc>
        <w:tc>
          <w:tcPr>
            <w:tcW w:w="3150" w:type="dxa"/>
            <w:tcBorders>
              <w:top w:val="single" w:sz="4" w:space="0" w:color="auto"/>
              <w:left w:val="single" w:sz="4" w:space="0" w:color="auto"/>
              <w:bottom w:val="single" w:sz="4" w:space="0" w:color="auto"/>
              <w:right w:val="single" w:sz="4" w:space="0" w:color="auto"/>
            </w:tcBorders>
            <w:hideMark/>
          </w:tcPr>
          <w:p w14:paraId="1D891DB6" w14:textId="77777777" w:rsidR="0056662F" w:rsidRDefault="0056662F">
            <w:pPr>
              <w:tabs>
                <w:tab w:val="left" w:pos="2492"/>
              </w:tabs>
              <w:ind w:firstLine="0"/>
              <w:jc w:val="both"/>
            </w:pPr>
            <w:r>
              <w:t xml:space="preserve">DFE=BFE </w:t>
            </w:r>
            <w:r>
              <w:rPr>
                <w:u w:val="single"/>
              </w:rPr>
              <w:t>+ 2 ft</w:t>
            </w:r>
          </w:p>
        </w:tc>
      </w:tr>
      <w:tr w:rsidR="0056662F" w14:paraId="4B5DE379" w14:textId="77777777" w:rsidTr="0056662F">
        <w:tc>
          <w:tcPr>
            <w:tcW w:w="1870" w:type="dxa"/>
            <w:tcBorders>
              <w:top w:val="single" w:sz="4" w:space="0" w:color="auto"/>
              <w:left w:val="single" w:sz="4" w:space="0" w:color="auto"/>
              <w:bottom w:val="single" w:sz="4" w:space="0" w:color="auto"/>
              <w:right w:val="single" w:sz="4" w:space="0" w:color="auto"/>
            </w:tcBorders>
            <w:hideMark/>
          </w:tcPr>
          <w:p w14:paraId="77FD1860" w14:textId="77777777" w:rsidR="0056662F" w:rsidRDefault="0056662F">
            <w:pPr>
              <w:tabs>
                <w:tab w:val="left" w:pos="2492"/>
              </w:tabs>
              <w:ind w:firstLine="0"/>
              <w:jc w:val="both"/>
            </w:pPr>
            <w:r>
              <w:t>[II (1-and 2- family dwellings)]</w:t>
            </w:r>
          </w:p>
        </w:tc>
        <w:tc>
          <w:tcPr>
            <w:tcW w:w="2180" w:type="dxa"/>
            <w:tcBorders>
              <w:top w:val="single" w:sz="4" w:space="0" w:color="auto"/>
              <w:left w:val="single" w:sz="4" w:space="0" w:color="auto"/>
              <w:bottom w:val="single" w:sz="4" w:space="0" w:color="auto"/>
              <w:right w:val="single" w:sz="4" w:space="0" w:color="auto"/>
            </w:tcBorders>
            <w:hideMark/>
          </w:tcPr>
          <w:p w14:paraId="439D19CE" w14:textId="77777777" w:rsidR="0056662F" w:rsidRDefault="0056662F">
            <w:pPr>
              <w:tabs>
                <w:tab w:val="left" w:pos="2492"/>
              </w:tabs>
              <w:ind w:firstLine="0"/>
              <w:jc w:val="both"/>
            </w:pPr>
            <w:r>
              <w:t>[DFE=BFE + 2 ft]</w:t>
            </w:r>
          </w:p>
        </w:tc>
        <w:tc>
          <w:tcPr>
            <w:tcW w:w="2610" w:type="dxa"/>
            <w:tcBorders>
              <w:top w:val="single" w:sz="4" w:space="0" w:color="auto"/>
              <w:left w:val="single" w:sz="4" w:space="0" w:color="auto"/>
              <w:bottom w:val="single" w:sz="4" w:space="0" w:color="auto"/>
              <w:right w:val="single" w:sz="4" w:space="0" w:color="auto"/>
            </w:tcBorders>
            <w:hideMark/>
          </w:tcPr>
          <w:p w14:paraId="7CF3C248" w14:textId="77777777" w:rsidR="0056662F" w:rsidRDefault="0056662F">
            <w:pPr>
              <w:tabs>
                <w:tab w:val="left" w:pos="2492"/>
              </w:tabs>
              <w:ind w:firstLine="0"/>
              <w:jc w:val="both"/>
            </w:pPr>
            <w:r>
              <w:t>[DFE=BFE + 2 ft]</w:t>
            </w:r>
          </w:p>
        </w:tc>
        <w:tc>
          <w:tcPr>
            <w:tcW w:w="3150" w:type="dxa"/>
            <w:tcBorders>
              <w:top w:val="single" w:sz="4" w:space="0" w:color="auto"/>
              <w:left w:val="single" w:sz="4" w:space="0" w:color="auto"/>
              <w:bottom w:val="single" w:sz="4" w:space="0" w:color="auto"/>
              <w:right w:val="single" w:sz="4" w:space="0" w:color="auto"/>
            </w:tcBorders>
            <w:hideMark/>
          </w:tcPr>
          <w:p w14:paraId="2E714B2E" w14:textId="77777777" w:rsidR="0056662F" w:rsidRDefault="0056662F">
            <w:pPr>
              <w:tabs>
                <w:tab w:val="left" w:pos="2492"/>
              </w:tabs>
              <w:ind w:firstLine="0"/>
              <w:jc w:val="both"/>
            </w:pPr>
            <w:r>
              <w:t>[DFE=BFE + 2 ft]</w:t>
            </w:r>
          </w:p>
        </w:tc>
      </w:tr>
      <w:tr w:rsidR="0056662F" w14:paraId="4FAF92DC" w14:textId="77777777" w:rsidTr="0056662F">
        <w:tc>
          <w:tcPr>
            <w:tcW w:w="1870" w:type="dxa"/>
            <w:tcBorders>
              <w:top w:val="single" w:sz="4" w:space="0" w:color="auto"/>
              <w:left w:val="single" w:sz="4" w:space="0" w:color="auto"/>
              <w:bottom w:val="single" w:sz="4" w:space="0" w:color="auto"/>
              <w:right w:val="single" w:sz="4" w:space="0" w:color="auto"/>
            </w:tcBorders>
            <w:hideMark/>
          </w:tcPr>
          <w:p w14:paraId="6BEC88E6" w14:textId="77777777" w:rsidR="0056662F" w:rsidRDefault="0056662F">
            <w:pPr>
              <w:tabs>
                <w:tab w:val="left" w:pos="2492"/>
              </w:tabs>
              <w:ind w:firstLine="0"/>
              <w:jc w:val="both"/>
            </w:pPr>
            <w:r>
              <w:t>II</w:t>
            </w:r>
            <w:r>
              <w:rPr>
                <w:vertAlign w:val="superscript"/>
              </w:rPr>
              <w:t>c</w:t>
            </w:r>
            <w:r>
              <w:t> [(all others)]</w:t>
            </w:r>
          </w:p>
        </w:tc>
        <w:tc>
          <w:tcPr>
            <w:tcW w:w="2180" w:type="dxa"/>
            <w:tcBorders>
              <w:top w:val="single" w:sz="4" w:space="0" w:color="auto"/>
              <w:left w:val="single" w:sz="4" w:space="0" w:color="auto"/>
              <w:bottom w:val="single" w:sz="4" w:space="0" w:color="auto"/>
              <w:right w:val="single" w:sz="4" w:space="0" w:color="auto"/>
            </w:tcBorders>
            <w:hideMark/>
          </w:tcPr>
          <w:p w14:paraId="6C4CC7A1" w14:textId="77777777" w:rsidR="0056662F" w:rsidRDefault="0056662F">
            <w:pPr>
              <w:tabs>
                <w:tab w:val="left" w:pos="2492"/>
              </w:tabs>
              <w:ind w:firstLine="0"/>
              <w:jc w:val="both"/>
            </w:pPr>
            <w:r>
              <w:t xml:space="preserve">DFE=BFE + [1] </w:t>
            </w:r>
            <w:r>
              <w:rPr>
                <w:u w:val="single"/>
              </w:rPr>
              <w:t>2</w:t>
            </w:r>
            <w:r>
              <w:t xml:space="preserve"> ft</w:t>
            </w:r>
          </w:p>
        </w:tc>
        <w:tc>
          <w:tcPr>
            <w:tcW w:w="2610" w:type="dxa"/>
            <w:tcBorders>
              <w:top w:val="single" w:sz="4" w:space="0" w:color="auto"/>
              <w:left w:val="single" w:sz="4" w:space="0" w:color="auto"/>
              <w:bottom w:val="single" w:sz="4" w:space="0" w:color="auto"/>
              <w:right w:val="single" w:sz="4" w:space="0" w:color="auto"/>
            </w:tcBorders>
            <w:hideMark/>
          </w:tcPr>
          <w:p w14:paraId="589350DD" w14:textId="77777777" w:rsidR="0056662F" w:rsidRDefault="0056662F">
            <w:pPr>
              <w:tabs>
                <w:tab w:val="left" w:pos="2492"/>
              </w:tabs>
              <w:ind w:firstLine="0"/>
              <w:jc w:val="both"/>
            </w:pPr>
            <w:r>
              <w:t xml:space="preserve">DFE=BFE + [1] </w:t>
            </w:r>
            <w:r>
              <w:rPr>
                <w:u w:val="single"/>
              </w:rPr>
              <w:t>2</w:t>
            </w:r>
            <w:r>
              <w:t xml:space="preserve"> ft</w:t>
            </w:r>
          </w:p>
        </w:tc>
        <w:tc>
          <w:tcPr>
            <w:tcW w:w="3150" w:type="dxa"/>
            <w:tcBorders>
              <w:top w:val="single" w:sz="4" w:space="0" w:color="auto"/>
              <w:left w:val="single" w:sz="4" w:space="0" w:color="auto"/>
              <w:bottom w:val="single" w:sz="4" w:space="0" w:color="auto"/>
              <w:right w:val="single" w:sz="4" w:space="0" w:color="auto"/>
            </w:tcBorders>
            <w:hideMark/>
          </w:tcPr>
          <w:p w14:paraId="26922559" w14:textId="77777777" w:rsidR="0056662F" w:rsidRDefault="0056662F">
            <w:pPr>
              <w:tabs>
                <w:tab w:val="left" w:pos="2492"/>
              </w:tabs>
              <w:ind w:firstLine="0"/>
              <w:jc w:val="both"/>
            </w:pPr>
            <w:r>
              <w:t>DFE=BFE + 2 ft</w:t>
            </w:r>
          </w:p>
        </w:tc>
      </w:tr>
      <w:tr w:rsidR="0056662F" w14:paraId="50EC8F9C" w14:textId="77777777" w:rsidTr="0056662F">
        <w:tc>
          <w:tcPr>
            <w:tcW w:w="1870" w:type="dxa"/>
            <w:tcBorders>
              <w:top w:val="single" w:sz="4" w:space="0" w:color="auto"/>
              <w:left w:val="single" w:sz="4" w:space="0" w:color="auto"/>
              <w:bottom w:val="single" w:sz="4" w:space="0" w:color="auto"/>
              <w:right w:val="single" w:sz="4" w:space="0" w:color="auto"/>
            </w:tcBorders>
            <w:hideMark/>
          </w:tcPr>
          <w:p w14:paraId="1DA1DF5C" w14:textId="77777777" w:rsidR="0056662F" w:rsidRDefault="0056662F">
            <w:pPr>
              <w:tabs>
                <w:tab w:val="left" w:pos="2492"/>
              </w:tabs>
              <w:ind w:firstLine="0"/>
              <w:jc w:val="both"/>
            </w:pPr>
            <w:r>
              <w:t>III</w:t>
            </w:r>
            <w:r>
              <w:rPr>
                <w:vertAlign w:val="superscript"/>
              </w:rPr>
              <w:t>c</w:t>
            </w:r>
          </w:p>
        </w:tc>
        <w:tc>
          <w:tcPr>
            <w:tcW w:w="2180" w:type="dxa"/>
            <w:tcBorders>
              <w:top w:val="single" w:sz="4" w:space="0" w:color="auto"/>
              <w:left w:val="single" w:sz="4" w:space="0" w:color="auto"/>
              <w:bottom w:val="single" w:sz="4" w:space="0" w:color="auto"/>
              <w:right w:val="single" w:sz="4" w:space="0" w:color="auto"/>
            </w:tcBorders>
            <w:hideMark/>
          </w:tcPr>
          <w:p w14:paraId="6602934D" w14:textId="77777777" w:rsidR="0056662F" w:rsidRDefault="0056662F">
            <w:pPr>
              <w:tabs>
                <w:tab w:val="left" w:pos="2492"/>
              </w:tabs>
              <w:ind w:firstLine="0"/>
              <w:jc w:val="both"/>
            </w:pPr>
            <w:r>
              <w:t xml:space="preserve">DFE=BFE + [1] </w:t>
            </w:r>
            <w:r>
              <w:rPr>
                <w:u w:val="single"/>
              </w:rPr>
              <w:t>2</w:t>
            </w:r>
            <w:r>
              <w:t xml:space="preserve"> ft</w:t>
            </w:r>
          </w:p>
        </w:tc>
        <w:tc>
          <w:tcPr>
            <w:tcW w:w="2610" w:type="dxa"/>
            <w:tcBorders>
              <w:top w:val="single" w:sz="4" w:space="0" w:color="auto"/>
              <w:left w:val="single" w:sz="4" w:space="0" w:color="auto"/>
              <w:bottom w:val="single" w:sz="4" w:space="0" w:color="auto"/>
              <w:right w:val="single" w:sz="4" w:space="0" w:color="auto"/>
            </w:tcBorders>
            <w:hideMark/>
          </w:tcPr>
          <w:p w14:paraId="0BD9EABC" w14:textId="77777777" w:rsidR="0056662F" w:rsidRDefault="0056662F">
            <w:pPr>
              <w:tabs>
                <w:tab w:val="left" w:pos="2492"/>
              </w:tabs>
              <w:ind w:firstLine="0"/>
              <w:jc w:val="both"/>
            </w:pPr>
            <w:r>
              <w:t>DFE=BFE + 2 ft</w:t>
            </w:r>
          </w:p>
        </w:tc>
        <w:tc>
          <w:tcPr>
            <w:tcW w:w="3150" w:type="dxa"/>
            <w:tcBorders>
              <w:top w:val="single" w:sz="4" w:space="0" w:color="auto"/>
              <w:left w:val="single" w:sz="4" w:space="0" w:color="auto"/>
              <w:bottom w:val="single" w:sz="4" w:space="0" w:color="auto"/>
              <w:right w:val="single" w:sz="4" w:space="0" w:color="auto"/>
            </w:tcBorders>
            <w:hideMark/>
          </w:tcPr>
          <w:p w14:paraId="420EE824" w14:textId="77777777" w:rsidR="0056662F" w:rsidRDefault="0056662F">
            <w:pPr>
              <w:tabs>
                <w:tab w:val="left" w:pos="2492"/>
              </w:tabs>
              <w:ind w:firstLine="0"/>
              <w:jc w:val="both"/>
            </w:pPr>
            <w:r>
              <w:t>DFE=BFE + 3 ft</w:t>
            </w:r>
          </w:p>
        </w:tc>
      </w:tr>
      <w:tr w:rsidR="0056662F" w14:paraId="2879C1B6" w14:textId="77777777" w:rsidTr="0056662F">
        <w:tc>
          <w:tcPr>
            <w:tcW w:w="1870" w:type="dxa"/>
            <w:tcBorders>
              <w:top w:val="single" w:sz="4" w:space="0" w:color="auto"/>
              <w:left w:val="single" w:sz="4" w:space="0" w:color="auto"/>
              <w:bottom w:val="single" w:sz="4" w:space="0" w:color="auto"/>
              <w:right w:val="single" w:sz="4" w:space="0" w:color="auto"/>
            </w:tcBorders>
            <w:hideMark/>
          </w:tcPr>
          <w:p w14:paraId="1E4E280B" w14:textId="77777777" w:rsidR="0056662F" w:rsidRDefault="0056662F">
            <w:pPr>
              <w:tabs>
                <w:tab w:val="left" w:pos="2492"/>
              </w:tabs>
              <w:ind w:firstLine="0"/>
              <w:jc w:val="both"/>
            </w:pPr>
            <w:r>
              <w:t>IV</w:t>
            </w:r>
            <w:r>
              <w:rPr>
                <w:vertAlign w:val="superscript"/>
              </w:rPr>
              <w:t>c</w:t>
            </w:r>
          </w:p>
        </w:tc>
        <w:tc>
          <w:tcPr>
            <w:tcW w:w="2180" w:type="dxa"/>
            <w:tcBorders>
              <w:top w:val="single" w:sz="4" w:space="0" w:color="auto"/>
              <w:left w:val="single" w:sz="4" w:space="0" w:color="auto"/>
              <w:bottom w:val="single" w:sz="4" w:space="0" w:color="auto"/>
              <w:right w:val="single" w:sz="4" w:space="0" w:color="auto"/>
            </w:tcBorders>
            <w:hideMark/>
          </w:tcPr>
          <w:p w14:paraId="3762F5B4" w14:textId="77777777" w:rsidR="0056662F" w:rsidRDefault="0056662F">
            <w:pPr>
              <w:tabs>
                <w:tab w:val="left" w:pos="2492"/>
              </w:tabs>
              <w:ind w:firstLine="0"/>
              <w:jc w:val="both"/>
            </w:pPr>
            <w:r>
              <w:t>DFE=BFE + 2 ft</w:t>
            </w:r>
            <w:r>
              <w:rPr>
                <w:spacing w:val="14"/>
                <w:szCs w:val="16"/>
              </w:rPr>
              <w:t xml:space="preserve"> </w:t>
            </w:r>
            <w:r>
              <w:rPr>
                <w:spacing w:val="14"/>
                <w:szCs w:val="16"/>
                <w:u w:val="single"/>
              </w:rPr>
              <w:t>or 500-year flood elevation, whichever is higher</w:t>
            </w:r>
          </w:p>
        </w:tc>
        <w:tc>
          <w:tcPr>
            <w:tcW w:w="2610" w:type="dxa"/>
            <w:tcBorders>
              <w:top w:val="single" w:sz="4" w:space="0" w:color="auto"/>
              <w:left w:val="single" w:sz="4" w:space="0" w:color="auto"/>
              <w:bottom w:val="single" w:sz="4" w:space="0" w:color="auto"/>
              <w:right w:val="single" w:sz="4" w:space="0" w:color="auto"/>
            </w:tcBorders>
            <w:hideMark/>
          </w:tcPr>
          <w:p w14:paraId="6A78CDB5" w14:textId="77777777" w:rsidR="0056662F" w:rsidRDefault="0056662F">
            <w:pPr>
              <w:tabs>
                <w:tab w:val="left" w:pos="2492"/>
              </w:tabs>
              <w:ind w:firstLine="0"/>
              <w:jc w:val="both"/>
            </w:pPr>
            <w:r>
              <w:t>DFE=BFE + 2 ft</w:t>
            </w:r>
            <w:r>
              <w:rPr>
                <w:spacing w:val="14"/>
                <w:szCs w:val="16"/>
              </w:rPr>
              <w:t xml:space="preserve"> </w:t>
            </w:r>
            <w:r>
              <w:rPr>
                <w:spacing w:val="14"/>
                <w:szCs w:val="16"/>
                <w:u w:val="single"/>
              </w:rPr>
              <w:t>or 500-year flood elevation, whichever is higher</w:t>
            </w:r>
          </w:p>
        </w:tc>
        <w:tc>
          <w:tcPr>
            <w:tcW w:w="3150" w:type="dxa"/>
            <w:tcBorders>
              <w:top w:val="single" w:sz="4" w:space="0" w:color="auto"/>
              <w:left w:val="single" w:sz="4" w:space="0" w:color="auto"/>
              <w:bottom w:val="single" w:sz="4" w:space="0" w:color="auto"/>
              <w:right w:val="single" w:sz="4" w:space="0" w:color="auto"/>
            </w:tcBorders>
            <w:hideMark/>
          </w:tcPr>
          <w:p w14:paraId="3778985C" w14:textId="77777777" w:rsidR="0056662F" w:rsidRDefault="0056662F">
            <w:pPr>
              <w:tabs>
                <w:tab w:val="left" w:pos="2492"/>
              </w:tabs>
              <w:ind w:firstLine="0"/>
              <w:jc w:val="both"/>
            </w:pPr>
            <w:r>
              <w:t>DFE=BFE + 3 ft</w:t>
            </w:r>
            <w:r>
              <w:rPr>
                <w:spacing w:val="14"/>
                <w:szCs w:val="16"/>
              </w:rPr>
              <w:t xml:space="preserve"> </w:t>
            </w:r>
            <w:r>
              <w:rPr>
                <w:spacing w:val="14"/>
                <w:szCs w:val="16"/>
                <w:u w:val="single"/>
              </w:rPr>
              <w:t>or 500-year flood elevation, whichever is higher</w:t>
            </w:r>
          </w:p>
        </w:tc>
      </w:tr>
    </w:tbl>
    <w:p w14:paraId="6209371C" w14:textId="77777777" w:rsidR="0056662F" w:rsidRDefault="0056662F" w:rsidP="0056662F">
      <w:pPr>
        <w:shd w:val="clear" w:color="auto" w:fill="FFFFFF"/>
        <w:ind w:firstLine="0"/>
        <w:jc w:val="both"/>
        <w:rPr>
          <w:color w:val="212529"/>
          <w:sz w:val="20"/>
          <w:szCs w:val="20"/>
        </w:rPr>
      </w:pPr>
      <w:r>
        <w:rPr>
          <w:color w:val="212529"/>
          <w:sz w:val="20"/>
          <w:szCs w:val="20"/>
          <w:vertAlign w:val="superscript"/>
        </w:rPr>
        <w:t>a.</w:t>
      </w:r>
      <w:r>
        <w:rPr>
          <w:color w:val="212529"/>
          <w:sz w:val="20"/>
          <w:szCs w:val="20"/>
        </w:rPr>
        <w:t> See Table 1-1, or Table 1604.5 of the </w:t>
      </w:r>
      <w:r>
        <w:rPr>
          <w:i/>
          <w:iCs/>
          <w:color w:val="212529"/>
          <w:sz w:val="20"/>
          <w:szCs w:val="20"/>
        </w:rPr>
        <w:t>New York City Building Code,</w:t>
      </w:r>
      <w:r>
        <w:rPr>
          <w:color w:val="212529"/>
          <w:sz w:val="20"/>
          <w:szCs w:val="20"/>
        </w:rPr>
        <w:t> for structural occupancy category descriptions.</w:t>
      </w:r>
    </w:p>
    <w:p w14:paraId="16941EC4" w14:textId="77777777" w:rsidR="0056662F" w:rsidRDefault="0056662F" w:rsidP="0056662F">
      <w:pPr>
        <w:shd w:val="clear" w:color="auto" w:fill="FFFFFF"/>
        <w:ind w:firstLine="0"/>
        <w:jc w:val="both"/>
        <w:rPr>
          <w:color w:val="212529"/>
          <w:sz w:val="20"/>
          <w:szCs w:val="20"/>
        </w:rPr>
      </w:pPr>
      <w:r>
        <w:rPr>
          <w:color w:val="212529"/>
          <w:sz w:val="20"/>
          <w:szCs w:val="20"/>
          <w:vertAlign w:val="superscript"/>
        </w:rPr>
        <w:t>b.</w:t>
      </w:r>
      <w:r>
        <w:rPr>
          <w:color w:val="212529"/>
          <w:sz w:val="20"/>
          <w:szCs w:val="20"/>
        </w:rPr>
        <w:t xml:space="preserve"> Locate utilities and attendant equipment above elevations shown unless otherwise provided in the text.</w:t>
      </w:r>
    </w:p>
    <w:p w14:paraId="4B6D06C4" w14:textId="77777777" w:rsidR="0056662F" w:rsidRDefault="0056662F" w:rsidP="0056662F">
      <w:pPr>
        <w:shd w:val="clear" w:color="auto" w:fill="FFFFFF"/>
        <w:ind w:firstLine="0"/>
        <w:jc w:val="both"/>
        <w:rPr>
          <w:color w:val="212529"/>
          <w:sz w:val="20"/>
          <w:szCs w:val="20"/>
        </w:rPr>
      </w:pPr>
      <w:r>
        <w:rPr>
          <w:color w:val="212529"/>
          <w:sz w:val="20"/>
          <w:szCs w:val="20"/>
          <w:vertAlign w:val="superscript"/>
        </w:rPr>
        <w:t>c.</w:t>
      </w:r>
      <w:r>
        <w:rPr>
          <w:color w:val="212529"/>
          <w:sz w:val="20"/>
          <w:szCs w:val="20"/>
        </w:rPr>
        <w:t xml:space="preserve"> Orientation of lowest horizontal structural member relative to the general direction of wave approach; parallel shall mean less than or equal to +20 degrees from the direction of approach; perpendicular shall mean greater than +20 degrees from the direction of approach.</w:t>
      </w:r>
    </w:p>
    <w:p w14:paraId="30A96492" w14:textId="77777777" w:rsidR="0056662F" w:rsidRDefault="0056662F" w:rsidP="0056662F">
      <w:pPr>
        <w:shd w:val="clear" w:color="auto" w:fill="FFFFFF"/>
        <w:ind w:firstLine="0"/>
        <w:jc w:val="both"/>
        <w:rPr>
          <w:color w:val="212529"/>
          <w:sz w:val="20"/>
          <w:szCs w:val="20"/>
        </w:rPr>
      </w:pPr>
      <w:r>
        <w:rPr>
          <w:color w:val="212529"/>
          <w:sz w:val="20"/>
          <w:szCs w:val="20"/>
          <w:vertAlign w:val="superscript"/>
        </w:rPr>
        <w:t>d.</w:t>
      </w:r>
      <w:r>
        <w:rPr>
          <w:color w:val="212529"/>
          <w:sz w:val="20"/>
          <w:szCs w:val="20"/>
        </w:rPr>
        <w:t xml:space="preserve"> Buildings that include I-2 occupancies that are hospitals shall use the greater of (i) the DFE for the applicable structural occupancy category as indicated in this table or (ii) the 500-year flood elevation.</w:t>
      </w:r>
    </w:p>
    <w:p w14:paraId="6D8406EF" w14:textId="77777777" w:rsidR="0056662F" w:rsidRDefault="0056662F" w:rsidP="0056662F">
      <w:pPr>
        <w:spacing w:line="480" w:lineRule="auto"/>
        <w:ind w:firstLine="0"/>
        <w:jc w:val="both"/>
      </w:pPr>
    </w:p>
    <w:p w14:paraId="7D0AED1E" w14:textId="77777777" w:rsidR="0056662F" w:rsidRDefault="0056662F" w:rsidP="0056662F">
      <w:pPr>
        <w:spacing w:line="480" w:lineRule="auto"/>
        <w:jc w:val="both"/>
      </w:pPr>
      <w:r>
        <w:t xml:space="preserve">§ 6. This local law takes effect 1 year after it becomes law, except that </w:t>
      </w:r>
      <w:r>
        <w:rPr>
          <w:color w:val="000000"/>
          <w:shd w:val="clear" w:color="auto" w:fill="FFFFFF"/>
        </w:rPr>
        <w:t>this local law shall not apply to construction work related to applications for construction document approval filed prior to such effective date</w:t>
      </w:r>
      <w:r>
        <w:t>.</w:t>
      </w:r>
    </w:p>
    <w:p w14:paraId="27378020" w14:textId="77777777" w:rsidR="0056662F" w:rsidRDefault="0056662F" w:rsidP="0056662F">
      <w:pPr>
        <w:ind w:firstLine="0"/>
        <w:jc w:val="both"/>
        <w:rPr>
          <w:sz w:val="18"/>
          <w:szCs w:val="18"/>
        </w:rPr>
      </w:pPr>
    </w:p>
    <w:p w14:paraId="173B1894" w14:textId="77777777" w:rsidR="0056662F" w:rsidRDefault="0056662F" w:rsidP="0056662F">
      <w:pPr>
        <w:ind w:firstLine="0"/>
        <w:jc w:val="both"/>
        <w:rPr>
          <w:sz w:val="18"/>
          <w:szCs w:val="18"/>
        </w:rPr>
      </w:pPr>
      <w:r>
        <w:rPr>
          <w:sz w:val="18"/>
          <w:szCs w:val="18"/>
        </w:rPr>
        <w:t>JSA</w:t>
      </w:r>
    </w:p>
    <w:p w14:paraId="512AAE25" w14:textId="77777777" w:rsidR="0056662F" w:rsidRDefault="0056662F" w:rsidP="0056662F">
      <w:pPr>
        <w:ind w:firstLine="0"/>
        <w:jc w:val="both"/>
        <w:rPr>
          <w:sz w:val="18"/>
          <w:szCs w:val="18"/>
        </w:rPr>
      </w:pPr>
      <w:r>
        <w:rPr>
          <w:sz w:val="18"/>
          <w:szCs w:val="18"/>
        </w:rPr>
        <w:t>LS #13023</w:t>
      </w:r>
    </w:p>
    <w:p w14:paraId="6D67AD1C" w14:textId="77777777" w:rsidR="0056662F" w:rsidRDefault="0056662F" w:rsidP="0056662F">
      <w:pPr>
        <w:ind w:firstLine="0"/>
        <w:rPr>
          <w:sz w:val="18"/>
          <w:szCs w:val="18"/>
        </w:rPr>
      </w:pPr>
      <w:r>
        <w:rPr>
          <w:sz w:val="18"/>
          <w:szCs w:val="18"/>
        </w:rPr>
        <w:t>3/10/21 9:10p.m.</w:t>
      </w:r>
    </w:p>
    <w:p w14:paraId="3D690C0D" w14:textId="77777777" w:rsidR="0056662F" w:rsidRDefault="0056662F" w:rsidP="0056662F">
      <w:pPr>
        <w:ind w:firstLine="0"/>
        <w:rPr>
          <w:sz w:val="18"/>
          <w:szCs w:val="18"/>
        </w:rPr>
      </w:pPr>
    </w:p>
    <w:p w14:paraId="02001263" w14:textId="77777777" w:rsidR="0056662F" w:rsidRDefault="0056662F" w:rsidP="0056662F">
      <w:pPr>
        <w:ind w:firstLine="0"/>
        <w:rPr>
          <w:sz w:val="18"/>
          <w:szCs w:val="18"/>
        </w:rPr>
      </w:pPr>
    </w:p>
    <w:p w14:paraId="57CE1443" w14:textId="77777777" w:rsidR="0056662F" w:rsidRDefault="0056662F"/>
    <w:sectPr w:rsidR="0056662F" w:rsidSect="0056662F">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A63D9" w14:textId="77777777" w:rsidR="00F00740" w:rsidRDefault="00F00740" w:rsidP="0056662F">
      <w:r>
        <w:separator/>
      </w:r>
    </w:p>
  </w:endnote>
  <w:endnote w:type="continuationSeparator" w:id="0">
    <w:p w14:paraId="03B188BC" w14:textId="77777777" w:rsidR="00F00740" w:rsidRDefault="00F00740" w:rsidP="0056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921078"/>
      <w:docPartObj>
        <w:docPartGallery w:val="Page Numbers (Bottom of Page)"/>
        <w:docPartUnique/>
      </w:docPartObj>
    </w:sdtPr>
    <w:sdtEndPr>
      <w:rPr>
        <w:noProof/>
      </w:rPr>
    </w:sdtEndPr>
    <w:sdtContent>
      <w:p w14:paraId="29CC417F" w14:textId="6BB86301" w:rsidR="0056662F" w:rsidRDefault="0056662F">
        <w:pPr>
          <w:pStyle w:val="Footer"/>
          <w:jc w:val="center"/>
        </w:pPr>
        <w:r>
          <w:fldChar w:fldCharType="begin"/>
        </w:r>
        <w:r>
          <w:instrText xml:space="preserve"> PAGE   \* MERGEFORMAT </w:instrText>
        </w:r>
        <w:r>
          <w:fldChar w:fldCharType="separate"/>
        </w:r>
        <w:r w:rsidR="009E3A0F">
          <w:rPr>
            <w:noProof/>
          </w:rPr>
          <w:t>16</w:t>
        </w:r>
        <w:r>
          <w:rPr>
            <w:noProof/>
          </w:rPr>
          <w:fldChar w:fldCharType="end"/>
        </w:r>
      </w:p>
    </w:sdtContent>
  </w:sdt>
  <w:p w14:paraId="1BF95D56" w14:textId="77777777" w:rsidR="0056662F" w:rsidRDefault="00566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B17BF" w14:textId="77777777" w:rsidR="00F00740" w:rsidRDefault="00F00740" w:rsidP="0056662F">
      <w:r>
        <w:separator/>
      </w:r>
    </w:p>
  </w:footnote>
  <w:footnote w:type="continuationSeparator" w:id="0">
    <w:p w14:paraId="2803FBF0" w14:textId="77777777" w:rsidR="00F00740" w:rsidRDefault="00F00740" w:rsidP="005666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fr-FR" w:vendorID="64" w:dllVersion="131078" w:nlCheck="1" w:checkStyle="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2F"/>
    <w:rsid w:val="003759AB"/>
    <w:rsid w:val="0056662F"/>
    <w:rsid w:val="00890F8D"/>
    <w:rsid w:val="008F1860"/>
    <w:rsid w:val="009640FA"/>
    <w:rsid w:val="009E3A0F"/>
    <w:rsid w:val="00B76B3E"/>
    <w:rsid w:val="00BD2324"/>
    <w:rsid w:val="00DA1D58"/>
    <w:rsid w:val="00E30D0D"/>
    <w:rsid w:val="00E4258D"/>
    <w:rsid w:val="00F00740"/>
    <w:rsid w:val="00F45895"/>
    <w:rsid w:val="00F56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1D220"/>
  <w15:chartTrackingRefBased/>
  <w15:docId w15:val="{4D2DC036-966E-4960-A0C7-249BA6AC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62F"/>
    <w:pPr>
      <w:spacing w:after="0" w:line="240" w:lineRule="auto"/>
      <w:ind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56662F"/>
    <w:rPr>
      <w:sz w:val="20"/>
      <w:szCs w:val="20"/>
    </w:rPr>
  </w:style>
  <w:style w:type="character" w:customStyle="1" w:styleId="FootnoteTextChar">
    <w:name w:val="Footnote Text Char"/>
    <w:aliases w:val="FT Char"/>
    <w:basedOn w:val="DefaultParagraphFont"/>
    <w:link w:val="FootnoteText"/>
    <w:uiPriority w:val="99"/>
    <w:rsid w:val="0056662F"/>
    <w:rPr>
      <w:rFonts w:ascii="Times New Roman" w:eastAsia="Times New Roman" w:hAnsi="Times New Roman" w:cs="Times New Roman"/>
      <w:sz w:val="20"/>
      <w:szCs w:val="20"/>
    </w:rPr>
  </w:style>
  <w:style w:type="character" w:styleId="FootnoteReference">
    <w:name w:val="footnote reference"/>
    <w:uiPriority w:val="99"/>
    <w:unhideWhenUsed/>
    <w:rsid w:val="0056662F"/>
    <w:rPr>
      <w:vertAlign w:val="superscript"/>
    </w:rPr>
  </w:style>
  <w:style w:type="character" w:styleId="Hyperlink">
    <w:name w:val="Hyperlink"/>
    <w:rsid w:val="0056662F"/>
    <w:rPr>
      <w:u w:val="single"/>
    </w:rPr>
  </w:style>
  <w:style w:type="paragraph" w:customStyle="1" w:styleId="Body">
    <w:name w:val="Body"/>
    <w:rsid w:val="0056662F"/>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NormalWeb">
    <w:name w:val="Normal (Web)"/>
    <w:basedOn w:val="Normal"/>
    <w:uiPriority w:val="99"/>
    <w:unhideWhenUsed/>
    <w:rsid w:val="0056662F"/>
    <w:pPr>
      <w:spacing w:before="100" w:beforeAutospacing="1" w:after="100" w:afterAutospacing="1"/>
      <w:ind w:firstLine="0"/>
    </w:pPr>
  </w:style>
  <w:style w:type="paragraph" w:styleId="NoSpacing">
    <w:name w:val="No Spacing"/>
    <w:uiPriority w:val="1"/>
    <w:qFormat/>
    <w:rsid w:val="0056662F"/>
    <w:pPr>
      <w:spacing w:after="0" w:line="240" w:lineRule="auto"/>
    </w:pPr>
    <w:rPr>
      <w:rFonts w:ascii="Times New Roman" w:hAnsi="Times New Roman"/>
      <w:sz w:val="24"/>
    </w:rPr>
  </w:style>
  <w:style w:type="paragraph" w:styleId="ListParagraph">
    <w:name w:val="List Paragraph"/>
    <w:basedOn w:val="Normal"/>
    <w:uiPriority w:val="34"/>
    <w:qFormat/>
    <w:rsid w:val="0056662F"/>
    <w:pPr>
      <w:widowControl w:val="0"/>
      <w:autoSpaceDE w:val="0"/>
      <w:autoSpaceDN w:val="0"/>
      <w:adjustRightInd w:val="0"/>
      <w:ind w:left="720" w:firstLine="0"/>
      <w:contextualSpacing/>
    </w:pPr>
  </w:style>
  <w:style w:type="paragraph" w:styleId="BodyText">
    <w:name w:val="Body Text"/>
    <w:basedOn w:val="Normal"/>
    <w:link w:val="BodyTextChar"/>
    <w:uiPriority w:val="99"/>
    <w:semiHidden/>
    <w:unhideWhenUsed/>
    <w:rsid w:val="0056662F"/>
    <w:pPr>
      <w:spacing w:line="480" w:lineRule="auto"/>
      <w:jc w:val="both"/>
    </w:pPr>
  </w:style>
  <w:style w:type="character" w:customStyle="1" w:styleId="BodyTextChar">
    <w:name w:val="Body Text Char"/>
    <w:basedOn w:val="DefaultParagraphFont"/>
    <w:link w:val="BodyText"/>
    <w:uiPriority w:val="99"/>
    <w:semiHidden/>
    <w:rsid w:val="0056662F"/>
    <w:rPr>
      <w:rFonts w:ascii="Times New Roman" w:eastAsia="Times New Roman" w:hAnsi="Times New Roman" w:cs="Times New Roman"/>
      <w:sz w:val="24"/>
      <w:szCs w:val="24"/>
    </w:rPr>
  </w:style>
  <w:style w:type="character" w:customStyle="1" w:styleId="normaltextrun">
    <w:name w:val="normaltextrun"/>
    <w:basedOn w:val="DefaultParagraphFont"/>
    <w:rsid w:val="0056662F"/>
  </w:style>
  <w:style w:type="character" w:styleId="LineNumber">
    <w:name w:val="line number"/>
    <w:basedOn w:val="DefaultParagraphFont"/>
    <w:uiPriority w:val="99"/>
    <w:semiHidden/>
    <w:unhideWhenUsed/>
    <w:rsid w:val="0056662F"/>
  </w:style>
  <w:style w:type="table" w:styleId="TableGrid">
    <w:name w:val="Table Grid"/>
    <w:basedOn w:val="TableNormal"/>
    <w:rsid w:val="0056662F"/>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62F"/>
    <w:pPr>
      <w:tabs>
        <w:tab w:val="center" w:pos="4680"/>
        <w:tab w:val="right" w:pos="9360"/>
      </w:tabs>
    </w:pPr>
  </w:style>
  <w:style w:type="character" w:customStyle="1" w:styleId="HeaderChar">
    <w:name w:val="Header Char"/>
    <w:basedOn w:val="DefaultParagraphFont"/>
    <w:link w:val="Header"/>
    <w:uiPriority w:val="99"/>
    <w:rsid w:val="005666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662F"/>
    <w:pPr>
      <w:tabs>
        <w:tab w:val="center" w:pos="4680"/>
        <w:tab w:val="right" w:pos="9360"/>
      </w:tabs>
    </w:pPr>
  </w:style>
  <w:style w:type="character" w:customStyle="1" w:styleId="FooterChar">
    <w:name w:val="Footer Char"/>
    <w:basedOn w:val="DefaultParagraphFont"/>
    <w:link w:val="Footer"/>
    <w:uiPriority w:val="99"/>
    <w:rsid w:val="0056662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76B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840533">
      <w:bodyDiv w:val="1"/>
      <w:marLeft w:val="0"/>
      <w:marRight w:val="0"/>
      <w:marTop w:val="0"/>
      <w:marBottom w:val="0"/>
      <w:divBdr>
        <w:top w:val="none" w:sz="0" w:space="0" w:color="auto"/>
        <w:left w:val="none" w:sz="0" w:space="0" w:color="auto"/>
        <w:bottom w:val="none" w:sz="0" w:space="0" w:color="auto"/>
        <w:right w:val="none" w:sz="0" w:space="0" w:color="auto"/>
      </w:divBdr>
    </w:div>
    <w:div w:id="120849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tar.council.nyc.gov/MeetingDetail.aspx?ID=830495&amp;GUID=6B1F175E-9AEB-4EF7-AFC3-EC30F2886AC6&amp;Options=&amp;Search="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E5A7D-34CD-47BD-BF24-28261C10F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3517</Words>
  <Characters>20052</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Mulvihill</dc:creator>
  <cp:keywords/>
  <dc:description/>
  <cp:lastModifiedBy>DelFranco, Ruthie</cp:lastModifiedBy>
  <cp:revision>2</cp:revision>
  <dcterms:created xsi:type="dcterms:W3CDTF">2021-03-17T19:04:00Z</dcterms:created>
  <dcterms:modified xsi:type="dcterms:W3CDTF">2021-03-17T19:04:00Z</dcterms:modified>
</cp:coreProperties>
</file>