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05D03" w14:textId="77777777" w:rsidR="00F954CD" w:rsidRPr="007E450A" w:rsidRDefault="00F954CD" w:rsidP="00F954CD">
      <w:pPr>
        <w:jc w:val="right"/>
        <w:rPr>
          <w:u w:val="single"/>
        </w:rPr>
      </w:pPr>
      <w:bookmarkStart w:id="0" w:name="_GoBack"/>
      <w:bookmarkEnd w:id="0"/>
      <w:r w:rsidRPr="007E450A">
        <w:rPr>
          <w:u w:val="single"/>
        </w:rPr>
        <w:t>Committee on Mental Health, Disabilities and Addiction</w:t>
      </w:r>
    </w:p>
    <w:p w14:paraId="744CFD33" w14:textId="77777777" w:rsidR="00F954CD" w:rsidRPr="007E450A" w:rsidRDefault="00F954CD" w:rsidP="00F954CD">
      <w:pPr>
        <w:jc w:val="right"/>
      </w:pPr>
      <w:r w:rsidRPr="007E450A">
        <w:t xml:space="preserve">Sara Liss, </w:t>
      </w:r>
      <w:r w:rsidRPr="007E450A">
        <w:rPr>
          <w:i/>
        </w:rPr>
        <w:t>Senior Legislative Counsel</w:t>
      </w:r>
    </w:p>
    <w:p w14:paraId="489A87CF" w14:textId="77777777" w:rsidR="00F954CD" w:rsidRPr="007E450A" w:rsidRDefault="00F954CD" w:rsidP="00F954CD">
      <w:pPr>
        <w:tabs>
          <w:tab w:val="left" w:pos="0"/>
        </w:tabs>
        <w:jc w:val="right"/>
        <w:rPr>
          <w:i/>
        </w:rPr>
      </w:pPr>
      <w:r w:rsidRPr="007E450A">
        <w:t xml:space="preserve">Cristy Dwyer, </w:t>
      </w:r>
      <w:r w:rsidRPr="007E450A">
        <w:rPr>
          <w:i/>
        </w:rPr>
        <w:t>Legislative Policy Analyst</w:t>
      </w:r>
    </w:p>
    <w:p w14:paraId="6B58FAD2" w14:textId="77777777" w:rsidR="00F954CD" w:rsidRPr="007E450A" w:rsidRDefault="00F954CD" w:rsidP="00F954CD">
      <w:pPr>
        <w:ind w:left="5760"/>
        <w:jc w:val="right"/>
        <w:rPr>
          <w:i/>
        </w:rPr>
      </w:pPr>
      <w:r w:rsidRPr="007E450A">
        <w:t xml:space="preserve">Lauren Hunt, </w:t>
      </w:r>
      <w:r w:rsidRPr="007E450A">
        <w:rPr>
          <w:i/>
        </w:rPr>
        <w:t>Finance Analyst</w:t>
      </w:r>
    </w:p>
    <w:p w14:paraId="4F9B3656" w14:textId="77777777" w:rsidR="00F954CD" w:rsidRPr="007E450A" w:rsidRDefault="00F954CD" w:rsidP="00F954CD">
      <w:pPr>
        <w:tabs>
          <w:tab w:val="left" w:pos="0"/>
        </w:tabs>
        <w:rPr>
          <w:sz w:val="22"/>
          <w:szCs w:val="22"/>
        </w:rPr>
      </w:pPr>
    </w:p>
    <w:p w14:paraId="10805863" w14:textId="77777777" w:rsidR="00F954CD" w:rsidRPr="007E450A" w:rsidRDefault="00F954CD" w:rsidP="00F954CD">
      <w:pPr>
        <w:tabs>
          <w:tab w:val="left" w:pos="0"/>
        </w:tabs>
        <w:jc w:val="right"/>
        <w:rPr>
          <w:i/>
          <w:sz w:val="22"/>
          <w:szCs w:val="22"/>
        </w:rPr>
      </w:pPr>
    </w:p>
    <w:p w14:paraId="26CB8AF5" w14:textId="77777777" w:rsidR="00F954CD" w:rsidRPr="007E450A" w:rsidRDefault="00F954CD" w:rsidP="00F954CD">
      <w:pPr>
        <w:tabs>
          <w:tab w:val="left" w:pos="0"/>
        </w:tabs>
        <w:jc w:val="right"/>
        <w:rPr>
          <w:sz w:val="22"/>
          <w:szCs w:val="22"/>
        </w:rPr>
      </w:pPr>
    </w:p>
    <w:p w14:paraId="699EAD4C" w14:textId="77777777" w:rsidR="00F954CD" w:rsidRPr="007E450A" w:rsidRDefault="00F954CD" w:rsidP="00F954CD">
      <w:pPr>
        <w:tabs>
          <w:tab w:val="left" w:pos="7517"/>
        </w:tabs>
        <w:jc w:val="center"/>
      </w:pPr>
      <w:r w:rsidRPr="007E450A">
        <w:rPr>
          <w:noProof/>
        </w:rPr>
        <w:drawing>
          <wp:inline distT="0" distB="0" distL="0" distR="0" wp14:anchorId="6E56EE9E" wp14:editId="180D21BB">
            <wp:extent cx="1171575" cy="1095375"/>
            <wp:effectExtent l="0" t="0" r="0" b="0"/>
            <wp:docPr id="18103653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171575" cy="1095375"/>
                    </a:xfrm>
                    <a:prstGeom prst="rect">
                      <a:avLst/>
                    </a:prstGeom>
                  </pic:spPr>
                </pic:pic>
              </a:graphicData>
            </a:graphic>
          </wp:inline>
        </w:drawing>
      </w:r>
    </w:p>
    <w:p w14:paraId="076B23B7" w14:textId="77777777" w:rsidR="00F954CD" w:rsidRPr="007E450A" w:rsidRDefault="00F954CD" w:rsidP="00F954CD">
      <w:pPr>
        <w:pStyle w:val="Heading2"/>
        <w:rPr>
          <w:bCs w:val="0"/>
          <w:u w:val="none"/>
        </w:rPr>
      </w:pPr>
    </w:p>
    <w:p w14:paraId="3445D48F" w14:textId="77777777" w:rsidR="00F954CD" w:rsidRPr="007E450A" w:rsidRDefault="00F954CD" w:rsidP="00F954CD">
      <w:pPr>
        <w:pStyle w:val="Heading2"/>
      </w:pPr>
      <w:r w:rsidRPr="007E450A">
        <w:rPr>
          <w:bCs w:val="0"/>
          <w:u w:val="none"/>
        </w:rPr>
        <w:t>THE COUNCIL</w:t>
      </w:r>
    </w:p>
    <w:p w14:paraId="75F84AD0" w14:textId="77777777" w:rsidR="00F954CD" w:rsidRPr="007E450A" w:rsidRDefault="00F954CD" w:rsidP="00F954CD">
      <w:pPr>
        <w:pStyle w:val="Heading1"/>
        <w:jc w:val="center"/>
        <w:rPr>
          <w:b w:val="0"/>
          <w:bCs w:val="0"/>
          <w:i/>
          <w:iCs/>
          <w:caps/>
          <w:color w:val="auto"/>
          <w:u w:val="single"/>
        </w:rPr>
      </w:pPr>
      <w:r>
        <w:rPr>
          <w:rFonts w:ascii="Times New Roman" w:hAnsi="Times New Roman"/>
          <w:caps/>
          <w:color w:val="auto"/>
          <w:sz w:val="24"/>
          <w:szCs w:val="24"/>
          <w:u w:val="single"/>
        </w:rPr>
        <w:t>COMMITTEE REPORT</w:t>
      </w:r>
      <w:r w:rsidRPr="007E450A">
        <w:rPr>
          <w:rFonts w:ascii="Times New Roman" w:hAnsi="Times New Roman"/>
          <w:caps/>
          <w:color w:val="auto"/>
          <w:sz w:val="24"/>
          <w:szCs w:val="24"/>
          <w:u w:val="single"/>
        </w:rPr>
        <w:t xml:space="preserve"> OF THE HUMAN SERVICES Division</w:t>
      </w:r>
    </w:p>
    <w:p w14:paraId="515AF7BC" w14:textId="77777777" w:rsidR="00F954CD" w:rsidRPr="007E450A" w:rsidRDefault="00F954CD" w:rsidP="00F954CD">
      <w:pPr>
        <w:jc w:val="center"/>
        <w:rPr>
          <w:i/>
        </w:rPr>
      </w:pPr>
      <w:r w:rsidRPr="007E450A">
        <w:rPr>
          <w:i/>
        </w:rPr>
        <w:t xml:space="preserve">Jeffrey Baker, Legislative Director </w:t>
      </w:r>
    </w:p>
    <w:p w14:paraId="29DECFF9" w14:textId="77777777" w:rsidR="00F954CD" w:rsidRPr="007E450A" w:rsidRDefault="00F954CD" w:rsidP="00F954CD">
      <w:pPr>
        <w:jc w:val="center"/>
        <w:rPr>
          <w:i/>
        </w:rPr>
      </w:pPr>
      <w:r w:rsidRPr="007E450A">
        <w:rPr>
          <w:i/>
        </w:rPr>
        <w:t>Andrea Vazquez, Deputy Director, Human Services</w:t>
      </w:r>
    </w:p>
    <w:p w14:paraId="63DD53C7" w14:textId="77777777" w:rsidR="00F954CD" w:rsidRPr="007E450A" w:rsidRDefault="00F954CD" w:rsidP="00F954CD">
      <w:pPr>
        <w:jc w:val="center"/>
        <w:rPr>
          <w:b/>
          <w:u w:val="single"/>
        </w:rPr>
      </w:pPr>
    </w:p>
    <w:p w14:paraId="3CE3EEB5" w14:textId="77777777" w:rsidR="00F954CD" w:rsidRPr="007E450A" w:rsidRDefault="00F954CD" w:rsidP="00F954CD">
      <w:pPr>
        <w:pStyle w:val="FootnoteText"/>
        <w:jc w:val="center"/>
        <w:rPr>
          <w:szCs w:val="24"/>
        </w:rPr>
      </w:pPr>
      <w:r w:rsidRPr="007E450A">
        <w:rPr>
          <w:b/>
          <w:szCs w:val="24"/>
          <w:u w:val="single"/>
        </w:rPr>
        <w:t>COMMITTEE ON MENTAL HEALTH, DISABILITIES AND ADDICTION</w:t>
      </w:r>
    </w:p>
    <w:p w14:paraId="0F49616F" w14:textId="77777777" w:rsidR="00F954CD" w:rsidRPr="007E450A" w:rsidRDefault="00F954CD" w:rsidP="00F954CD">
      <w:pPr>
        <w:jc w:val="center"/>
        <w:rPr>
          <w:i/>
        </w:rPr>
      </w:pPr>
      <w:r w:rsidRPr="007E450A">
        <w:rPr>
          <w:i/>
        </w:rPr>
        <w:t xml:space="preserve">Hon. </w:t>
      </w:r>
      <w:r>
        <w:rPr>
          <w:i/>
        </w:rPr>
        <w:t>Farah Louis</w:t>
      </w:r>
      <w:r w:rsidRPr="007E450A">
        <w:rPr>
          <w:i/>
        </w:rPr>
        <w:t>, Chair</w:t>
      </w:r>
    </w:p>
    <w:p w14:paraId="0D2BA456" w14:textId="77777777" w:rsidR="00F954CD" w:rsidRPr="007E450A" w:rsidRDefault="00F954CD" w:rsidP="00F954CD">
      <w:pPr>
        <w:pStyle w:val="Heading4"/>
        <w:spacing w:before="0" w:after="0"/>
        <w:rPr>
          <w:sz w:val="24"/>
          <w:szCs w:val="24"/>
        </w:rPr>
      </w:pPr>
    </w:p>
    <w:p w14:paraId="5E4C35E1" w14:textId="77777777" w:rsidR="00F954CD" w:rsidRPr="007E450A" w:rsidRDefault="00F954CD" w:rsidP="00F954CD">
      <w:pPr>
        <w:pStyle w:val="Heading4"/>
        <w:spacing w:before="0" w:after="0"/>
        <w:jc w:val="center"/>
        <w:rPr>
          <w:rFonts w:ascii="Times New Roman" w:hAnsi="Times New Roman"/>
          <w:sz w:val="24"/>
          <w:szCs w:val="24"/>
        </w:rPr>
      </w:pPr>
      <w:r>
        <w:rPr>
          <w:rFonts w:ascii="Times New Roman" w:hAnsi="Times New Roman"/>
          <w:sz w:val="24"/>
          <w:szCs w:val="24"/>
        </w:rPr>
        <w:t>February 22, 2021</w:t>
      </w:r>
    </w:p>
    <w:p w14:paraId="2CBBF33F" w14:textId="77777777" w:rsidR="00F954CD" w:rsidRPr="007E450A" w:rsidRDefault="00F954CD" w:rsidP="00F954CD">
      <w:pPr>
        <w:widowControl w:val="0"/>
        <w:autoSpaceDE w:val="0"/>
        <w:autoSpaceDN w:val="0"/>
        <w:adjustRightInd w:val="0"/>
        <w:ind w:left="2880" w:hanging="2880"/>
        <w:jc w:val="both"/>
        <w:rPr>
          <w:b/>
          <w:u w:val="single"/>
        </w:rPr>
      </w:pPr>
    </w:p>
    <w:p w14:paraId="416F910D" w14:textId="77777777" w:rsidR="00F954CD" w:rsidRPr="00F954CD" w:rsidRDefault="00F954CD" w:rsidP="00F954CD">
      <w:pPr>
        <w:widowControl w:val="0"/>
        <w:autoSpaceDE w:val="0"/>
        <w:autoSpaceDN w:val="0"/>
        <w:adjustRightInd w:val="0"/>
        <w:jc w:val="center"/>
        <w:rPr>
          <w:b/>
        </w:rPr>
      </w:pPr>
      <w:r>
        <w:rPr>
          <w:b/>
        </w:rPr>
        <w:t>Ov</w:t>
      </w:r>
      <w:r w:rsidRPr="00F954CD">
        <w:rPr>
          <w:b/>
        </w:rPr>
        <w:t>ersight: New York City’s Mental Health Emergency Response</w:t>
      </w:r>
    </w:p>
    <w:p w14:paraId="701C7F67" w14:textId="77777777" w:rsidR="00F954CD" w:rsidRPr="00F954CD" w:rsidRDefault="00F954CD" w:rsidP="00F954CD"/>
    <w:p w14:paraId="105090E6" w14:textId="77777777" w:rsidR="00F954CD" w:rsidRPr="007E450A" w:rsidRDefault="00F954CD" w:rsidP="00F954CD">
      <w:pPr>
        <w:widowControl w:val="0"/>
        <w:autoSpaceDE w:val="0"/>
        <w:autoSpaceDN w:val="0"/>
        <w:adjustRightInd w:val="0"/>
        <w:ind w:left="2880" w:hanging="2880"/>
        <w:jc w:val="both"/>
        <w:rPr>
          <w:b/>
          <w:u w:val="single"/>
        </w:rPr>
      </w:pPr>
    </w:p>
    <w:p w14:paraId="7DD39268" w14:textId="77777777" w:rsidR="00F954CD" w:rsidRPr="007E450A" w:rsidRDefault="00F954CD" w:rsidP="00F954CD">
      <w:pPr>
        <w:widowControl w:val="0"/>
        <w:autoSpaceDE w:val="0"/>
        <w:autoSpaceDN w:val="0"/>
        <w:adjustRightInd w:val="0"/>
        <w:ind w:left="2880" w:hanging="2880"/>
        <w:jc w:val="both"/>
      </w:pPr>
    </w:p>
    <w:p w14:paraId="38A48B3B" w14:textId="77777777" w:rsidR="007A5123" w:rsidRDefault="007A5123">
      <w:pPr>
        <w:spacing w:after="160" w:line="259" w:lineRule="auto"/>
        <w:rPr>
          <w:b/>
          <w:bCs/>
          <w:u w:val="single"/>
        </w:rPr>
      </w:pPr>
      <w:r>
        <w:rPr>
          <w:b/>
          <w:bCs/>
          <w:u w:val="single"/>
        </w:rPr>
        <w:br w:type="page"/>
      </w:r>
    </w:p>
    <w:p w14:paraId="1B7E1C32" w14:textId="77777777" w:rsidR="00F954CD" w:rsidRPr="007E450A" w:rsidRDefault="00F954CD" w:rsidP="00F954CD">
      <w:pPr>
        <w:keepNext/>
        <w:ind w:left="3240" w:right="-180" w:hanging="3240"/>
        <w:outlineLvl w:val="1"/>
        <w:rPr>
          <w:bCs/>
        </w:rPr>
      </w:pPr>
      <w:r w:rsidRPr="007E450A">
        <w:rPr>
          <w:b/>
          <w:bCs/>
          <w:u w:val="single"/>
        </w:rPr>
        <w:lastRenderedPageBreak/>
        <w:t xml:space="preserve">Int. </w:t>
      </w:r>
      <w:r w:rsidRPr="00F954CD">
        <w:rPr>
          <w:b/>
          <w:bCs/>
          <w:u w:val="single"/>
        </w:rPr>
        <w:t xml:space="preserve">No. </w:t>
      </w:r>
      <w:r w:rsidRPr="00F954CD">
        <w:rPr>
          <w:b/>
          <w:color w:val="000000"/>
          <w:u w:val="single"/>
          <w:shd w:val="clear" w:color="auto" w:fill="FFFFFF"/>
        </w:rPr>
        <w:t>2210</w:t>
      </w:r>
      <w:r w:rsidRPr="00F954CD">
        <w:rPr>
          <w:b/>
          <w:bCs/>
          <w:u w:val="single"/>
        </w:rPr>
        <w:t>:</w:t>
      </w:r>
      <w:r w:rsidRPr="007E450A">
        <w:rPr>
          <w:bCs/>
        </w:rPr>
        <w:t xml:space="preserve"> </w:t>
      </w:r>
      <w:r w:rsidRPr="007E450A">
        <w:rPr>
          <w:bCs/>
        </w:rPr>
        <w:tab/>
        <w:t xml:space="preserve">By Council Members </w:t>
      </w:r>
      <w:r w:rsidRPr="007E450A">
        <w:rPr>
          <w:shd w:val="clear" w:color="auto" w:fill="FFFFFF"/>
        </w:rPr>
        <w:t xml:space="preserve">Ayala, </w:t>
      </w:r>
      <w:r>
        <w:rPr>
          <w:color w:val="000000"/>
          <w:shd w:val="clear" w:color="auto" w:fill="FFFFFF"/>
        </w:rPr>
        <w:t>the Speaker (Council Member Johnson), the Public Advocate (Mr. Williams), Ampry-Samuel, Cornegy, Rosenthal, Adams, Louis, Cumbo and Kallos</w:t>
      </w:r>
    </w:p>
    <w:p w14:paraId="500C61C3" w14:textId="77777777" w:rsidR="00F954CD" w:rsidRPr="007E450A" w:rsidRDefault="00F954CD" w:rsidP="00F954CD">
      <w:pPr>
        <w:ind w:left="3240" w:hanging="3240"/>
      </w:pPr>
    </w:p>
    <w:p w14:paraId="060F4724" w14:textId="77777777" w:rsidR="00F954CD" w:rsidRDefault="00F954CD" w:rsidP="00F954CD">
      <w:pPr>
        <w:keepNext/>
        <w:ind w:left="3240" w:right="-180" w:hanging="3240"/>
        <w:outlineLvl w:val="1"/>
        <w:rPr>
          <w:shd w:val="clear" w:color="auto" w:fill="FFFFFF"/>
        </w:rPr>
      </w:pPr>
      <w:r w:rsidRPr="007E450A">
        <w:rPr>
          <w:b/>
          <w:bCs/>
          <w:u w:val="single"/>
        </w:rPr>
        <w:t>Title:</w:t>
      </w:r>
      <w:r w:rsidRPr="007E450A">
        <w:rPr>
          <w:bCs/>
        </w:rPr>
        <w:tab/>
      </w:r>
      <w:r w:rsidRPr="007E450A">
        <w:rPr>
          <w:shd w:val="clear" w:color="auto" w:fill="FFFFFF"/>
        </w:rPr>
        <w:t xml:space="preserve">A Local Law </w:t>
      </w:r>
      <w:r>
        <w:rPr>
          <w:shd w:val="clear" w:color="auto" w:fill="FFFFFF"/>
        </w:rPr>
        <w:t xml:space="preserve">to </w:t>
      </w:r>
      <w:r>
        <w:rPr>
          <w:color w:val="000000"/>
          <w:shd w:val="clear" w:color="auto" w:fill="FFFFFF"/>
        </w:rPr>
        <w:t>amend the administrative code of the city of New York, in relation to creating an office of community mental health and a citywide mental health emergency response protocol</w:t>
      </w:r>
    </w:p>
    <w:p w14:paraId="1328E6A1" w14:textId="77777777" w:rsidR="00F954CD" w:rsidRPr="007E450A" w:rsidRDefault="00F954CD" w:rsidP="00F954CD">
      <w:pPr>
        <w:keepNext/>
        <w:ind w:left="3240" w:right="-180" w:hanging="3240"/>
        <w:outlineLvl w:val="1"/>
        <w:rPr>
          <w:shd w:val="clear" w:color="auto" w:fill="FFFFFF"/>
        </w:rPr>
      </w:pPr>
    </w:p>
    <w:p w14:paraId="23246AF5" w14:textId="77777777" w:rsidR="00F954CD" w:rsidRPr="007E450A" w:rsidRDefault="00F954CD" w:rsidP="00F954CD">
      <w:pPr>
        <w:keepNext/>
        <w:ind w:left="3240" w:right="-180" w:hanging="3240"/>
        <w:outlineLvl w:val="1"/>
        <w:rPr>
          <w:bCs/>
        </w:rPr>
      </w:pPr>
      <w:r w:rsidRPr="007E450A">
        <w:rPr>
          <w:b/>
          <w:bCs/>
          <w:u w:val="single"/>
        </w:rPr>
        <w:t>Administrative Code:</w:t>
      </w:r>
      <w:r w:rsidRPr="007E450A">
        <w:rPr>
          <w:b/>
          <w:bCs/>
        </w:rPr>
        <w:t xml:space="preserve"> </w:t>
      </w:r>
      <w:r w:rsidRPr="007E450A">
        <w:tab/>
      </w:r>
      <w:r w:rsidRPr="007E450A">
        <w:rPr>
          <w:spacing w:val="-3"/>
        </w:rPr>
        <w:t xml:space="preserve">Adds </w:t>
      </w:r>
      <w:r>
        <w:rPr>
          <w:shd w:val="clear" w:color="auto" w:fill="FFFFFF"/>
        </w:rPr>
        <w:t xml:space="preserve">chapter 20 to title 17; adds </w:t>
      </w:r>
      <w:r>
        <w:rPr>
          <w:color w:val="000000"/>
          <w:shd w:val="clear" w:color="auto" w:fill="FFFFFF"/>
        </w:rPr>
        <w:t>sections 14-191 and 14-192 to chapter 1 of title 14</w:t>
      </w:r>
      <w:r w:rsidRPr="007E450A">
        <w:rPr>
          <w:shd w:val="clear" w:color="auto" w:fill="FFFFFF"/>
        </w:rPr>
        <w:t> </w:t>
      </w:r>
    </w:p>
    <w:p w14:paraId="472802E2" w14:textId="77777777" w:rsidR="00F954CD" w:rsidRDefault="00F954CD" w:rsidP="00F954CD">
      <w:pPr>
        <w:widowControl w:val="0"/>
        <w:autoSpaceDE w:val="0"/>
        <w:autoSpaceDN w:val="0"/>
        <w:adjustRightInd w:val="0"/>
        <w:ind w:left="2880" w:hanging="2880"/>
        <w:jc w:val="both"/>
      </w:pPr>
    </w:p>
    <w:p w14:paraId="650375AF" w14:textId="77777777" w:rsidR="00F954CD" w:rsidRPr="007E450A" w:rsidRDefault="00F954CD" w:rsidP="00F954CD">
      <w:pPr>
        <w:keepNext/>
        <w:ind w:left="3240" w:right="-180" w:hanging="3240"/>
        <w:outlineLvl w:val="1"/>
        <w:rPr>
          <w:bCs/>
        </w:rPr>
      </w:pPr>
      <w:r w:rsidRPr="007E450A">
        <w:rPr>
          <w:b/>
          <w:bCs/>
          <w:u w:val="single"/>
        </w:rPr>
        <w:t xml:space="preserve">Int. </w:t>
      </w:r>
      <w:r w:rsidRPr="00F954CD">
        <w:rPr>
          <w:b/>
          <w:bCs/>
          <w:u w:val="single"/>
        </w:rPr>
        <w:t xml:space="preserve">No. </w:t>
      </w:r>
      <w:r>
        <w:rPr>
          <w:b/>
          <w:color w:val="000000"/>
          <w:u w:val="single"/>
          <w:shd w:val="clear" w:color="auto" w:fill="FFFFFF"/>
        </w:rPr>
        <w:t>2222</w:t>
      </w:r>
      <w:r w:rsidRPr="00F954CD">
        <w:rPr>
          <w:b/>
          <w:bCs/>
          <w:u w:val="single"/>
        </w:rPr>
        <w:t>:</w:t>
      </w:r>
      <w:r w:rsidRPr="007E450A">
        <w:rPr>
          <w:bCs/>
        </w:rPr>
        <w:t xml:space="preserve"> </w:t>
      </w:r>
      <w:r w:rsidRPr="007E450A">
        <w:rPr>
          <w:bCs/>
        </w:rPr>
        <w:tab/>
        <w:t xml:space="preserve">By </w:t>
      </w:r>
      <w:r>
        <w:rPr>
          <w:color w:val="000000"/>
          <w:shd w:val="clear" w:color="auto" w:fill="FFFFFF"/>
        </w:rPr>
        <w:t>the Public Advocate (Mr. Williams), Council Members Cornegy, Rosenthal, Louis and Kallos</w:t>
      </w:r>
    </w:p>
    <w:p w14:paraId="50C6B5C1" w14:textId="77777777" w:rsidR="00F954CD" w:rsidRPr="007E450A" w:rsidRDefault="00F954CD" w:rsidP="00F954CD">
      <w:pPr>
        <w:ind w:left="3240" w:hanging="3240"/>
      </w:pPr>
    </w:p>
    <w:p w14:paraId="72379EA0" w14:textId="77777777" w:rsidR="00F954CD" w:rsidRDefault="00F954CD" w:rsidP="00F954CD">
      <w:pPr>
        <w:keepNext/>
        <w:ind w:left="3240" w:right="-180" w:hanging="3240"/>
        <w:outlineLvl w:val="1"/>
        <w:rPr>
          <w:shd w:val="clear" w:color="auto" w:fill="FFFFFF"/>
        </w:rPr>
      </w:pPr>
      <w:r w:rsidRPr="007E450A">
        <w:rPr>
          <w:b/>
          <w:bCs/>
          <w:u w:val="single"/>
        </w:rPr>
        <w:t>Title:</w:t>
      </w:r>
      <w:r w:rsidRPr="007E450A">
        <w:rPr>
          <w:bCs/>
        </w:rPr>
        <w:tab/>
      </w:r>
      <w:r w:rsidRPr="007E450A">
        <w:rPr>
          <w:shd w:val="clear" w:color="auto" w:fill="FFFFFF"/>
        </w:rPr>
        <w:t xml:space="preserve">A Local Law </w:t>
      </w:r>
      <w:r>
        <w:rPr>
          <w:color w:val="000000"/>
          <w:shd w:val="clear" w:color="auto" w:fill="FFFFFF"/>
        </w:rPr>
        <w:t>to amend the administrative code of the city of New York, in relation to creating a three-digit mental health emergency hotline</w:t>
      </w:r>
    </w:p>
    <w:p w14:paraId="5ACD6772" w14:textId="77777777" w:rsidR="00F954CD" w:rsidRPr="007E450A" w:rsidRDefault="00F954CD" w:rsidP="00F954CD">
      <w:pPr>
        <w:keepNext/>
        <w:ind w:left="3240" w:right="-180" w:hanging="3240"/>
        <w:outlineLvl w:val="1"/>
        <w:rPr>
          <w:shd w:val="clear" w:color="auto" w:fill="FFFFFF"/>
        </w:rPr>
      </w:pPr>
    </w:p>
    <w:p w14:paraId="15065C0E" w14:textId="77777777" w:rsidR="00F954CD" w:rsidRPr="007E450A" w:rsidRDefault="00F954CD" w:rsidP="00F954CD">
      <w:pPr>
        <w:keepNext/>
        <w:ind w:left="3240" w:right="-180" w:hanging="3240"/>
        <w:outlineLvl w:val="1"/>
        <w:rPr>
          <w:bCs/>
        </w:rPr>
      </w:pPr>
      <w:r w:rsidRPr="007E450A">
        <w:rPr>
          <w:b/>
          <w:bCs/>
          <w:u w:val="single"/>
        </w:rPr>
        <w:t>Administrative Code:</w:t>
      </w:r>
      <w:r w:rsidRPr="007E450A">
        <w:rPr>
          <w:b/>
          <w:bCs/>
        </w:rPr>
        <w:t xml:space="preserve"> </w:t>
      </w:r>
      <w:r w:rsidRPr="007E450A">
        <w:tab/>
      </w:r>
      <w:r w:rsidR="007A5123">
        <w:rPr>
          <w:spacing w:val="-3"/>
        </w:rPr>
        <w:t>Adds</w:t>
      </w:r>
      <w:r>
        <w:rPr>
          <w:shd w:val="clear" w:color="auto" w:fill="FFFFFF"/>
        </w:rPr>
        <w:t xml:space="preserve"> </w:t>
      </w:r>
      <w:r w:rsidR="007A5123">
        <w:rPr>
          <w:color w:val="000000"/>
          <w:shd w:val="clear" w:color="auto" w:fill="FFFFFF"/>
        </w:rPr>
        <w:t>section 17-2008 to chapter 20 of title 17</w:t>
      </w:r>
      <w:r w:rsidRPr="007E450A">
        <w:rPr>
          <w:shd w:val="clear" w:color="auto" w:fill="FFFFFF"/>
        </w:rPr>
        <w:t> </w:t>
      </w:r>
    </w:p>
    <w:p w14:paraId="30063E2F" w14:textId="77777777" w:rsidR="00F954CD" w:rsidRPr="007E450A" w:rsidRDefault="00F954CD" w:rsidP="00F954CD">
      <w:pPr>
        <w:widowControl w:val="0"/>
        <w:autoSpaceDE w:val="0"/>
        <w:autoSpaceDN w:val="0"/>
        <w:adjustRightInd w:val="0"/>
        <w:ind w:left="2880" w:hanging="2880"/>
        <w:jc w:val="both"/>
      </w:pPr>
    </w:p>
    <w:p w14:paraId="7A8C5448" w14:textId="77777777" w:rsidR="00F954CD" w:rsidRPr="007E450A" w:rsidRDefault="00F954CD" w:rsidP="00F954CD">
      <w:pPr>
        <w:widowControl w:val="0"/>
        <w:autoSpaceDE w:val="0"/>
        <w:autoSpaceDN w:val="0"/>
        <w:adjustRightInd w:val="0"/>
        <w:ind w:left="2880" w:hanging="2880"/>
        <w:jc w:val="both"/>
      </w:pPr>
    </w:p>
    <w:p w14:paraId="748A4BBC" w14:textId="77777777" w:rsidR="00F954CD" w:rsidRPr="007E450A" w:rsidRDefault="00F954CD" w:rsidP="00F954CD">
      <w:pPr>
        <w:widowControl w:val="0"/>
        <w:autoSpaceDE w:val="0"/>
        <w:autoSpaceDN w:val="0"/>
        <w:adjustRightInd w:val="0"/>
        <w:jc w:val="both"/>
        <w:rPr>
          <w:sz w:val="22"/>
          <w:szCs w:val="22"/>
          <w:shd w:val="clear" w:color="auto" w:fill="FFFFFF"/>
        </w:rPr>
      </w:pPr>
    </w:p>
    <w:p w14:paraId="7888559E" w14:textId="77777777" w:rsidR="00F954CD" w:rsidRPr="007E450A" w:rsidRDefault="00F954CD" w:rsidP="00F954CD">
      <w:pPr>
        <w:numPr>
          <w:ilvl w:val="0"/>
          <w:numId w:val="1"/>
        </w:numPr>
        <w:spacing w:line="480" w:lineRule="auto"/>
        <w:rPr>
          <w:b/>
        </w:rPr>
      </w:pPr>
      <w:r w:rsidRPr="007E450A">
        <w:rPr>
          <w:b/>
          <w:u w:val="single"/>
        </w:rPr>
        <w:br w:type="page"/>
      </w:r>
      <w:r w:rsidRPr="007E450A">
        <w:rPr>
          <w:b/>
        </w:rPr>
        <w:lastRenderedPageBreak/>
        <w:t>Introduction</w:t>
      </w:r>
    </w:p>
    <w:p w14:paraId="21498503" w14:textId="77777777" w:rsidR="00F954CD" w:rsidRPr="007E450A" w:rsidRDefault="00F954CD" w:rsidP="002C6F75">
      <w:pPr>
        <w:spacing w:line="480" w:lineRule="auto"/>
        <w:jc w:val="both"/>
        <w:rPr>
          <w:bCs/>
        </w:rPr>
      </w:pPr>
      <w:r w:rsidRPr="007E450A">
        <w:rPr>
          <w:bCs/>
        </w:rPr>
        <w:tab/>
      </w:r>
      <w:r w:rsidRPr="007E450A">
        <w:t xml:space="preserve">On </w:t>
      </w:r>
      <w:r w:rsidR="007A5123">
        <w:t>February 22, 2021</w:t>
      </w:r>
      <w:r w:rsidRPr="007E450A">
        <w:t>, the Committee on Mental Health, Disabilities, and Addiction</w:t>
      </w:r>
      <w:r w:rsidRPr="007E450A">
        <w:rPr>
          <w:bCs/>
        </w:rPr>
        <w:t>,</w:t>
      </w:r>
      <w:r w:rsidRPr="007E450A">
        <w:t xml:space="preserve"> chaired by Council Member </w:t>
      </w:r>
      <w:r w:rsidR="007A5123">
        <w:t>Farah Louis,</w:t>
      </w:r>
      <w:r w:rsidRPr="007E450A">
        <w:rPr>
          <w:bCs/>
        </w:rPr>
        <w:t xml:space="preserve"> </w:t>
      </w:r>
      <w:r w:rsidRPr="007E450A">
        <w:t>will hold a hearing entitled</w:t>
      </w:r>
      <w:r w:rsidRPr="007E450A">
        <w:rPr>
          <w:bCs/>
        </w:rPr>
        <w:t xml:space="preserve"> “</w:t>
      </w:r>
      <w:r w:rsidRPr="007E450A">
        <w:t>Overs</w:t>
      </w:r>
      <w:r w:rsidRPr="007A5123">
        <w:t xml:space="preserve">ight: </w:t>
      </w:r>
      <w:r w:rsidR="007A5123" w:rsidRPr="007A5123">
        <w:t>New York City’s Mental Health Emergency Response</w:t>
      </w:r>
      <w:r w:rsidRPr="007E450A">
        <w:t>.</w:t>
      </w:r>
      <w:r w:rsidRPr="007E450A">
        <w:rPr>
          <w:bCs/>
        </w:rPr>
        <w:t>”</w:t>
      </w:r>
      <w:r w:rsidRPr="007E450A" w:rsidDel="0099218E">
        <w:rPr>
          <w:bCs/>
        </w:rPr>
        <w:t xml:space="preserve"> </w:t>
      </w:r>
      <w:r w:rsidRPr="007E450A">
        <w:rPr>
          <w:bCs/>
        </w:rPr>
        <w:t>The Committee wi</w:t>
      </w:r>
      <w:r w:rsidR="007A5123">
        <w:rPr>
          <w:bCs/>
        </w:rPr>
        <w:t xml:space="preserve">ll hear Introduction Number 2210 (Int. </w:t>
      </w:r>
      <w:r w:rsidR="00506036">
        <w:rPr>
          <w:bCs/>
        </w:rPr>
        <w:t xml:space="preserve">No. </w:t>
      </w:r>
      <w:r w:rsidR="007A5123">
        <w:rPr>
          <w:bCs/>
        </w:rPr>
        <w:t>2210</w:t>
      </w:r>
      <w:r w:rsidRPr="007E450A">
        <w:rPr>
          <w:bCs/>
        </w:rPr>
        <w:t xml:space="preserve">), A </w:t>
      </w:r>
      <w:r w:rsidRPr="007E450A">
        <w:rPr>
          <w:shd w:val="clear" w:color="auto" w:fill="FFFFFF"/>
        </w:rPr>
        <w:t xml:space="preserve">local law </w:t>
      </w:r>
      <w:r w:rsidR="007A5123">
        <w:rPr>
          <w:color w:val="000000"/>
          <w:shd w:val="clear" w:color="auto" w:fill="FFFFFF"/>
        </w:rPr>
        <w:t>to amend the administrative code of the city of New York, in relation to creating an office of community mental health and a citywide mental health emergency response protocol</w:t>
      </w:r>
      <w:r>
        <w:rPr>
          <w:shd w:val="clear" w:color="auto" w:fill="FFFFFF"/>
        </w:rPr>
        <w:t xml:space="preserve">, </w:t>
      </w:r>
      <w:r w:rsidRPr="007E450A">
        <w:rPr>
          <w:bCs/>
        </w:rPr>
        <w:t>sponsored by Council Member Ayala</w:t>
      </w:r>
      <w:r w:rsidR="007A5123">
        <w:rPr>
          <w:shd w:val="clear" w:color="auto" w:fill="FFFFFF"/>
        </w:rPr>
        <w:t xml:space="preserve">, and Introduction Number 2222 (Int. </w:t>
      </w:r>
      <w:r w:rsidR="00506036">
        <w:rPr>
          <w:shd w:val="clear" w:color="auto" w:fill="FFFFFF"/>
        </w:rPr>
        <w:t xml:space="preserve">No. </w:t>
      </w:r>
      <w:r w:rsidR="007A5123">
        <w:rPr>
          <w:shd w:val="clear" w:color="auto" w:fill="FFFFFF"/>
        </w:rPr>
        <w:t xml:space="preserve">2222), </w:t>
      </w:r>
      <w:r w:rsidR="007A5123">
        <w:rPr>
          <w:color w:val="000000"/>
          <w:shd w:val="clear" w:color="auto" w:fill="FFFFFF"/>
        </w:rPr>
        <w:t>A Local Law to amend the administrative code of the city of New York, in relation to creating a three-digit mental health emergency hotline, sponsored by Public Advocate Jumaane Williams.</w:t>
      </w:r>
      <w:r w:rsidRPr="007E450A">
        <w:rPr>
          <w:bCs/>
        </w:rPr>
        <w:t xml:space="preserve"> </w:t>
      </w:r>
      <w:r w:rsidRPr="007E450A">
        <w:t>Among those invited to testify are representatives from the New York City Department of Health and Mental Hygiene (DOHMH), and other interested parties.</w:t>
      </w:r>
      <w:r w:rsidRPr="007E450A">
        <w:rPr>
          <w:bCs/>
        </w:rPr>
        <w:t xml:space="preserve"> </w:t>
      </w:r>
    </w:p>
    <w:p w14:paraId="1C808C40" w14:textId="77777777" w:rsidR="007A5123" w:rsidRPr="00506036" w:rsidRDefault="00F954CD" w:rsidP="002C6F75">
      <w:pPr>
        <w:numPr>
          <w:ilvl w:val="0"/>
          <w:numId w:val="1"/>
        </w:numPr>
        <w:spacing w:line="480" w:lineRule="auto"/>
        <w:jc w:val="both"/>
        <w:rPr>
          <w:b/>
        </w:rPr>
      </w:pPr>
      <w:r w:rsidRPr="007E450A">
        <w:rPr>
          <w:b/>
        </w:rPr>
        <w:t>Background</w:t>
      </w:r>
    </w:p>
    <w:p w14:paraId="0A9123A8" w14:textId="77777777" w:rsidR="00506036" w:rsidRPr="002C6F75" w:rsidRDefault="00506036" w:rsidP="002C6F75">
      <w:pPr>
        <w:pStyle w:val="ListParagraph"/>
        <w:numPr>
          <w:ilvl w:val="3"/>
          <w:numId w:val="1"/>
        </w:numPr>
        <w:spacing w:line="480" w:lineRule="auto"/>
        <w:ind w:left="720"/>
        <w:jc w:val="both"/>
        <w:rPr>
          <w:bCs/>
          <w:i/>
        </w:rPr>
      </w:pPr>
      <w:r w:rsidRPr="00EE4F9A">
        <w:rPr>
          <w:bCs/>
          <w:i/>
        </w:rPr>
        <w:t>Mental Health Emergencies/Crises</w:t>
      </w:r>
    </w:p>
    <w:p w14:paraId="7D11A48B" w14:textId="77777777" w:rsidR="00506036" w:rsidRDefault="00506036" w:rsidP="002C6F75">
      <w:pPr>
        <w:spacing w:line="480" w:lineRule="auto"/>
        <w:ind w:firstLine="720"/>
        <w:jc w:val="both"/>
      </w:pPr>
      <w:r>
        <w:t>According to the National Alliance on Mental Illness (NAMI)</w:t>
      </w:r>
      <w:r w:rsidR="00DC6307">
        <w:t xml:space="preserve">, </w:t>
      </w:r>
      <w:r>
        <w:t>a</w:t>
      </w:r>
      <w:r w:rsidRPr="00E91DDB">
        <w:t xml:space="preserve"> mental health crisis is </w:t>
      </w:r>
      <w:r w:rsidR="00DC6307">
        <w:t>“</w:t>
      </w:r>
      <w:r w:rsidRPr="00E91DDB">
        <w:t>any situation in which a person’s behavior puts them at risk of hurting themselves or others and/or prevents them from being able to care for themselves or function effectively in the community.</w:t>
      </w:r>
      <w:r>
        <w:t>”</w:t>
      </w:r>
      <w:r>
        <w:rPr>
          <w:rStyle w:val="FootnoteReference"/>
        </w:rPr>
        <w:footnoteReference w:id="1"/>
      </w:r>
      <w:r>
        <w:t xml:space="preserve"> Because mental illness is a brain disorder, and by its nature unpredictable, m</w:t>
      </w:r>
      <w:r w:rsidRPr="00E91DDB">
        <w:t>any things can lead to a mental health crisis.</w:t>
      </w:r>
      <w:r>
        <w:rPr>
          <w:rStyle w:val="FootnoteReference"/>
        </w:rPr>
        <w:footnoteReference w:id="2"/>
      </w:r>
      <w:r>
        <w:t xml:space="preserve"> Contributing factors</w:t>
      </w:r>
      <w:r w:rsidRPr="00E91DDB">
        <w:t xml:space="preserve"> to a </w:t>
      </w:r>
      <w:r>
        <w:t xml:space="preserve">mental health </w:t>
      </w:r>
      <w:r w:rsidRPr="00E91DDB">
        <w:t xml:space="preserve">crisis </w:t>
      </w:r>
      <w:r>
        <w:t>may range from internal stressors such undiagnosed</w:t>
      </w:r>
      <w:r w:rsidR="00DC6307">
        <w:t>,</w:t>
      </w:r>
      <w:r>
        <w:t xml:space="preserve"> and therefore untreated</w:t>
      </w:r>
      <w:r w:rsidR="00DC6307">
        <w:t>,</w:t>
      </w:r>
      <w:r>
        <w:t xml:space="preserve"> mental health disorders that require medical stabilization, to external and environmental stressors such as changes in home, school or work life, or personal loss or trauma and exposure to violence.</w:t>
      </w:r>
      <w:r>
        <w:rPr>
          <w:rStyle w:val="FootnoteReference"/>
        </w:rPr>
        <w:footnoteReference w:id="3"/>
      </w:r>
      <w:r>
        <w:t xml:space="preserve">  </w:t>
      </w:r>
    </w:p>
    <w:p w14:paraId="28E25166" w14:textId="77777777" w:rsidR="00506036" w:rsidRDefault="00506036" w:rsidP="002C6F75">
      <w:pPr>
        <w:spacing w:line="480" w:lineRule="auto"/>
        <w:ind w:firstLine="720"/>
        <w:jc w:val="both"/>
      </w:pPr>
      <w:r>
        <w:t>Untreated mental illnesses can disrupt a person’s mood and affect their ability to think rationally.</w:t>
      </w:r>
      <w:r>
        <w:rPr>
          <w:rStyle w:val="FootnoteReference"/>
        </w:rPr>
        <w:footnoteReference w:id="4"/>
      </w:r>
      <w:r>
        <w:t xml:space="preserve"> Behavioral changes may range from</w:t>
      </w:r>
      <w:r w:rsidR="00DC6307">
        <w:t xml:space="preserve"> social isolation to</w:t>
      </w:r>
      <w:r>
        <w:t xml:space="preserve"> hyperactivity, </w:t>
      </w:r>
      <w:r w:rsidR="00DC6307">
        <w:t>indifference to</w:t>
      </w:r>
      <w:r>
        <w:t xml:space="preserve"> hostility, </w:t>
      </w:r>
      <w:r w:rsidR="00DC6307">
        <w:t>to</w:t>
      </w:r>
      <w:r>
        <w:t xml:space="preserve"> thought disturbances including difficulties in concentration or excessive fear and suspicion, all of which may result in the increased inability to cope with the stressors of daily life.</w:t>
      </w:r>
      <w:r>
        <w:rPr>
          <w:rStyle w:val="FootnoteReference"/>
        </w:rPr>
        <w:footnoteReference w:id="5"/>
      </w:r>
      <w:r w:rsidR="00DC6307">
        <w:t xml:space="preserve"> </w:t>
      </w:r>
      <w:r>
        <w:t xml:space="preserve">Warning signs of a mental health crisis may include rapid mood swings and dramatic personality shifts ranging from sudden withdrawal and depression, to verbal threats or violent outbursts, or abusive behaviors to </w:t>
      </w:r>
      <w:r w:rsidR="00EE4F9A">
        <w:t>one</w:t>
      </w:r>
      <w:r>
        <w:t>self or others, and overwhelming feelings of emotional pain, including powerlessness, frustration, guilt, shame, and rage.</w:t>
      </w:r>
      <w:r>
        <w:rPr>
          <w:rStyle w:val="FootnoteReference"/>
        </w:rPr>
        <w:footnoteReference w:id="6"/>
      </w:r>
    </w:p>
    <w:p w14:paraId="0D5974EC" w14:textId="77777777" w:rsidR="00506036" w:rsidRDefault="00506036" w:rsidP="002C6F75">
      <w:pPr>
        <w:spacing w:line="480" w:lineRule="auto"/>
        <w:ind w:firstLine="720"/>
        <w:jc w:val="both"/>
      </w:pPr>
      <w:r>
        <w:t>The impact of the current COVID-19 pandemic on the mental health and well-being of in</w:t>
      </w:r>
      <w:r w:rsidR="00EE4F9A">
        <w:t>dividuals cannot be overstated.</w:t>
      </w:r>
      <w:r>
        <w:t xml:space="preserve"> According to the New York State Health Foundation’s February 2021 report, “one third of all adult New Yorkers reported symptoms of anxiety and/or depression” at a rate more than triple what was previously self-reported during pre-pandemic periods.”</w:t>
      </w:r>
      <w:r>
        <w:rPr>
          <w:rStyle w:val="FootnoteReference"/>
        </w:rPr>
        <w:footnoteReference w:id="7"/>
      </w:r>
      <w:r>
        <w:t xml:space="preserve"> Additionally, “the proportion of New Yorkers reporting poor mental health has remained high throughout the pandemic, reaching 37 percent of adult New Yorkers in October 2020.”</w:t>
      </w:r>
      <w:r>
        <w:rPr>
          <w:rStyle w:val="FootnoteReference"/>
        </w:rPr>
        <w:footnoteReference w:id="8"/>
      </w:r>
      <w:r w:rsidR="00EE4F9A">
        <w:t xml:space="preserve"> </w:t>
      </w:r>
      <w:r>
        <w:t>While experiencing fear, worry</w:t>
      </w:r>
      <w:r w:rsidR="00EE4F9A">
        <w:t>,</w:t>
      </w:r>
      <w:r>
        <w:t xml:space="preserve"> and stress during a national disaster is not an uncommon response, for those already at increased risk, COVID has served to “worsen emotional wellbeing” and “put people at increased risk for clinical-level disorders such as major depressive disorder, generalized anxiety disorder and substance use disorders.”</w:t>
      </w:r>
      <w:r>
        <w:rPr>
          <w:rStyle w:val="FootnoteReference"/>
        </w:rPr>
        <w:footnoteReference w:id="9"/>
      </w:r>
      <w:r w:rsidR="00EE4F9A">
        <w:t xml:space="preserve"> </w:t>
      </w:r>
      <w:r>
        <w:t>Major societal disruptions to daily routines have resulted in “uncertainty about the future” and coupled with the isolation from family and friends, has served to exacerbate mental health stressors.</w:t>
      </w:r>
      <w:r>
        <w:rPr>
          <w:rStyle w:val="FootnoteReference"/>
        </w:rPr>
        <w:footnoteReference w:id="10"/>
      </w:r>
      <w:r>
        <w:t xml:space="preserve"> Additionally, “exposure to interpersonal violence and abuse while sheltering with others” and the “increased stress of working remotely,” especially in households with children who are home from school, have led to “increased stress and fatigue” and for some, using “substances as coping mechanisms for pandemic related stressors.”</w:t>
      </w:r>
      <w:r>
        <w:rPr>
          <w:rStyle w:val="FootnoteReference"/>
        </w:rPr>
        <w:footnoteReference w:id="11"/>
      </w:r>
      <w:r>
        <w:t xml:space="preserve"> </w:t>
      </w:r>
    </w:p>
    <w:p w14:paraId="3BE7446C" w14:textId="77777777" w:rsidR="00506036" w:rsidRPr="00EE4F9A" w:rsidRDefault="00506036" w:rsidP="002C6F75">
      <w:pPr>
        <w:spacing w:line="480" w:lineRule="auto"/>
        <w:ind w:firstLine="720"/>
        <w:jc w:val="both"/>
        <w:rPr>
          <w:i/>
        </w:rPr>
      </w:pPr>
      <w:r>
        <w:t>While mental health crises can arise quickly and be difficult to predict, appropriate and effective therapeutic interventions can significantly help to mitigate danger, interrupt negative symptomology</w:t>
      </w:r>
      <w:r w:rsidR="00EE4F9A">
        <w:t>,</w:t>
      </w:r>
      <w:r>
        <w:t xml:space="preserve"> and move individuals away from crisis towards a pathway of biopsychosocial recovery.</w:t>
      </w:r>
      <w:r>
        <w:rPr>
          <w:rStyle w:val="FootnoteReference"/>
        </w:rPr>
        <w:footnoteReference w:id="12"/>
      </w:r>
    </w:p>
    <w:p w14:paraId="3238B009" w14:textId="77777777" w:rsidR="00EE4F9A" w:rsidRPr="00EE4F9A" w:rsidRDefault="00EE4F9A" w:rsidP="002C6F75">
      <w:pPr>
        <w:pStyle w:val="ListParagraph"/>
        <w:numPr>
          <w:ilvl w:val="0"/>
          <w:numId w:val="7"/>
        </w:numPr>
        <w:spacing w:line="480" w:lineRule="auto"/>
        <w:jc w:val="both"/>
        <w:rPr>
          <w:i/>
        </w:rPr>
      </w:pPr>
      <w:r w:rsidRPr="00EE4F9A">
        <w:rPr>
          <w:i/>
        </w:rPr>
        <w:t>Current Mental Health Emergency Response in New York City</w:t>
      </w:r>
    </w:p>
    <w:p w14:paraId="43C62A14" w14:textId="77777777" w:rsidR="00EE4F9A" w:rsidRDefault="00EE4F9A" w:rsidP="002C6F75">
      <w:pPr>
        <w:spacing w:line="480" w:lineRule="auto"/>
        <w:ind w:firstLine="720"/>
        <w:jc w:val="both"/>
      </w:pPr>
      <w:r>
        <w:t>Currently</w:t>
      </w:r>
      <w:r w:rsidRPr="00C03CC1">
        <w:t xml:space="preserve">, </w:t>
      </w:r>
      <w:r w:rsidR="002C6F75">
        <w:t>the New York City Police Department (</w:t>
      </w:r>
      <w:r w:rsidRPr="00C03CC1">
        <w:t>NYPD</w:t>
      </w:r>
      <w:r w:rsidR="002C6F75">
        <w:t>)</w:t>
      </w:r>
      <w:r w:rsidRPr="00C03CC1">
        <w:t xml:space="preserve"> officers and </w:t>
      </w:r>
      <w:r w:rsidR="002C6F75">
        <w:t>the Fire Department of New York (</w:t>
      </w:r>
      <w:r w:rsidRPr="00C03CC1">
        <w:t>FDNY</w:t>
      </w:r>
      <w:r w:rsidR="002C6F75">
        <w:t>)</w:t>
      </w:r>
      <w:r w:rsidRPr="00C03CC1">
        <w:t xml:space="preserve"> Emergency Medical Technicians (EMTs) respond to nearly all mental health 911 calls, regardless of the severity of health needs, whether a crime is involved, or whether there is an imminent risk of violence.</w:t>
      </w:r>
      <w:bookmarkStart w:id="1" w:name="_Ref64473087"/>
      <w:r>
        <w:rPr>
          <w:rStyle w:val="FootnoteReference"/>
        </w:rPr>
        <w:footnoteReference w:id="13"/>
      </w:r>
      <w:bookmarkEnd w:id="1"/>
      <w:r>
        <w:t xml:space="preserve"> However, New York City does have other initiatives and programs geared</w:t>
      </w:r>
      <w:r w:rsidR="002C6F75">
        <w:t xml:space="preserve"> specifically</w:t>
      </w:r>
      <w:r>
        <w:t xml:space="preserve"> towards responding to mental health crises, which are discussed below.</w:t>
      </w:r>
    </w:p>
    <w:p w14:paraId="24490ED2" w14:textId="77777777" w:rsidR="00EE4F9A" w:rsidRPr="000A0549" w:rsidRDefault="00EE4F9A" w:rsidP="002C6F75">
      <w:pPr>
        <w:pStyle w:val="ListParagraph"/>
        <w:numPr>
          <w:ilvl w:val="0"/>
          <w:numId w:val="5"/>
        </w:numPr>
        <w:spacing w:line="480" w:lineRule="auto"/>
        <w:jc w:val="both"/>
        <w:rPr>
          <w:i/>
          <w:iCs/>
        </w:rPr>
      </w:pPr>
      <w:r>
        <w:rPr>
          <w:i/>
          <w:iCs/>
        </w:rPr>
        <w:t>ThriveNYC</w:t>
      </w:r>
    </w:p>
    <w:p w14:paraId="21CA41B1" w14:textId="77777777" w:rsidR="00EE4F9A" w:rsidRPr="00364335" w:rsidRDefault="00EE4F9A" w:rsidP="002C6F75">
      <w:pPr>
        <w:spacing w:line="480" w:lineRule="auto"/>
        <w:ind w:firstLine="720"/>
        <w:jc w:val="both"/>
      </w:pPr>
      <w:r>
        <w:t>I</w:t>
      </w:r>
      <w:r w:rsidRPr="00357328">
        <w:t>n 2015</w:t>
      </w:r>
      <w:r>
        <w:t xml:space="preserve">, </w:t>
      </w:r>
      <w:r w:rsidRPr="00357328">
        <w:t>First Lady Chirlane McCray and Mayor Bill de Blasio launched ThriveNYC</w:t>
      </w:r>
      <w:r>
        <w:t xml:space="preserve">, which focuses on </w:t>
      </w:r>
      <w:r w:rsidRPr="00364335">
        <w:t>ensuri</w:t>
      </w:r>
      <w:r>
        <w:t>ng</w:t>
      </w:r>
      <w:r w:rsidRPr="00364335">
        <w:t xml:space="preserve"> that every New Yorker has access to mental health support</w:t>
      </w:r>
      <w:r>
        <w:t>.</w:t>
      </w:r>
      <w:r w:rsidRPr="000A0549">
        <w:rPr>
          <w:rStyle w:val="FootnoteReference"/>
        </w:rPr>
        <w:t xml:space="preserve"> </w:t>
      </w:r>
      <w:bookmarkStart w:id="2" w:name="_Ref64472470"/>
      <w:r>
        <w:rPr>
          <w:rStyle w:val="FootnoteReference"/>
        </w:rPr>
        <w:footnoteReference w:id="14"/>
      </w:r>
      <w:bookmarkEnd w:id="2"/>
      <w:r>
        <w:t xml:space="preserve"> </w:t>
      </w:r>
      <w:r w:rsidRPr="000A0549">
        <w:t>In 2019, Mayor de Blasio officially established the Mayor’s Office of ThriveNYC to coordinate ThriveNYC programs, track progress</w:t>
      </w:r>
      <w:r>
        <w:t>,</w:t>
      </w:r>
      <w:r w:rsidRPr="000A0549">
        <w:t xml:space="preserve"> and support City agencies as they incorporate promoting mental health into their service to New Yorkers.</w:t>
      </w:r>
      <w:bookmarkStart w:id="3" w:name="_Ref64474408"/>
      <w:r>
        <w:rPr>
          <w:rStyle w:val="FootnoteReference"/>
        </w:rPr>
        <w:footnoteReference w:id="15"/>
      </w:r>
      <w:bookmarkEnd w:id="3"/>
      <w:r>
        <w:t xml:space="preserve"> In partnership </w:t>
      </w:r>
      <w:r w:rsidRPr="00364335">
        <w:t xml:space="preserve">with 12 city agencies and </w:t>
      </w:r>
      <w:r>
        <w:t>about</w:t>
      </w:r>
      <w:r w:rsidRPr="00364335">
        <w:t xml:space="preserve"> 200 non-profits</w:t>
      </w:r>
      <w:r>
        <w:t>,</w:t>
      </w:r>
      <w:r>
        <w:rPr>
          <w:rStyle w:val="FootnoteReference"/>
        </w:rPr>
        <w:footnoteReference w:id="16"/>
      </w:r>
      <w:r>
        <w:t xml:space="preserve"> </w:t>
      </w:r>
      <w:r w:rsidRPr="00364335">
        <w:t xml:space="preserve">ThriveNYC </w:t>
      </w:r>
      <w:r>
        <w:t>has implemented</w:t>
      </w:r>
      <w:r w:rsidRPr="00364335">
        <w:t xml:space="preserve"> </w:t>
      </w:r>
      <w:r>
        <w:t>several</w:t>
      </w:r>
      <w:r w:rsidRPr="00364335">
        <w:t xml:space="preserve"> in</w:t>
      </w:r>
      <w:r>
        <w:t xml:space="preserve">itiatives to </w:t>
      </w:r>
      <w:r w:rsidRPr="00364335">
        <w:t>provid</w:t>
      </w:r>
      <w:r>
        <w:t>e</w:t>
      </w:r>
      <w:r w:rsidRPr="00364335">
        <w:t xml:space="preserve"> new services to vulnerable populations</w:t>
      </w:r>
      <w:r>
        <w:t>,</w:t>
      </w:r>
      <w:r w:rsidRPr="00364335">
        <w:t xml:space="preserve"> strengthen crisis prevention and response</w:t>
      </w:r>
      <w:r>
        <w:t xml:space="preserve">, </w:t>
      </w:r>
      <w:r w:rsidRPr="00364335">
        <w:t>interven</w:t>
      </w:r>
      <w:r>
        <w:t>e</w:t>
      </w:r>
      <w:r w:rsidRPr="00364335">
        <w:t xml:space="preserve"> early</w:t>
      </w:r>
      <w:r>
        <w:t>,</w:t>
      </w:r>
      <w:r w:rsidRPr="00364335">
        <w:t xml:space="preserve"> and </w:t>
      </w:r>
      <w:r>
        <w:t xml:space="preserve">further </w:t>
      </w:r>
      <w:r w:rsidRPr="00364335">
        <w:t>develop the mental health workforce</w:t>
      </w:r>
      <w:r>
        <w:t>.</w:t>
      </w:r>
      <w:r>
        <w:rPr>
          <w:rStyle w:val="FootnoteReference"/>
        </w:rPr>
        <w:footnoteReference w:id="17"/>
      </w:r>
      <w:r>
        <w:t xml:space="preserve"> </w:t>
      </w:r>
      <w:r w:rsidRPr="00364335">
        <w:t>ThriveNYC</w:t>
      </w:r>
      <w:r>
        <w:t xml:space="preserve"> initiatives and programs dedicated to responding to mental health crises include Crisis Interventions Training, Co-Response Teams, Intensive Mobile Treatment Teams, NYC WELL, and Mobile Crisis Teams.</w:t>
      </w:r>
      <w:r>
        <w:rPr>
          <w:rStyle w:val="FootnoteReference"/>
        </w:rPr>
        <w:footnoteReference w:id="18"/>
      </w:r>
    </w:p>
    <w:p w14:paraId="6746EE01" w14:textId="77777777" w:rsidR="00EE4F9A" w:rsidRDefault="00EE4F9A" w:rsidP="002C6F75">
      <w:pPr>
        <w:pStyle w:val="ListParagraph"/>
        <w:numPr>
          <w:ilvl w:val="2"/>
          <w:numId w:val="6"/>
        </w:numPr>
        <w:spacing w:line="480" w:lineRule="auto"/>
        <w:jc w:val="both"/>
        <w:rPr>
          <w:i/>
          <w:iCs/>
        </w:rPr>
      </w:pPr>
      <w:r>
        <w:rPr>
          <w:i/>
          <w:iCs/>
        </w:rPr>
        <w:t>Crisis Intervention Training</w:t>
      </w:r>
    </w:p>
    <w:p w14:paraId="272579E0" w14:textId="606F2673" w:rsidR="00EE4F9A" w:rsidRPr="000D17FA" w:rsidRDefault="00EE4F9A" w:rsidP="002C6F75">
      <w:pPr>
        <w:spacing w:line="480" w:lineRule="auto"/>
        <w:ind w:firstLine="720"/>
        <w:jc w:val="both"/>
      </w:pPr>
      <w:r>
        <w:t>In 2015,</w:t>
      </w:r>
      <w:r w:rsidRPr="00E927B5">
        <w:t xml:space="preserve"> </w:t>
      </w:r>
      <w:r>
        <w:t>ThriveNYC partnering with NYPD</w:t>
      </w:r>
      <w:bookmarkStart w:id="4" w:name="_Ref64472841"/>
      <w:r w:rsidR="002C6F75">
        <w:t>,</w:t>
      </w:r>
      <w:r>
        <w:rPr>
          <w:rStyle w:val="FootnoteReference"/>
        </w:rPr>
        <w:footnoteReference w:id="19"/>
      </w:r>
      <w:bookmarkEnd w:id="4"/>
      <w:r>
        <w:t xml:space="preserve"> implemented C</w:t>
      </w:r>
      <w:r w:rsidRPr="00E927B5">
        <w:t xml:space="preserve">risis </w:t>
      </w:r>
      <w:r>
        <w:t>I</w:t>
      </w:r>
      <w:r w:rsidRPr="00E927B5">
        <w:t xml:space="preserve">ntervention </w:t>
      </w:r>
      <w:r>
        <w:t>T</w:t>
      </w:r>
      <w:r w:rsidRPr="00E927B5">
        <w:t>raining</w:t>
      </w:r>
      <w:r>
        <w:t xml:space="preserve"> (CIT). </w:t>
      </w:r>
      <w:r w:rsidRPr="00A33343">
        <w:t>Taught by Police Academy instructors and mental health experts, Crisis Intervention Training helps NYPD officers better recognize and respond to the behaviors and symptoms of emotional distress and mental illness.</w:t>
      </w:r>
      <w:r>
        <w:rPr>
          <w:rStyle w:val="FootnoteReference"/>
        </w:rPr>
        <w:footnoteReference w:id="20"/>
      </w:r>
      <w:r>
        <w:t xml:space="preserve"> </w:t>
      </w:r>
      <w:r w:rsidRPr="00A33343">
        <w:t>The four-day training aims to increase officers’ skills in de-escalation of crises</w:t>
      </w:r>
      <w:r>
        <w:rPr>
          <w:rStyle w:val="FootnoteReference"/>
        </w:rPr>
        <w:footnoteReference w:id="21"/>
      </w:r>
      <w:r w:rsidRPr="00A33343">
        <w:t xml:space="preserve"> and improve the safety of both the officer and the individuals encountered.</w:t>
      </w:r>
      <w:r>
        <w:rPr>
          <w:rStyle w:val="FootnoteReference"/>
        </w:rPr>
        <w:footnoteReference w:id="22"/>
      </w:r>
      <w:r w:rsidR="002C6F75">
        <w:t xml:space="preserve"> </w:t>
      </w:r>
      <w:r w:rsidRPr="00A33343">
        <w:t>The training includes role-playing, lectures, and conversations with individuals with mental illness who have had both positive and negative encounters with the police.</w:t>
      </w:r>
      <w:r>
        <w:rPr>
          <w:rStyle w:val="FootnoteReference"/>
        </w:rPr>
        <w:footnoteReference w:id="23"/>
      </w:r>
      <w:r w:rsidRPr="00A33343">
        <w:t xml:space="preserve"> </w:t>
      </w:r>
      <w:r w:rsidRPr="00C03CC1">
        <w:t>Over 65</w:t>
      </w:r>
      <w:r w:rsidR="00C70F0A">
        <w:t xml:space="preserve"> percent</w:t>
      </w:r>
      <w:r w:rsidRPr="00C03CC1">
        <w:t> of all operational staff in NYPD patrol precincts across the City have now been trained in Crisis Intervention Team training</w:t>
      </w:r>
      <w:r>
        <w:t>.</w:t>
      </w:r>
      <w:r>
        <w:rPr>
          <w:rStyle w:val="FootnoteReference"/>
        </w:rPr>
        <w:footnoteReference w:id="24"/>
      </w:r>
    </w:p>
    <w:p w14:paraId="63C15439" w14:textId="77777777" w:rsidR="00EE4F9A" w:rsidRDefault="00EE4F9A" w:rsidP="002C6F75">
      <w:pPr>
        <w:pStyle w:val="ListParagraph"/>
        <w:numPr>
          <w:ilvl w:val="2"/>
          <w:numId w:val="6"/>
        </w:numPr>
        <w:spacing w:line="480" w:lineRule="auto"/>
        <w:jc w:val="both"/>
        <w:rPr>
          <w:i/>
          <w:iCs/>
        </w:rPr>
      </w:pPr>
      <w:r>
        <w:rPr>
          <w:i/>
          <w:iCs/>
        </w:rPr>
        <w:t>Co-Response Teams</w:t>
      </w:r>
    </w:p>
    <w:p w14:paraId="0AC90459" w14:textId="77777777" w:rsidR="00EE4F9A" w:rsidRDefault="00EE4F9A" w:rsidP="002C6F75">
      <w:pPr>
        <w:spacing w:line="480" w:lineRule="auto"/>
        <w:jc w:val="both"/>
      </w:pPr>
      <w:r>
        <w:tab/>
      </w:r>
      <w:r w:rsidRPr="0038115C">
        <w:t>Co-Response Teams (CRT)</w:t>
      </w:r>
      <w:r>
        <w:t xml:space="preserve">, a </w:t>
      </w:r>
      <w:r w:rsidRPr="0038115C">
        <w:t>collaboration between NYPD</w:t>
      </w:r>
      <w:r>
        <w:t xml:space="preserve">, </w:t>
      </w:r>
      <w:r w:rsidR="002C6F75">
        <w:t>DOHMH</w:t>
      </w:r>
      <w:r w:rsidRPr="00926E92">
        <w:t>, and ThriveNYC</w:t>
      </w:r>
      <w:r>
        <w:t>,</w:t>
      </w:r>
      <w:r>
        <w:rPr>
          <w:rStyle w:val="FootnoteReference"/>
        </w:rPr>
        <w:footnoteReference w:id="25"/>
      </w:r>
      <w:r w:rsidRPr="0038115C">
        <w:t xml:space="preserve"> is a pre- and post-crisis intervention</w:t>
      </w:r>
      <w:r w:rsidR="002C6F75">
        <w:t xml:space="preserve"> initiative</w:t>
      </w:r>
      <w:r w:rsidRPr="0038115C">
        <w:t>.</w:t>
      </w:r>
      <w:bookmarkStart w:id="5" w:name="_Ref64473295"/>
      <w:r>
        <w:rPr>
          <w:rStyle w:val="FootnoteReference"/>
        </w:rPr>
        <w:footnoteReference w:id="26"/>
      </w:r>
      <w:bookmarkEnd w:id="5"/>
      <w:r w:rsidRPr="0038115C">
        <w:t xml:space="preserve"> Co</w:t>
      </w:r>
      <w:r>
        <w:t>-</w:t>
      </w:r>
      <w:r w:rsidRPr="0038115C">
        <w:t xml:space="preserve">Response Teams </w:t>
      </w:r>
      <w:r>
        <w:t>consist of</w:t>
      </w:r>
      <w:r w:rsidRPr="0038115C">
        <w:t xml:space="preserve"> two police officers</w:t>
      </w:r>
      <w:r>
        <w:t>, who have received Crisis Intervention Team training,</w:t>
      </w:r>
      <w:r>
        <w:rPr>
          <w:rStyle w:val="FootnoteReference"/>
        </w:rPr>
        <w:footnoteReference w:id="27"/>
      </w:r>
      <w:r w:rsidRPr="0038115C">
        <w:t xml:space="preserve"> and one behavioral health professional.</w:t>
      </w:r>
      <w:r>
        <w:rPr>
          <w:rStyle w:val="FootnoteReference"/>
        </w:rPr>
        <w:footnoteReference w:id="28"/>
      </w:r>
      <w:r w:rsidRPr="0038115C">
        <w:t xml:space="preserve"> These teams work 16 hours per day, 7 days per week, to serve community members presenting with mental health or substance use challenges</w:t>
      </w:r>
      <w:r>
        <w:t>,</w:t>
      </w:r>
      <w:r w:rsidRPr="0038115C">
        <w:t xml:space="preserve"> who are at an elevated risk of harm to themselves or others.</w:t>
      </w:r>
      <w:r>
        <w:rPr>
          <w:rStyle w:val="FootnoteReference"/>
        </w:rPr>
        <w:footnoteReference w:id="29"/>
      </w:r>
      <w:r w:rsidRPr="0038115C">
        <w:t xml:space="preserve"> </w:t>
      </w:r>
      <w:r>
        <w:t>These teams work to connect people to treatment and social service support</w:t>
      </w:r>
      <w:r>
        <w:rPr>
          <w:rStyle w:val="FootnoteReference"/>
        </w:rPr>
        <w:footnoteReference w:id="30"/>
      </w:r>
      <w:r>
        <w:t xml:space="preserve"> and</w:t>
      </w:r>
      <w:r w:rsidRPr="0038115C">
        <w:t xml:space="preserve"> </w:t>
      </w:r>
      <w:r>
        <w:t>serve as a resource for police officers in the field who encounter persons exhibiting signs of mental illness.</w:t>
      </w:r>
      <w:r>
        <w:rPr>
          <w:rStyle w:val="FootnoteReference"/>
        </w:rPr>
        <w:footnoteReference w:id="31"/>
      </w:r>
    </w:p>
    <w:p w14:paraId="5CB8848D" w14:textId="77777777" w:rsidR="00EE4F9A" w:rsidRDefault="00EE4F9A" w:rsidP="002C6F75">
      <w:pPr>
        <w:pStyle w:val="ListParagraph"/>
        <w:numPr>
          <w:ilvl w:val="2"/>
          <w:numId w:val="6"/>
        </w:numPr>
        <w:spacing w:line="480" w:lineRule="auto"/>
        <w:jc w:val="both"/>
        <w:rPr>
          <w:i/>
          <w:iCs/>
        </w:rPr>
      </w:pPr>
      <w:r>
        <w:rPr>
          <w:i/>
          <w:iCs/>
        </w:rPr>
        <w:t>Intensive Mobile Treatment Teams</w:t>
      </w:r>
    </w:p>
    <w:p w14:paraId="2DC1F43C" w14:textId="1B5403B0" w:rsidR="00EE4F9A" w:rsidRPr="005A6782" w:rsidRDefault="00EE4F9A" w:rsidP="0064405E">
      <w:pPr>
        <w:spacing w:line="480" w:lineRule="auto"/>
        <w:ind w:firstLine="720"/>
        <w:jc w:val="both"/>
      </w:pPr>
      <w:r>
        <w:rPr>
          <w:shd w:val="clear" w:color="auto" w:fill="FFFFFF"/>
        </w:rPr>
        <w:t>I</w:t>
      </w:r>
      <w:r w:rsidRPr="00A02274">
        <w:rPr>
          <w:shd w:val="clear" w:color="auto" w:fill="FFFFFF"/>
        </w:rPr>
        <w:t>ntensive Mobile Treatment (IMT) teams provide intensive and continuous support and treatment to individuals right in their communities, where and when they need it.</w:t>
      </w:r>
      <w:r>
        <w:rPr>
          <w:rStyle w:val="FootnoteReference"/>
          <w:shd w:val="clear" w:color="auto" w:fill="FFFFFF"/>
        </w:rPr>
        <w:footnoteReference w:id="32"/>
      </w:r>
      <w:r>
        <w:t xml:space="preserve"> Full-service mental health treatment teams include psychiatrists, social workers, case managers, nurses, and peer specialists.</w:t>
      </w:r>
      <w:r>
        <w:rPr>
          <w:rStyle w:val="FootnoteReference"/>
        </w:rPr>
        <w:footnoteReference w:id="33"/>
      </w:r>
      <w:r>
        <w:t xml:space="preserve"> </w:t>
      </w:r>
      <w:r w:rsidR="00C70F0A">
        <w:rPr>
          <w:shd w:val="clear" w:color="auto" w:fill="FFFFFF"/>
        </w:rPr>
        <w:t>IMT teams</w:t>
      </w:r>
      <w:r w:rsidRPr="00A02274">
        <w:rPr>
          <w:shd w:val="clear" w:color="auto" w:fill="FFFFFF"/>
        </w:rPr>
        <w:t xml:space="preserve"> </w:t>
      </w:r>
      <w:r>
        <w:t>serve clients who have had recent and frequent contact with the mental health, legal, and homeless service systems, displayed recent behavior that is unsafe and escalating, and been poorly served by traditional treatment models.</w:t>
      </w:r>
      <w:r>
        <w:rPr>
          <w:rStyle w:val="FootnoteReference"/>
        </w:rPr>
        <w:footnoteReference w:id="34"/>
      </w:r>
      <w:r>
        <w:t xml:space="preserve"> </w:t>
      </w:r>
      <w:r w:rsidRPr="005A6782">
        <w:t xml:space="preserve">Currently, there are 11 </w:t>
      </w:r>
      <w:r w:rsidR="00C70F0A">
        <w:t>IMT</w:t>
      </w:r>
      <w:r w:rsidRPr="005A6782">
        <w:t xml:space="preserve"> teams in New York City, with the capacity to serve 297 clients at any given time</w:t>
      </w:r>
      <w:r>
        <w:t>.</w:t>
      </w:r>
      <w:r w:rsidRPr="005A6782">
        <w:rPr>
          <w:vertAlign w:val="superscript"/>
        </w:rPr>
        <w:footnoteReference w:id="35"/>
      </w:r>
    </w:p>
    <w:p w14:paraId="04C36191" w14:textId="77777777" w:rsidR="00EE4F9A" w:rsidRDefault="00EE4F9A" w:rsidP="002C6F75">
      <w:pPr>
        <w:pStyle w:val="ListParagraph"/>
        <w:numPr>
          <w:ilvl w:val="2"/>
          <w:numId w:val="6"/>
        </w:numPr>
        <w:spacing w:line="480" w:lineRule="auto"/>
        <w:jc w:val="both"/>
        <w:rPr>
          <w:i/>
          <w:iCs/>
        </w:rPr>
      </w:pPr>
      <w:r>
        <w:rPr>
          <w:i/>
          <w:iCs/>
        </w:rPr>
        <w:t>NYC WELL</w:t>
      </w:r>
    </w:p>
    <w:p w14:paraId="56829AE4" w14:textId="53C02773" w:rsidR="00EE4F9A" w:rsidRPr="000D220E" w:rsidRDefault="00EE4F9A" w:rsidP="0064405E">
      <w:pPr>
        <w:spacing w:line="480" w:lineRule="auto"/>
        <w:ind w:firstLine="720"/>
        <w:jc w:val="both"/>
      </w:pPr>
      <w:r>
        <w:t>NYC WELL is</w:t>
      </w:r>
      <w:r w:rsidRPr="003729B3">
        <w:t> New York City's free, confidential support, crisis intervention, and information and referral service for anyone seeking help for mental health and/or substance misuse concerns</w:t>
      </w:r>
      <w:r>
        <w:t>.</w:t>
      </w:r>
      <w:r>
        <w:rPr>
          <w:rStyle w:val="FootnoteReference"/>
        </w:rPr>
        <w:footnoteReference w:id="36"/>
      </w:r>
      <w:r>
        <w:t xml:space="preserve"> </w:t>
      </w:r>
      <w:r w:rsidRPr="00364335">
        <w:t>Available 24/7 by phone, text, or online chat, NYC Well is staffed by trained mental health counselors and peer support specialists, people with lived experience with mental illness and substance use challenges.</w:t>
      </w:r>
      <w:r>
        <w:rPr>
          <w:rStyle w:val="FootnoteReference"/>
        </w:rPr>
        <w:footnoteReference w:id="37"/>
      </w:r>
      <w:r w:rsidRPr="00364335">
        <w:t xml:space="preserve"> </w:t>
      </w:r>
      <w:r w:rsidR="0064405E">
        <w:t>As of</w:t>
      </w:r>
      <w:r w:rsidRPr="002B4B92">
        <w:t xml:space="preserve"> September 2020, counselors and peer support specialists </w:t>
      </w:r>
      <w:r w:rsidR="0064405E">
        <w:t>had</w:t>
      </w:r>
      <w:r w:rsidRPr="002B4B92">
        <w:t xml:space="preserve"> responded to more than one million calls, texts, and online chats since the helpline launched in 2016.</w:t>
      </w:r>
      <w:r>
        <w:rPr>
          <w:rStyle w:val="FootnoteReference"/>
        </w:rPr>
        <w:footnoteReference w:id="38"/>
      </w:r>
      <w:r>
        <w:t xml:space="preserve"> </w:t>
      </w:r>
      <w:r w:rsidR="0064405E">
        <w:t>When needed, NYC Well deploys</w:t>
      </w:r>
      <w:r>
        <w:t xml:space="preserve"> Mobile Crisis Teams (discussed below) to </w:t>
      </w:r>
      <w:r w:rsidRPr="002C038F">
        <w:t>provide mental health services</w:t>
      </w:r>
      <w:r>
        <w:t>.</w:t>
      </w:r>
      <w:r>
        <w:rPr>
          <w:rStyle w:val="FootnoteReference"/>
        </w:rPr>
        <w:footnoteReference w:id="39"/>
      </w:r>
      <w:r>
        <w:t xml:space="preserve"> Many</w:t>
      </w:r>
      <w:r w:rsidRPr="00F27F86">
        <w:t xml:space="preserve"> see NYC Well as an alternative to emergency services.</w:t>
      </w:r>
      <w:r>
        <w:rPr>
          <w:rStyle w:val="FootnoteReference"/>
        </w:rPr>
        <w:footnoteReference w:id="40"/>
      </w:r>
      <w:r>
        <w:t xml:space="preserve"> </w:t>
      </w:r>
      <w:r w:rsidR="00C70F0A">
        <w:t>Twenty-three percent</w:t>
      </w:r>
      <w:r w:rsidR="0064405E">
        <w:t xml:space="preserve"> </w:t>
      </w:r>
      <w:r w:rsidRPr="00F27F86">
        <w:t>of surveyed NYC Well users, including both those contacting the program on their own behalf and those contacting on behalf of someone else (e.g., a friend or family member), reported that, if not for NYC Well, they would have considered calling 911 or going to an emergency room.</w:t>
      </w:r>
      <w:r>
        <w:rPr>
          <w:rStyle w:val="FootnoteReference"/>
        </w:rPr>
        <w:footnoteReference w:id="41"/>
      </w:r>
    </w:p>
    <w:p w14:paraId="6B7D04E7" w14:textId="77777777" w:rsidR="00EE4F9A" w:rsidRDefault="00EE4F9A" w:rsidP="002C6F75">
      <w:pPr>
        <w:pStyle w:val="ListParagraph"/>
        <w:numPr>
          <w:ilvl w:val="2"/>
          <w:numId w:val="6"/>
        </w:numPr>
        <w:spacing w:line="480" w:lineRule="auto"/>
        <w:jc w:val="both"/>
        <w:rPr>
          <w:i/>
          <w:iCs/>
        </w:rPr>
      </w:pPr>
      <w:r>
        <w:rPr>
          <w:i/>
          <w:iCs/>
        </w:rPr>
        <w:t>Mobile Crisis Teams</w:t>
      </w:r>
    </w:p>
    <w:p w14:paraId="3631F739" w14:textId="09F5839F" w:rsidR="00EE4F9A" w:rsidRDefault="00EE4F9A" w:rsidP="0064405E">
      <w:pPr>
        <w:spacing w:line="480" w:lineRule="auto"/>
        <w:ind w:firstLine="720"/>
        <w:jc w:val="both"/>
      </w:pPr>
      <w:r w:rsidRPr="002C038F">
        <w:t>A mobile crisis team is a group of health professionals, such as nurses, social workers</w:t>
      </w:r>
      <w:r w:rsidR="0064405E">
        <w:t>,</w:t>
      </w:r>
      <w:r w:rsidRPr="002C038F">
        <w:t xml:space="preserve"> and psychiatrists, who can provide mental health services, primarily in people's homes.</w:t>
      </w:r>
      <w:bookmarkStart w:id="6" w:name="_Ref64476004"/>
      <w:r>
        <w:rPr>
          <w:rStyle w:val="FootnoteReference"/>
        </w:rPr>
        <w:footnoteReference w:id="42"/>
      </w:r>
      <w:bookmarkEnd w:id="6"/>
      <w:r w:rsidR="0064405E">
        <w:t xml:space="preserve"> </w:t>
      </w:r>
      <w:r w:rsidRPr="002C038F">
        <w:t>There are about two dozen teams in the city</w:t>
      </w:r>
      <w:r>
        <w:t xml:space="preserve"> </w:t>
      </w:r>
      <w:r w:rsidRPr="002C038F">
        <w:t>and they are available in the Bronx, Brooklyn, Manhattan</w:t>
      </w:r>
      <w:r>
        <w:t xml:space="preserve">, </w:t>
      </w:r>
      <w:r w:rsidRPr="002C038F">
        <w:t>and Queens.</w:t>
      </w:r>
      <w:r>
        <w:rPr>
          <w:rStyle w:val="FootnoteReference"/>
        </w:rPr>
        <w:footnoteReference w:id="43"/>
      </w:r>
      <w:r>
        <w:t xml:space="preserve"> </w:t>
      </w:r>
      <w:r w:rsidRPr="002C038F">
        <w:t>Mobile crisis teams can provide mental health engagement, intervention</w:t>
      </w:r>
      <w:r w:rsidR="0064405E">
        <w:t xml:space="preserve">, </w:t>
      </w:r>
      <w:r w:rsidRPr="002C038F">
        <w:t>and</w:t>
      </w:r>
      <w:r w:rsidRPr="002C038F">
        <w:rPr>
          <w:rFonts w:ascii="Arial" w:hAnsi="Arial" w:cs="Arial"/>
          <w:sz w:val="27"/>
          <w:szCs w:val="27"/>
        </w:rPr>
        <w:t xml:space="preserve"> </w:t>
      </w:r>
      <w:r w:rsidRPr="002C038F">
        <w:t>follow-up suppor</w:t>
      </w:r>
      <w:r>
        <w:t xml:space="preserve">t </w:t>
      </w:r>
      <w:r w:rsidRPr="002C038F">
        <w:t>to help overcome resistance to treatment.</w:t>
      </w:r>
      <w:r>
        <w:rPr>
          <w:rStyle w:val="FootnoteReference"/>
        </w:rPr>
        <w:footnoteReference w:id="44"/>
      </w:r>
      <w:r w:rsidR="0064405E">
        <w:t xml:space="preserve"> Depending on what services an individual </w:t>
      </w:r>
      <w:r w:rsidRPr="002C038F">
        <w:t>is willing</w:t>
      </w:r>
      <w:r w:rsidR="0064405E">
        <w:t xml:space="preserve"> and able</w:t>
      </w:r>
      <w:r w:rsidRPr="002C038F">
        <w:t xml:space="preserve"> to accept, the teams may offer a range of services, including</w:t>
      </w:r>
      <w:r>
        <w:t>: a</w:t>
      </w:r>
      <w:r w:rsidRPr="002C038F">
        <w:t>ssessment</w:t>
      </w:r>
      <w:r>
        <w:t>, c</w:t>
      </w:r>
      <w:r w:rsidRPr="002C038F">
        <w:t>risis intervention</w:t>
      </w:r>
      <w:r>
        <w:t>, s</w:t>
      </w:r>
      <w:r w:rsidRPr="002C038F">
        <w:t>upportive counseling</w:t>
      </w:r>
      <w:r>
        <w:t>, and i</w:t>
      </w:r>
      <w:r w:rsidRPr="002C038F">
        <w:t>nformation and referrals, including to community-based mental health services</w:t>
      </w:r>
      <w:r>
        <w:t>.</w:t>
      </w:r>
      <w:r>
        <w:rPr>
          <w:rStyle w:val="FootnoteReference"/>
        </w:rPr>
        <w:footnoteReference w:id="45"/>
      </w:r>
      <w:r>
        <w:t xml:space="preserve"> </w:t>
      </w:r>
      <w:r w:rsidRPr="006E5135">
        <w:t xml:space="preserve">According to </w:t>
      </w:r>
      <w:r w:rsidR="0064405E">
        <w:t>DOHMH, 72</w:t>
      </w:r>
      <w:r w:rsidR="00C70F0A">
        <w:t xml:space="preserve"> percent</w:t>
      </w:r>
      <w:r w:rsidR="0064405E">
        <w:t xml:space="preserve"> </w:t>
      </w:r>
      <w:r w:rsidRPr="006E5135">
        <w:t>of the mobile crisis visits completed last year led to referrals to voluntary behavioral health services in the community.</w:t>
      </w:r>
      <w:bookmarkStart w:id="7" w:name="_Ref64476049"/>
      <w:r w:rsidRPr="006E5135">
        <w:rPr>
          <w:vertAlign w:val="superscript"/>
        </w:rPr>
        <w:footnoteReference w:id="46"/>
      </w:r>
      <w:bookmarkEnd w:id="7"/>
      <w:r>
        <w:t xml:space="preserve"> </w:t>
      </w:r>
      <w:r w:rsidRPr="002C038F">
        <w:t>If a mobile crisis team determines that a person in crisis needs further psychiatric or medical assessment, they can transport that person to a hospital psychiatric emergency room.</w:t>
      </w:r>
      <w:r>
        <w:rPr>
          <w:rStyle w:val="FootnoteReference"/>
        </w:rPr>
        <w:footnoteReference w:id="47"/>
      </w:r>
      <w:r>
        <w:t xml:space="preserve"> </w:t>
      </w:r>
      <w:r w:rsidRPr="002C038F">
        <w:t>Mobile crisis teams may direct police to take a person to an emergency room against their will only if they have a mental illness (or the appearance of mental illness) and are</w:t>
      </w:r>
      <w:r w:rsidR="0064405E">
        <w:t xml:space="preserve"> determined to be</w:t>
      </w:r>
      <w:r w:rsidRPr="002C038F">
        <w:t xml:space="preserve"> a danger to themselves or others</w:t>
      </w:r>
      <w:r>
        <w:t>.</w:t>
      </w:r>
      <w:r>
        <w:rPr>
          <w:rStyle w:val="FootnoteReference"/>
        </w:rPr>
        <w:footnoteReference w:id="48"/>
      </w:r>
      <w:r>
        <w:t xml:space="preserve">  </w:t>
      </w:r>
      <w:r w:rsidRPr="003729B3">
        <w:t xml:space="preserve">People </w:t>
      </w:r>
      <w:r w:rsidRPr="00447F39">
        <w:t>referred to mobile crisis</w:t>
      </w:r>
      <w:r w:rsidR="0064405E">
        <w:t xml:space="preserve"> teams</w:t>
      </w:r>
      <w:r w:rsidRPr="00447F39">
        <w:t xml:space="preserve"> are free to turn them away, </w:t>
      </w:r>
      <w:r w:rsidR="0064405E">
        <w:t>and accordingly,</w:t>
      </w:r>
      <w:r w:rsidRPr="00447F39">
        <w:t xml:space="preserve"> mobile crisis teams only made contact with the </w:t>
      </w:r>
      <w:r w:rsidR="0064405E">
        <w:t>individual</w:t>
      </w:r>
      <w:r w:rsidRPr="00447F39">
        <w:t xml:space="preserve"> they were asked to help in about half of the 20,000 cases referred to them last year.</w:t>
      </w:r>
      <w:r w:rsidRPr="00447F39">
        <w:rPr>
          <w:rStyle w:val="FootnoteReference"/>
        </w:rPr>
        <w:footnoteReference w:id="49"/>
      </w:r>
    </w:p>
    <w:p w14:paraId="35E60F5D" w14:textId="77777777" w:rsidR="00EE4F9A" w:rsidRPr="006E5135" w:rsidRDefault="00EE4F9A" w:rsidP="0064405E">
      <w:pPr>
        <w:spacing w:line="480" w:lineRule="auto"/>
        <w:ind w:firstLine="720"/>
        <w:jc w:val="both"/>
      </w:pPr>
      <w:r>
        <w:t xml:space="preserve">As discussed above, </w:t>
      </w:r>
      <w:r w:rsidRPr="005D197E">
        <w:t>NYC Well is the single point of access for Mobi</w:t>
      </w:r>
      <w:r w:rsidR="0064405E">
        <w:t>le Crisis Team Services for NYC,</w:t>
      </w:r>
      <w:r>
        <w:rPr>
          <w:rStyle w:val="FootnoteReference"/>
        </w:rPr>
        <w:footnoteReference w:id="50"/>
      </w:r>
      <w:r>
        <w:t xml:space="preserve"> </w:t>
      </w:r>
      <w:r w:rsidR="0064405E">
        <w:t>and m</w:t>
      </w:r>
      <w:r w:rsidRPr="002C038F">
        <w:t>obile crisis</w:t>
      </w:r>
      <w:r>
        <w:t xml:space="preserve"> teams are </w:t>
      </w:r>
      <w:r w:rsidR="0064405E">
        <w:t>not linked to 911.</w:t>
      </w:r>
      <w:r>
        <w:rPr>
          <w:rStyle w:val="FootnoteReference"/>
        </w:rPr>
        <w:footnoteReference w:id="51"/>
      </w:r>
      <w:r w:rsidRPr="002C038F">
        <w:t xml:space="preserve"> If a</w:t>
      </w:r>
      <w:r w:rsidR="0064405E">
        <w:t xml:space="preserve"> mental health professional or any individual</w:t>
      </w:r>
      <w:r w:rsidRPr="002C038F">
        <w:t xml:space="preserve"> wants to reach </w:t>
      </w:r>
      <w:r>
        <w:t xml:space="preserve">a </w:t>
      </w:r>
      <w:r w:rsidRPr="002C038F">
        <w:t>mobile crisis</w:t>
      </w:r>
      <w:r>
        <w:t xml:space="preserve"> team</w:t>
      </w:r>
      <w:r w:rsidRPr="002C038F">
        <w:t xml:space="preserve">, they </w:t>
      </w:r>
      <w:r w:rsidR="0064405E">
        <w:t>need to find</w:t>
      </w:r>
      <w:r w:rsidRPr="002C038F">
        <w:t xml:space="preserve"> the number for a specific team or </w:t>
      </w:r>
      <w:r w:rsidR="0064405E">
        <w:t>contact</w:t>
      </w:r>
      <w:r w:rsidRPr="002C038F">
        <w:t> </w:t>
      </w:r>
      <w:hyperlink r:id="rId9" w:tgtFrame="_blank" w:history="1">
        <w:r w:rsidRPr="002C038F">
          <w:t>NYC Well</w:t>
        </w:r>
      </w:hyperlink>
      <w:r w:rsidRPr="002C038F">
        <w:t>.</w:t>
      </w:r>
      <w:r>
        <w:rPr>
          <w:rStyle w:val="FootnoteReference"/>
        </w:rPr>
        <w:footnoteReference w:id="52"/>
      </w:r>
      <w:r>
        <w:t xml:space="preserve"> </w:t>
      </w:r>
      <w:r w:rsidR="0064405E">
        <w:t>The C</w:t>
      </w:r>
      <w:r w:rsidRPr="00A35E03">
        <w:t>ity</w:t>
      </w:r>
      <w:r>
        <w:t xml:space="preserve"> has </w:t>
      </w:r>
      <w:r w:rsidRPr="00A35E03">
        <w:t>24 mobile crisis teams (19 for adults and five for children)</w:t>
      </w:r>
      <w:r>
        <w:t>.</w:t>
      </w:r>
      <w:r>
        <w:rPr>
          <w:rStyle w:val="FootnoteReference"/>
        </w:rPr>
        <w:footnoteReference w:id="53"/>
      </w:r>
      <w:r w:rsidRPr="00A35E03">
        <w:rPr>
          <w:rFonts w:ascii="Helvetica" w:hAnsi="Helvetica"/>
          <w:color w:val="333333"/>
          <w:sz w:val="27"/>
          <w:szCs w:val="27"/>
          <w:shd w:val="clear" w:color="auto" w:fill="FFFFFF"/>
        </w:rPr>
        <w:t xml:space="preserve"> </w:t>
      </w:r>
      <w:r w:rsidR="0064405E">
        <w:t>When</w:t>
      </w:r>
      <w:r w:rsidRPr="00A35E03">
        <w:t xml:space="preserve"> an adult mobile crisis team is called upon to check on someone, the team takes </w:t>
      </w:r>
      <w:r w:rsidR="0064405E">
        <w:t xml:space="preserve">an average of 17 hours </w:t>
      </w:r>
      <w:r w:rsidRPr="00A35E03">
        <w:t xml:space="preserve">to arrive, according to </w:t>
      </w:r>
      <w:r w:rsidR="0064405E">
        <w:t>DOHMH</w:t>
      </w:r>
      <w:r w:rsidRPr="00A35E03">
        <w:t>.</w:t>
      </w:r>
      <w:r>
        <w:rPr>
          <w:rStyle w:val="FootnoteReference"/>
        </w:rPr>
        <w:footnoteReference w:id="54"/>
      </w:r>
      <w:r w:rsidRPr="00A35E03">
        <w:t xml:space="preserve"> In some cases, it can take up to two days for a team to show up, with no service</w:t>
      </w:r>
      <w:r w:rsidR="0064405E">
        <w:t>s</w:t>
      </w:r>
      <w:r w:rsidRPr="00A35E03">
        <w:t xml:space="preserve"> available overnight.</w:t>
      </w:r>
      <w:r>
        <w:rPr>
          <w:rStyle w:val="FootnoteReference"/>
        </w:rPr>
        <w:footnoteReference w:id="55"/>
      </w:r>
    </w:p>
    <w:p w14:paraId="55E82B77" w14:textId="77777777" w:rsidR="00EE4F9A" w:rsidRPr="006E5135" w:rsidRDefault="00EE4F9A" w:rsidP="002C6F75">
      <w:pPr>
        <w:pStyle w:val="ListParagraph"/>
        <w:numPr>
          <w:ilvl w:val="0"/>
          <w:numId w:val="5"/>
        </w:numPr>
        <w:spacing w:line="480" w:lineRule="auto"/>
        <w:jc w:val="both"/>
        <w:rPr>
          <w:i/>
          <w:iCs/>
        </w:rPr>
      </w:pPr>
      <w:r>
        <w:rPr>
          <w:i/>
          <w:iCs/>
        </w:rPr>
        <w:t>HEAT</w:t>
      </w:r>
    </w:p>
    <w:p w14:paraId="46D8556A" w14:textId="77777777" w:rsidR="00EE4F9A" w:rsidRPr="00544598" w:rsidRDefault="00EE4F9A" w:rsidP="0064405E">
      <w:pPr>
        <w:spacing w:line="480" w:lineRule="auto"/>
        <w:ind w:firstLine="720"/>
        <w:jc w:val="both"/>
      </w:pPr>
      <w:r w:rsidRPr="00764684">
        <w:t xml:space="preserve">New York </w:t>
      </w:r>
      <w:r w:rsidR="0064405E">
        <w:t>City also offers</w:t>
      </w:r>
      <w:r>
        <w:t xml:space="preserve"> </w:t>
      </w:r>
      <w:r w:rsidRPr="00764684">
        <w:t>Health Engagement Assessment Teams (HEAT teams) which consist of one clinician</w:t>
      </w:r>
      <w:r>
        <w:t xml:space="preserve"> and one peer,</w:t>
      </w:r>
      <w:r w:rsidRPr="00544598">
        <w:rPr>
          <w:rFonts w:ascii="Helvetica Neue" w:hAnsi="Helvetica Neue"/>
          <w:color w:val="333333"/>
          <w:shd w:val="clear" w:color="auto" w:fill="FFFFFF"/>
        </w:rPr>
        <w:t xml:space="preserve"> </w:t>
      </w:r>
      <w:r w:rsidRPr="00544598">
        <w:t>a person who has previously experienced a mental health challenge</w:t>
      </w:r>
      <w:r w:rsidRPr="00764684">
        <w:t>.</w:t>
      </w:r>
      <w:r>
        <w:rPr>
          <w:rStyle w:val="FootnoteReference"/>
        </w:rPr>
        <w:footnoteReference w:id="56"/>
      </w:r>
      <w:r w:rsidRPr="00764684">
        <w:t xml:space="preserve"> </w:t>
      </w:r>
      <w:r>
        <w:t>HEAT teams</w:t>
      </w:r>
      <w:r w:rsidRPr="00544598">
        <w:t xml:space="preserve"> proactively engage people with the most frequent 911 contact</w:t>
      </w:r>
      <w:r>
        <w:t xml:space="preserve"> and </w:t>
      </w:r>
      <w:r w:rsidRPr="00544598">
        <w:t>connect them to care and other stabilizing support.</w:t>
      </w:r>
      <w:r>
        <w:rPr>
          <w:rStyle w:val="FootnoteReference"/>
        </w:rPr>
        <w:footnoteReference w:id="57"/>
      </w:r>
      <w:r>
        <w:t xml:space="preserve"> </w:t>
      </w:r>
      <w:r w:rsidRPr="00764684">
        <w:t>HEAT teams are only used by police for areas of outreach that do not involve any active risk</w:t>
      </w:r>
      <w:r>
        <w:t xml:space="preserve"> </w:t>
      </w:r>
      <w:r w:rsidRPr="00764684">
        <w:t>and</w:t>
      </w:r>
      <w:r>
        <w:t xml:space="preserve">, </w:t>
      </w:r>
      <w:r w:rsidR="0064405E">
        <w:t xml:space="preserve">much </w:t>
      </w:r>
      <w:r w:rsidRPr="00764684">
        <w:t xml:space="preserve">like mobile crisis teams, </w:t>
      </w:r>
      <w:r w:rsidR="0064405E">
        <w:t>HEAT teams cannot respond to</w:t>
      </w:r>
      <w:r w:rsidRPr="00764684">
        <w:t xml:space="preserve"> 911 mental health crisis calls and they cannot transport anyone.</w:t>
      </w:r>
      <w:r>
        <w:rPr>
          <w:rStyle w:val="FootnoteReference"/>
        </w:rPr>
        <w:footnoteReference w:id="58"/>
      </w:r>
      <w:r>
        <w:t xml:space="preserve"> </w:t>
      </w:r>
      <w:r w:rsidR="0064405E">
        <w:t xml:space="preserve">Instead, </w:t>
      </w:r>
      <w:r w:rsidRPr="00107998">
        <w:t>HEAT teams are called by police, or local agencies such as the Department of Homeless Services.</w:t>
      </w:r>
      <w:r w:rsidRPr="00107998">
        <w:rPr>
          <w:vertAlign w:val="superscript"/>
        </w:rPr>
        <w:footnoteReference w:id="59"/>
      </w:r>
    </w:p>
    <w:p w14:paraId="74518D89" w14:textId="77777777" w:rsidR="00EE4F9A" w:rsidRPr="006E5135" w:rsidRDefault="0064405E" w:rsidP="002C6F75">
      <w:pPr>
        <w:pStyle w:val="ListParagraph"/>
        <w:numPr>
          <w:ilvl w:val="0"/>
          <w:numId w:val="5"/>
        </w:numPr>
        <w:spacing w:line="480" w:lineRule="auto"/>
        <w:jc w:val="both"/>
        <w:rPr>
          <w:i/>
          <w:iCs/>
        </w:rPr>
      </w:pPr>
      <w:r>
        <w:rPr>
          <w:i/>
          <w:iCs/>
        </w:rPr>
        <w:t>2021 Mental Health Response</w:t>
      </w:r>
      <w:r w:rsidR="00EE4F9A">
        <w:rPr>
          <w:i/>
          <w:iCs/>
        </w:rPr>
        <w:t xml:space="preserve"> Pilot Program</w:t>
      </w:r>
    </w:p>
    <w:p w14:paraId="77AFAC4A" w14:textId="77777777" w:rsidR="00EE4F9A" w:rsidRPr="0017172A" w:rsidRDefault="00EE4F9A" w:rsidP="00683A06">
      <w:pPr>
        <w:spacing w:line="480" w:lineRule="auto"/>
        <w:ind w:firstLine="720"/>
        <w:jc w:val="both"/>
      </w:pPr>
      <w:r w:rsidRPr="00C03CC1">
        <w:t>Beginning in February 2021,</w:t>
      </w:r>
      <w:r>
        <w:t xml:space="preserve"> </w:t>
      </w:r>
      <w:r w:rsidR="0064405E">
        <w:t xml:space="preserve">a newly-announced pilot program will ensure that </w:t>
      </w:r>
      <w:r>
        <w:t>n</w:t>
      </w:r>
      <w:r w:rsidRPr="00C03CC1">
        <w:t>ew</w:t>
      </w:r>
      <w:r w:rsidRPr="00C03CC1">
        <w:rPr>
          <w:b/>
          <w:bCs/>
        </w:rPr>
        <w:t> </w:t>
      </w:r>
      <w:r w:rsidR="0064405E">
        <w:t>m</w:t>
      </w:r>
      <w:r w:rsidRPr="00C03CC1">
        <w:t xml:space="preserve">ental </w:t>
      </w:r>
      <w:r w:rsidR="0064405E">
        <w:t>h</w:t>
      </w:r>
      <w:r w:rsidRPr="00C03CC1">
        <w:t xml:space="preserve">ealth </w:t>
      </w:r>
      <w:r w:rsidR="0064405E">
        <w:t>t</w:t>
      </w:r>
      <w:r w:rsidRPr="00C03CC1">
        <w:t>eams of health professionals and crisis workers from FDNY Emergency Medical Services will be the default response to mental health emergencies in two high-need precincts</w:t>
      </w:r>
      <w:r>
        <w:t>.</w:t>
      </w:r>
      <w:r>
        <w:rPr>
          <w:rStyle w:val="FootnoteReference"/>
        </w:rPr>
        <w:footnoteReference w:id="60"/>
      </w:r>
      <w:r w:rsidR="0064405E">
        <w:t xml:space="preserve"> </w:t>
      </w:r>
      <w:r w:rsidRPr="00C03CC1">
        <w:t>These teams will have the expertise to respond to a range of behavioral health problems, such as suicide attempts, substance misuse, and serious mental illness, as well as physical health problems, which can be exacerbated by or mask mental health problems.</w:t>
      </w:r>
      <w:r>
        <w:rPr>
          <w:rStyle w:val="FootnoteReference"/>
        </w:rPr>
        <w:footnoteReference w:id="61"/>
      </w:r>
      <w:r w:rsidRPr="00C03CC1">
        <w:t> NYC Health + Hospitals will train and provide ongoing technical assistance and support</w:t>
      </w:r>
      <w:r w:rsidR="00683A06">
        <w:t xml:space="preserve"> for this pilot program</w:t>
      </w:r>
      <w:r w:rsidRPr="00C03CC1">
        <w:t>.</w:t>
      </w:r>
      <w:r>
        <w:rPr>
          <w:rStyle w:val="FootnoteReference"/>
        </w:rPr>
        <w:footnoteReference w:id="62"/>
      </w:r>
      <w:r w:rsidRPr="00C03CC1">
        <w:t> In selecting team members for this program, FDNY will prioritize professionals with significant experience with mental health crises.</w:t>
      </w:r>
      <w:r>
        <w:rPr>
          <w:rStyle w:val="FootnoteReference"/>
        </w:rPr>
        <w:footnoteReference w:id="63"/>
      </w:r>
      <w:r>
        <w:t xml:space="preserve"> </w:t>
      </w:r>
      <w:r w:rsidRPr="00C03CC1">
        <w:t>In emergency situations involving a weapon or imminent risk of harm, the new Mental Health Teams will respond along with NYPD</w:t>
      </w:r>
      <w:r>
        <w:t xml:space="preserve"> </w:t>
      </w:r>
      <w:r w:rsidRPr="00C03CC1">
        <w:t>officers.</w:t>
      </w:r>
      <w:r>
        <w:rPr>
          <w:rStyle w:val="FootnoteReference"/>
        </w:rPr>
        <w:footnoteReference w:id="64"/>
      </w:r>
      <w:r>
        <w:t xml:space="preserve"> </w:t>
      </w:r>
      <w:r w:rsidRPr="002526F1">
        <w:t>The pilot is modeled on successful, alternative</w:t>
      </w:r>
      <w:r w:rsidR="00683A06">
        <w:t>s</w:t>
      </w:r>
      <w:r w:rsidRPr="002526F1">
        <w:t xml:space="preserve"> to police response programs in other cities</w:t>
      </w:r>
      <w:r>
        <w:t xml:space="preserve">, such as </w:t>
      </w:r>
      <w:r w:rsidRPr="002526F1">
        <w:t>CAHOOTS</w:t>
      </w:r>
      <w:r>
        <w:t xml:space="preserve"> (discussed below) </w:t>
      </w:r>
      <w:r w:rsidRPr="00447F39">
        <w:t>in Eugene,</w:t>
      </w:r>
      <w:r w:rsidRPr="0017172A">
        <w:t xml:space="preserve"> Oregon.</w:t>
      </w:r>
      <w:r w:rsidRPr="0017172A">
        <w:rPr>
          <w:rStyle w:val="FootnoteReference"/>
        </w:rPr>
        <w:footnoteReference w:id="65"/>
      </w:r>
    </w:p>
    <w:p w14:paraId="297185E6" w14:textId="77777777" w:rsidR="00683A06" w:rsidRPr="0017172A" w:rsidRDefault="00683A06" w:rsidP="00683A06">
      <w:pPr>
        <w:pStyle w:val="ListParagraph"/>
        <w:numPr>
          <w:ilvl w:val="0"/>
          <w:numId w:val="7"/>
        </w:numPr>
        <w:spacing w:line="480" w:lineRule="auto"/>
        <w:jc w:val="both"/>
        <w:rPr>
          <w:i/>
        </w:rPr>
      </w:pPr>
      <w:r w:rsidRPr="0017172A">
        <w:rPr>
          <w:i/>
        </w:rPr>
        <w:t>Criticisms of Current Approach</w:t>
      </w:r>
    </w:p>
    <w:p w14:paraId="032A9B81" w14:textId="77777777" w:rsidR="0017172A" w:rsidRPr="00BA2F14" w:rsidRDefault="00314F5E" w:rsidP="0017172A">
      <w:pPr>
        <w:spacing w:line="480" w:lineRule="auto"/>
        <w:ind w:firstLine="720"/>
        <w:jc w:val="both"/>
      </w:pPr>
      <w:r w:rsidRPr="00BA2F14">
        <w:t xml:space="preserve">For decades, but especially </w:t>
      </w:r>
      <w:r w:rsidR="00F85AC1" w:rsidRPr="00BA2F14">
        <w:t>in</w:t>
      </w:r>
      <w:r w:rsidR="00F91259" w:rsidRPr="00BA2F14">
        <w:t xml:space="preserve"> recent years, many have </w:t>
      </w:r>
      <w:r w:rsidRPr="00BA2F14">
        <w:t xml:space="preserve">vocally </w:t>
      </w:r>
      <w:r w:rsidR="00F91259" w:rsidRPr="00BA2F14">
        <w:t xml:space="preserve">criticized the role </w:t>
      </w:r>
      <w:r w:rsidR="00F85AC1" w:rsidRPr="00BA2F14">
        <w:t xml:space="preserve">of </w:t>
      </w:r>
      <w:r w:rsidR="00F91259" w:rsidRPr="00BA2F14">
        <w:t>police in responding to mental health emergencies, or “Emotionally Disturbed Persons (EDP)</w:t>
      </w:r>
      <w:r w:rsidRPr="00BA2F14">
        <w:t xml:space="preserve"> calls,</w:t>
      </w:r>
      <w:r w:rsidR="00F91259" w:rsidRPr="00BA2F14">
        <w:t>”</w:t>
      </w:r>
      <w:r w:rsidRPr="00BA2F14">
        <w:t xml:space="preserve"> as inappropriate, dangerous, inefficient, and ineffective.</w:t>
      </w:r>
      <w:r w:rsidR="00F91259" w:rsidRPr="00BA2F14">
        <w:rPr>
          <w:rStyle w:val="FootnoteReference"/>
        </w:rPr>
        <w:footnoteReference w:id="66"/>
      </w:r>
      <w:r w:rsidR="00F85AC1" w:rsidRPr="00BA2F14">
        <w:t xml:space="preserve"> </w:t>
      </w:r>
      <w:r w:rsidR="0017172A" w:rsidRPr="00BA2F14">
        <w:t>Between 2008 and 2018,</w:t>
      </w:r>
      <w:r w:rsidR="00F85AC1" w:rsidRPr="00BA2F14">
        <w:t xml:space="preserve"> mental health emergency calls doubled, increasing </w:t>
      </w:r>
      <w:r w:rsidR="0017172A" w:rsidRPr="00BA2F14">
        <w:t>each</w:t>
      </w:r>
      <w:r w:rsidR="00F85AC1" w:rsidRPr="00BA2F14">
        <w:t xml:space="preserve"> year in every police precinct, reaching</w:t>
      </w:r>
      <w:r w:rsidR="0017172A" w:rsidRPr="00BA2F14">
        <w:t xml:space="preserve"> close to 180,000 calls in 2018 (see table below).</w:t>
      </w:r>
      <w:r w:rsidR="00F85AC1" w:rsidRPr="00BA2F14">
        <w:rPr>
          <w:rStyle w:val="FootnoteReference"/>
        </w:rPr>
        <w:footnoteReference w:id="67"/>
      </w:r>
      <w:r w:rsidR="00F85AC1" w:rsidRPr="00BA2F14">
        <w:t xml:space="preserve"> </w:t>
      </w:r>
    </w:p>
    <w:p w14:paraId="149C5A44" w14:textId="77777777" w:rsidR="00F85AC1" w:rsidRPr="00BA2F14" w:rsidRDefault="00F85AC1" w:rsidP="0017172A">
      <w:pPr>
        <w:jc w:val="center"/>
        <w:rPr>
          <w:b/>
        </w:rPr>
      </w:pPr>
      <w:r w:rsidRPr="00BA2F14">
        <w:rPr>
          <w:noProof/>
        </w:rPr>
        <w:drawing>
          <wp:inline distT="0" distB="0" distL="0" distR="0" wp14:anchorId="4AD3C000" wp14:editId="38799B43">
            <wp:extent cx="2971800" cy="2305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291" t="23418" r="37500"/>
                    <a:stretch/>
                  </pic:blipFill>
                  <pic:spPr bwMode="auto">
                    <a:xfrm>
                      <a:off x="0" y="0"/>
                      <a:ext cx="2971800" cy="2305050"/>
                    </a:xfrm>
                    <a:prstGeom prst="rect">
                      <a:avLst/>
                    </a:prstGeom>
                    <a:ln>
                      <a:noFill/>
                    </a:ln>
                    <a:extLst>
                      <a:ext uri="{53640926-AAD7-44D8-BBD7-CCE9431645EC}">
                        <a14:shadowObscured xmlns:a14="http://schemas.microsoft.com/office/drawing/2010/main"/>
                      </a:ext>
                    </a:extLst>
                  </pic:spPr>
                </pic:pic>
              </a:graphicData>
            </a:graphic>
          </wp:inline>
        </w:drawing>
      </w:r>
    </w:p>
    <w:p w14:paraId="4D3F913C" w14:textId="77777777" w:rsidR="0017172A" w:rsidRPr="00BA2F14" w:rsidRDefault="0017172A" w:rsidP="0017172A">
      <w:pPr>
        <w:jc w:val="center"/>
        <w:rPr>
          <w:sz w:val="20"/>
          <w:szCs w:val="20"/>
        </w:rPr>
      </w:pPr>
      <w:r w:rsidRPr="00BA2F14">
        <w:rPr>
          <w:sz w:val="20"/>
          <w:szCs w:val="20"/>
        </w:rPr>
        <w:t>Source: NYPD Budget Hearing via The City</w:t>
      </w:r>
    </w:p>
    <w:p w14:paraId="1AB393ED" w14:textId="77777777" w:rsidR="0017172A" w:rsidRPr="00BA2F14" w:rsidRDefault="0017172A" w:rsidP="0017172A">
      <w:pPr>
        <w:rPr>
          <w:sz w:val="20"/>
          <w:szCs w:val="20"/>
        </w:rPr>
      </w:pPr>
    </w:p>
    <w:p w14:paraId="763E9880" w14:textId="26D6B092" w:rsidR="00314F5E" w:rsidRPr="00BA2F14" w:rsidRDefault="00BA2F14" w:rsidP="00F91259">
      <w:pPr>
        <w:spacing w:line="480" w:lineRule="auto"/>
        <w:jc w:val="both"/>
        <w:rPr>
          <w:shd w:val="clear" w:color="auto" w:fill="FFFFFF"/>
        </w:rPr>
      </w:pPr>
      <w:r>
        <w:t xml:space="preserve">Some of these calls have ended tragically: </w:t>
      </w:r>
      <w:r w:rsidR="0017172A" w:rsidRPr="00BA2F14">
        <w:t>Between 2016 and 2019, 14 individuals with mental illness were killed by police.</w:t>
      </w:r>
      <w:r w:rsidR="0017172A" w:rsidRPr="00BA2F14">
        <w:rPr>
          <w:rStyle w:val="FootnoteReference"/>
        </w:rPr>
        <w:footnoteReference w:id="68"/>
      </w:r>
      <w:r w:rsidR="0017172A" w:rsidRPr="00BA2F14">
        <w:t xml:space="preserve"> Nationally, </w:t>
      </w:r>
      <w:r w:rsidR="0017172A" w:rsidRPr="00BA2F14">
        <w:rPr>
          <w:shd w:val="clear" w:color="auto" w:fill="FFFFFF"/>
        </w:rPr>
        <w:t>since 2015, </w:t>
      </w:r>
      <w:r w:rsidR="0017172A" w:rsidRPr="00BA2F14">
        <w:rPr>
          <w:rFonts w:eastAsia="Calibri"/>
          <w:bdr w:val="none" w:sz="0" w:space="0" w:color="auto" w:frame="1"/>
          <w:shd w:val="clear" w:color="auto" w:fill="FFFFFF"/>
        </w:rPr>
        <w:t>almost a quarter of all</w:t>
      </w:r>
      <w:r w:rsidR="0017172A" w:rsidRPr="00BA2F14">
        <w:rPr>
          <w:shd w:val="clear" w:color="auto" w:fill="FFFFFF"/>
        </w:rPr>
        <w:t> individuals killed by police have had a known mental illness.</w:t>
      </w:r>
      <w:r w:rsidR="0017172A" w:rsidRPr="00BA2F14">
        <w:rPr>
          <w:rStyle w:val="FootnoteReference"/>
          <w:shd w:val="clear" w:color="auto" w:fill="FFFFFF"/>
        </w:rPr>
        <w:footnoteReference w:id="69"/>
      </w:r>
      <w:r w:rsidR="0017172A" w:rsidRPr="00BA2F14">
        <w:rPr>
          <w:shd w:val="clear" w:color="auto" w:fill="FFFFFF"/>
        </w:rPr>
        <w:t xml:space="preserve"> Injuries also commonly occur from police encounters with individuals with mental or behavioral health challenges, though </w:t>
      </w:r>
      <w:r>
        <w:rPr>
          <w:shd w:val="clear" w:color="auto" w:fill="FFFFFF"/>
        </w:rPr>
        <w:t>injuries</w:t>
      </w:r>
      <w:r w:rsidR="0017172A" w:rsidRPr="00BA2F14">
        <w:rPr>
          <w:shd w:val="clear" w:color="auto" w:fill="FFFFFF"/>
        </w:rPr>
        <w:t xml:space="preserve"> are tracked </w:t>
      </w:r>
      <w:r w:rsidR="00F67560" w:rsidRPr="00BA2F14">
        <w:rPr>
          <w:shd w:val="clear" w:color="auto" w:fill="FFFFFF"/>
        </w:rPr>
        <w:t xml:space="preserve">less </w:t>
      </w:r>
      <w:r w:rsidR="0017172A" w:rsidRPr="00BA2F14">
        <w:rPr>
          <w:shd w:val="clear" w:color="auto" w:fill="FFFFFF"/>
        </w:rPr>
        <w:t xml:space="preserve">and receive less media attention than </w:t>
      </w:r>
      <w:r>
        <w:rPr>
          <w:shd w:val="clear" w:color="auto" w:fill="FFFFFF"/>
        </w:rPr>
        <w:t>police-caused deaths</w:t>
      </w:r>
      <w:r w:rsidR="0017172A" w:rsidRPr="00BA2F14">
        <w:rPr>
          <w:shd w:val="clear" w:color="auto" w:fill="FFFFFF"/>
        </w:rPr>
        <w:t>.</w:t>
      </w:r>
      <w:r w:rsidR="0017172A" w:rsidRPr="00BA2F14">
        <w:rPr>
          <w:rStyle w:val="FootnoteReference"/>
          <w:shd w:val="clear" w:color="auto" w:fill="FFFFFF"/>
        </w:rPr>
        <w:footnoteReference w:id="70"/>
      </w:r>
      <w:r w:rsidR="0017172A" w:rsidRPr="00BA2F14">
        <w:rPr>
          <w:shd w:val="clear" w:color="auto" w:fill="FFFFFF"/>
        </w:rPr>
        <w:t xml:space="preserve"> In most of the deaths or injuries that occur from police response to mental health emergencies, the officers on site are not trained </w:t>
      </w:r>
      <w:r>
        <w:rPr>
          <w:shd w:val="clear" w:color="auto" w:fill="FFFFFF"/>
        </w:rPr>
        <w:t>n</w:t>
      </w:r>
      <w:r w:rsidR="0017172A" w:rsidRPr="00BA2F14">
        <w:rPr>
          <w:shd w:val="clear" w:color="auto" w:fill="FFFFFF"/>
        </w:rPr>
        <w:t>or prepared to appropriately respond to the erratic or unpredictable behavior that marks mental health crises.</w:t>
      </w:r>
      <w:r w:rsidR="00314F5E" w:rsidRPr="00BA2F14">
        <w:rPr>
          <w:rStyle w:val="FootnoteReference"/>
          <w:shd w:val="clear" w:color="auto" w:fill="FFFFFF"/>
        </w:rPr>
        <w:footnoteReference w:id="71"/>
      </w:r>
      <w:r w:rsidR="00314F5E" w:rsidRPr="00BA2F14">
        <w:rPr>
          <w:shd w:val="clear" w:color="auto" w:fill="FFFFFF"/>
        </w:rPr>
        <w:t xml:space="preserve"> </w:t>
      </w:r>
      <w:r>
        <w:rPr>
          <w:shd w:val="clear" w:color="auto" w:fill="FFFFFF"/>
        </w:rPr>
        <w:t>Accordingly</w:t>
      </w:r>
      <w:r w:rsidR="00314F5E" w:rsidRPr="00BA2F14">
        <w:rPr>
          <w:shd w:val="clear" w:color="auto" w:fill="FFFFFF"/>
        </w:rPr>
        <w:t>, police presence at a mental health emergency often create</w:t>
      </w:r>
      <w:r>
        <w:rPr>
          <w:shd w:val="clear" w:color="auto" w:fill="FFFFFF"/>
        </w:rPr>
        <w:t>s</w:t>
      </w:r>
      <w:r w:rsidR="00314F5E" w:rsidRPr="00BA2F14">
        <w:rPr>
          <w:shd w:val="clear" w:color="auto" w:fill="FFFFFF"/>
        </w:rPr>
        <w:t xml:space="preserve"> shame, fear, stigma, and trauma for the individual suffering a mental health crisis, which </w:t>
      </w:r>
      <w:r w:rsidR="001F0E91" w:rsidRPr="00BA2F14">
        <w:rPr>
          <w:shd w:val="clear" w:color="auto" w:fill="FFFFFF"/>
        </w:rPr>
        <w:t>can exacerbate crises rather than defusing them</w:t>
      </w:r>
      <w:r w:rsidR="00314F5E" w:rsidRPr="00BA2F14">
        <w:rPr>
          <w:shd w:val="clear" w:color="auto" w:fill="FFFFFF"/>
        </w:rPr>
        <w:t>.</w:t>
      </w:r>
      <w:r w:rsidR="00314F5E" w:rsidRPr="00BA2F14">
        <w:rPr>
          <w:rStyle w:val="FootnoteReference"/>
          <w:shd w:val="clear" w:color="auto" w:fill="FFFFFF"/>
        </w:rPr>
        <w:footnoteReference w:id="72"/>
      </w:r>
      <w:r w:rsidR="00314F5E" w:rsidRPr="00BA2F14">
        <w:rPr>
          <w:shd w:val="clear" w:color="auto" w:fill="FFFFFF"/>
        </w:rPr>
        <w:t xml:space="preserve"> </w:t>
      </w:r>
      <w:r w:rsidR="001F0E91" w:rsidRPr="00BA2F14">
        <w:rPr>
          <w:shd w:val="clear" w:color="auto" w:fill="FFFFFF"/>
        </w:rPr>
        <w:t>Mental health experts recommend engaging individuals experiencing mental health crises with respectful, empathetic verbal interventions that deescalate crises.</w:t>
      </w:r>
      <w:r w:rsidR="001F0E91" w:rsidRPr="00BA2F14">
        <w:rPr>
          <w:rStyle w:val="FootnoteReference"/>
          <w:shd w:val="clear" w:color="auto" w:fill="FFFFFF"/>
        </w:rPr>
        <w:footnoteReference w:id="73"/>
      </w:r>
      <w:r w:rsidR="001F0E91" w:rsidRPr="00BA2F14">
        <w:rPr>
          <w:shd w:val="clear" w:color="auto" w:fill="FFFFFF"/>
        </w:rPr>
        <w:t xml:space="preserve"> Such skills are complex to build, and take many years to practice and train for – practice and training that most NYPD officers do not currently have.</w:t>
      </w:r>
      <w:r w:rsidR="001F0E91" w:rsidRPr="00BA2F14">
        <w:rPr>
          <w:rStyle w:val="FootnoteReference"/>
          <w:shd w:val="clear" w:color="auto" w:fill="FFFFFF"/>
        </w:rPr>
        <w:footnoteReference w:id="74"/>
      </w:r>
    </w:p>
    <w:p w14:paraId="5A6D698C" w14:textId="4C5413E0" w:rsidR="00314F5E" w:rsidRPr="00BA2F14" w:rsidRDefault="001F0E91" w:rsidP="00F91259">
      <w:pPr>
        <w:spacing w:line="480" w:lineRule="auto"/>
        <w:jc w:val="both"/>
      </w:pPr>
      <w:r w:rsidRPr="00BA2F14">
        <w:rPr>
          <w:shd w:val="clear" w:color="auto" w:fill="FFFFFF"/>
        </w:rPr>
        <w:tab/>
        <w:t>Additionally, by having police, rather than mental health professionals, trained peers, and medical providers, respond to mental health emergencies, New York City has created a tragic holding pattern, wherein individuals with mental illness cycle between emergency rooms and jail.</w:t>
      </w:r>
      <w:r w:rsidRPr="00BA2F14">
        <w:rPr>
          <w:rStyle w:val="FootnoteReference"/>
          <w:shd w:val="clear" w:color="auto" w:fill="FFFFFF"/>
        </w:rPr>
        <w:footnoteReference w:id="75"/>
      </w:r>
      <w:r w:rsidRPr="00BA2F14">
        <w:rPr>
          <w:shd w:val="clear" w:color="auto" w:fill="FFFFFF"/>
        </w:rPr>
        <w:t xml:space="preserve"> In</w:t>
      </w:r>
      <w:r w:rsidRPr="00BA2F14">
        <w:t xml:space="preserve"> 2019, approximately 16</w:t>
      </w:r>
      <w:r w:rsidR="00F67560">
        <w:t xml:space="preserve"> percent</w:t>
      </w:r>
      <w:r w:rsidRPr="00BA2F14">
        <w:t xml:space="preserve"> </w:t>
      </w:r>
      <w:r w:rsidR="00314F5E" w:rsidRPr="00BA2F14">
        <w:t xml:space="preserve">of </w:t>
      </w:r>
      <w:r w:rsidRPr="00BA2F14">
        <w:t>individuals incarcerated</w:t>
      </w:r>
      <w:r w:rsidR="00314F5E" w:rsidRPr="00BA2F14">
        <w:t xml:space="preserve"> at Rikers Island </w:t>
      </w:r>
      <w:r w:rsidRPr="00BA2F14">
        <w:t>were</w:t>
      </w:r>
      <w:r w:rsidR="00314F5E" w:rsidRPr="00BA2F14">
        <w:t xml:space="preserve"> diagnosed with ser</w:t>
      </w:r>
      <w:r w:rsidRPr="00BA2F14">
        <w:t>ious mental illness, up from 10</w:t>
      </w:r>
      <w:r w:rsidR="00F67560">
        <w:t xml:space="preserve"> percent</w:t>
      </w:r>
      <w:r w:rsidRPr="00BA2F14">
        <w:t xml:space="preserve"> the year before.</w:t>
      </w:r>
      <w:r w:rsidRPr="00BA2F14">
        <w:rPr>
          <w:rStyle w:val="FootnoteReference"/>
        </w:rPr>
        <w:footnoteReference w:id="76"/>
      </w:r>
      <w:r w:rsidRPr="00BA2F14">
        <w:t xml:space="preserve"> An analysis of 2017 911 calls show that of calls involving individuals with mental illness, </w:t>
      </w:r>
      <w:r w:rsidR="00314F5E" w:rsidRPr="00BA2F14">
        <w:t xml:space="preserve">94,000 </w:t>
      </w:r>
      <w:r w:rsidRPr="00BA2F14">
        <w:t>(54</w:t>
      </w:r>
      <w:r w:rsidR="00F67560">
        <w:t xml:space="preserve"> percent</w:t>
      </w:r>
      <w:r w:rsidRPr="00BA2F14">
        <w:t xml:space="preserve">) resulted in emergency department (ED) visits, which experts also criticize as ineffective </w:t>
      </w:r>
      <w:r w:rsidR="00BA2F14">
        <w:t>in</w:t>
      </w:r>
      <w:r w:rsidRPr="00BA2F14">
        <w:t xml:space="preserve"> ensuring long</w:t>
      </w:r>
      <w:r w:rsidR="00BA2F14" w:rsidRPr="00BA2F14">
        <w:t>-</w:t>
      </w:r>
      <w:r w:rsidRPr="00BA2F14">
        <w:t xml:space="preserve">term care and </w:t>
      </w:r>
      <w:r w:rsidR="00BA2F14">
        <w:t>breaking</w:t>
      </w:r>
      <w:r w:rsidRPr="00BA2F14">
        <w:t xml:space="preserve"> the ED</w:t>
      </w:r>
      <w:r w:rsidR="00BA2F14">
        <w:t>-to-</w:t>
      </w:r>
      <w:r w:rsidRPr="00BA2F14">
        <w:t>Jail cycle.</w:t>
      </w:r>
      <w:r w:rsidRPr="00BA2F14">
        <w:rPr>
          <w:rStyle w:val="FootnoteReference"/>
        </w:rPr>
        <w:footnoteReference w:id="77"/>
      </w:r>
      <w:r w:rsidRPr="00BA2F14">
        <w:t xml:space="preserve"> The current reliance on police for responding to mental health calls is not only ineffective in helping individuals with mental illness, </w:t>
      </w:r>
      <w:r w:rsidR="00BA2F14" w:rsidRPr="00BA2F14">
        <w:t>but it also creates potential for tragic outcomes, and</w:t>
      </w:r>
      <w:r w:rsidRPr="00BA2F14">
        <w:t xml:space="preserve"> overly relies on jails and hospitals, which are not equipped to provide long term behavioral health care.</w:t>
      </w:r>
      <w:r w:rsidR="00BA2F14">
        <w:rPr>
          <w:rStyle w:val="FootnoteReference"/>
        </w:rPr>
        <w:footnoteReference w:id="78"/>
      </w:r>
    </w:p>
    <w:p w14:paraId="1D4D37C1" w14:textId="52A62DAA" w:rsidR="007E290C" w:rsidRDefault="007E290C" w:rsidP="007E290C">
      <w:pPr>
        <w:pStyle w:val="ListParagraph"/>
        <w:numPr>
          <w:ilvl w:val="0"/>
          <w:numId w:val="10"/>
        </w:numPr>
        <w:spacing w:line="480" w:lineRule="auto"/>
        <w:jc w:val="both"/>
        <w:rPr>
          <w:i/>
        </w:rPr>
      </w:pPr>
      <w:r>
        <w:rPr>
          <w:i/>
        </w:rPr>
        <w:t>Mental Health Emergency Calls in Black and Brown Communities</w:t>
      </w:r>
    </w:p>
    <w:p w14:paraId="6DA8FE6C" w14:textId="7C9CCA56" w:rsidR="00C24AAE" w:rsidRDefault="00AB2BAD" w:rsidP="00C24AAE">
      <w:pPr>
        <w:spacing w:line="480" w:lineRule="auto"/>
        <w:ind w:firstLine="720"/>
        <w:jc w:val="both"/>
      </w:pPr>
      <w:r>
        <w:t xml:space="preserve">While the entire nation has been forced to confront systemic racism within policing, for Black and Brown individuals with mental illness, police response is even </w:t>
      </w:r>
      <w:r w:rsidR="00FE135C">
        <w:t xml:space="preserve">more </w:t>
      </w:r>
      <w:r>
        <w:t>problematic</w:t>
      </w:r>
      <w:r w:rsidR="007E290C">
        <w:t>.</w:t>
      </w:r>
      <w:r w:rsidR="007E290C">
        <w:rPr>
          <w:rStyle w:val="FootnoteReference"/>
        </w:rPr>
        <w:footnoteReference w:id="79"/>
      </w:r>
      <w:r>
        <w:t xml:space="preserve"> In New York City, neighborhoods that are predominantly Black and Brown and poor neighborhoods </w:t>
      </w:r>
      <w:r w:rsidR="00BB3B44">
        <w:t>are</w:t>
      </w:r>
      <w:r>
        <w:t xml:space="preserve"> consistently more likely to experience a high volume of mental health emergency calls,</w:t>
      </w:r>
      <w:r>
        <w:rPr>
          <w:rStyle w:val="FootnoteReference"/>
        </w:rPr>
        <w:footnoteReference w:id="80"/>
      </w:r>
      <w:r>
        <w:t xml:space="preserve"> and are also more likely to experience a violent interaction with police.</w:t>
      </w:r>
      <w:r w:rsidR="00BB3B44">
        <w:rPr>
          <w:rStyle w:val="FootnoteReference"/>
        </w:rPr>
        <w:footnoteReference w:id="81"/>
      </w:r>
      <w:r w:rsidR="00BB3B44">
        <w:t xml:space="preserve"> </w:t>
      </w:r>
      <w:r w:rsidR="00C24AAE">
        <w:t>An analysis</w:t>
      </w:r>
      <w:r w:rsidR="00BB3B44">
        <w:t xml:space="preserve"> </w:t>
      </w:r>
      <w:r w:rsidR="00C24AAE">
        <w:t>of</w:t>
      </w:r>
      <w:r w:rsidR="00BB3B44">
        <w:t xml:space="preserve"> </w:t>
      </w:r>
      <w:r w:rsidR="00C24AAE">
        <w:t xml:space="preserve">mental health response calls from 2018 shows that the ten precincts with the </w:t>
      </w:r>
      <w:r w:rsidR="00C24AAE" w:rsidRPr="00C24AAE">
        <w:t>largest </w:t>
      </w:r>
      <w:r w:rsidR="00C24AAE">
        <w:t>B</w:t>
      </w:r>
      <w:r w:rsidR="00C24AAE" w:rsidRPr="00C24AAE">
        <w:t>lack and</w:t>
      </w:r>
      <w:r w:rsidR="00C24AAE">
        <w:t xml:space="preserve"> </w:t>
      </w:r>
      <w:r w:rsidR="00C24AAE" w:rsidRPr="00C24AAE">
        <w:t>Hispanic</w:t>
      </w:r>
      <w:r w:rsidR="00C24AAE">
        <w:t xml:space="preserve"> populations in New York City experienced 34,637 calls, while the ten precincts with the </w:t>
      </w:r>
      <w:r w:rsidR="00C24AAE" w:rsidRPr="00C24AAE">
        <w:t>largest </w:t>
      </w:r>
      <w:r w:rsidR="00FE135C">
        <w:t>w</w:t>
      </w:r>
      <w:r w:rsidR="006B5404">
        <w:t>hite</w:t>
      </w:r>
      <w:r w:rsidR="00C24AAE">
        <w:t xml:space="preserve"> populations in New York City experienced </w:t>
      </w:r>
      <w:r w:rsidR="006B5404">
        <w:t>only 19,197</w:t>
      </w:r>
      <w:r w:rsidR="00C24AAE">
        <w:t xml:space="preserve"> calls</w:t>
      </w:r>
      <w:r w:rsidR="006B5404">
        <w:t>.</w:t>
      </w:r>
      <w:r w:rsidR="006B5404">
        <w:rPr>
          <w:rStyle w:val="FootnoteReference"/>
        </w:rPr>
        <w:footnoteReference w:id="82"/>
      </w:r>
      <w:r w:rsidR="006B5404">
        <w:t xml:space="preserve"> </w:t>
      </w:r>
      <w:r w:rsidR="006B5404" w:rsidRPr="001C666B">
        <w:t>Relatedly, precinct-specific data that shows large numbers of mental health 911 calls in poorer neighborhoods also reflect data that shows that poorer Black and Hispanic neighborhoods register a higher number of psychiatric hospitalizations</w:t>
      </w:r>
      <w:r w:rsidR="006B5404">
        <w:t xml:space="preserve">, thus </w:t>
      </w:r>
      <w:r w:rsidR="00E7050F">
        <w:t>underlining</w:t>
      </w:r>
      <w:r w:rsidR="006B5404">
        <w:t xml:space="preserve"> the ED-criminal justice pipeline described above.</w:t>
      </w:r>
      <w:r w:rsidR="006B5404">
        <w:rPr>
          <w:rStyle w:val="FootnoteReference"/>
        </w:rPr>
        <w:footnoteReference w:id="83"/>
      </w:r>
    </w:p>
    <w:p w14:paraId="1F6AB93D" w14:textId="4CDB60C9" w:rsidR="00AB2BAD" w:rsidRPr="007E290C" w:rsidRDefault="006B5404" w:rsidP="006B5404">
      <w:pPr>
        <w:spacing w:line="480" w:lineRule="auto"/>
        <w:ind w:firstLine="720"/>
        <w:jc w:val="both"/>
      </w:pPr>
      <w:r>
        <w:t xml:space="preserve">For police who are not properly trained in mental health response, and even for those who are trained, responding officers need to assess whether an individual is a </w:t>
      </w:r>
      <w:r w:rsidR="00E7050F">
        <w:t>potential threat</w:t>
      </w:r>
      <w:r>
        <w:t xml:space="preserve"> to themselves or to the general public.</w:t>
      </w:r>
      <w:r>
        <w:rPr>
          <w:rStyle w:val="FootnoteReference"/>
        </w:rPr>
        <w:footnoteReference w:id="84"/>
      </w:r>
      <w:r>
        <w:t xml:space="preserve"> While this individualized assessment is itself problematic for officers who are not the appropriate </w:t>
      </w:r>
      <w:r w:rsidR="00E7050F">
        <w:t xml:space="preserve">or experienced </w:t>
      </w:r>
      <w:r>
        <w:t xml:space="preserve">responders to mental health emergencies, it becomes even more problematic once race or ethnicity </w:t>
      </w:r>
      <w:r w:rsidRPr="00E7050F">
        <w:t>is layered into the assessment due to implicit bias and perceptions of “</w:t>
      </w:r>
      <w:r w:rsidR="00E7050F">
        <w:t>dangerousness,</w:t>
      </w:r>
      <w:r w:rsidRPr="00E7050F">
        <w:t>”</w:t>
      </w:r>
      <w:r w:rsidR="00E7050F">
        <w:t xml:space="preserve"> which tend to reinforce racial inequities.</w:t>
      </w:r>
      <w:r w:rsidRPr="00E7050F">
        <w:rPr>
          <w:rStyle w:val="FootnoteReference"/>
        </w:rPr>
        <w:footnoteReference w:id="85"/>
      </w:r>
      <w:r w:rsidRPr="00E7050F">
        <w:t xml:space="preserve"> </w:t>
      </w:r>
      <w:r w:rsidR="00E7050F" w:rsidRPr="00E7050F">
        <w:t>According to mental health experts, such biased assessments</w:t>
      </w:r>
      <w:r w:rsidR="00FE135C">
        <w:t>—</w:t>
      </w:r>
      <w:r w:rsidR="00E7050F" w:rsidRPr="00E7050F">
        <w:t>particularly, t</w:t>
      </w:r>
      <w:r w:rsidR="00E7050F" w:rsidRPr="00E7050F">
        <w:rPr>
          <w:spacing w:val="9"/>
        </w:rPr>
        <w:t>he intersection of race and disability and/or mental illness</w:t>
      </w:r>
      <w:r w:rsidR="00FE135C">
        <w:t>—</w:t>
      </w:r>
      <w:r w:rsidR="00E7050F" w:rsidRPr="00E7050F">
        <w:rPr>
          <w:spacing w:val="9"/>
        </w:rPr>
        <w:t>can and do have violent outcomes for Black Americans</w:t>
      </w:r>
      <w:r w:rsidR="00E7050F" w:rsidRPr="00E7050F">
        <w:t>.</w:t>
      </w:r>
      <w:r w:rsidR="00E7050F" w:rsidRPr="00E7050F">
        <w:rPr>
          <w:rStyle w:val="FootnoteReference"/>
        </w:rPr>
        <w:footnoteReference w:id="86"/>
      </w:r>
    </w:p>
    <w:p w14:paraId="5C8C00FC" w14:textId="44DE349A" w:rsidR="00FD715C" w:rsidRPr="007E290C" w:rsidRDefault="00FD715C" w:rsidP="007E290C">
      <w:pPr>
        <w:pStyle w:val="ListParagraph"/>
        <w:numPr>
          <w:ilvl w:val="0"/>
          <w:numId w:val="10"/>
        </w:numPr>
        <w:spacing w:line="480" w:lineRule="auto"/>
        <w:jc w:val="both"/>
        <w:rPr>
          <w:i/>
        </w:rPr>
      </w:pPr>
      <w:r w:rsidRPr="007E290C">
        <w:rPr>
          <w:i/>
        </w:rPr>
        <w:t>Access to Mental Health Care in Communities of Color</w:t>
      </w:r>
    </w:p>
    <w:p w14:paraId="4984AB75" w14:textId="0FC3B8E1" w:rsidR="003E6B54" w:rsidRDefault="00E7050F" w:rsidP="003E6B54">
      <w:pPr>
        <w:spacing w:line="480" w:lineRule="auto"/>
        <w:ind w:firstLine="720"/>
        <w:jc w:val="both"/>
      </w:pPr>
      <w:r>
        <w:t xml:space="preserve">Underlying the </w:t>
      </w:r>
      <w:r w:rsidR="00253141">
        <w:t>problematic police response to Black and Brown individuals with mental illness is the lack of access to</w:t>
      </w:r>
      <w:r w:rsidR="00253141" w:rsidRPr="00997D8D">
        <w:t xml:space="preserve"> affordable, culturally-sensitive care within Black and Brown communities and other communities of color.</w:t>
      </w:r>
      <w:r w:rsidR="00253141" w:rsidRPr="00997D8D">
        <w:rPr>
          <w:rStyle w:val="FootnoteReference"/>
        </w:rPr>
        <w:footnoteReference w:id="87"/>
      </w:r>
      <w:r w:rsidR="003E6B54" w:rsidRPr="00997D8D">
        <w:t xml:space="preserve"> Across the country, an estimated </w:t>
      </w:r>
      <w:r w:rsidR="003E6B54" w:rsidRPr="00997D8D">
        <w:rPr>
          <w:color w:val="2A2A2A"/>
        </w:rPr>
        <w:t xml:space="preserve">119 million Americans live in a “mental health desert” or “Mental Health Care Professional Shortage Area,” which means they </w:t>
      </w:r>
      <w:r w:rsidR="00997D8D">
        <w:rPr>
          <w:color w:val="2A2A2A"/>
        </w:rPr>
        <w:t>are</w:t>
      </w:r>
      <w:r w:rsidR="003E6B54" w:rsidRPr="00997D8D">
        <w:rPr>
          <w:color w:val="2A2A2A"/>
        </w:rPr>
        <w:t xml:space="preserve"> unable to access </w:t>
      </w:r>
      <w:r w:rsidR="003E6B54" w:rsidRPr="00997D8D">
        <w:t xml:space="preserve">mental health care because </w:t>
      </w:r>
      <w:r w:rsidR="00997D8D" w:rsidRPr="00997D8D">
        <w:t>there are too few mental health providers</w:t>
      </w:r>
      <w:r w:rsidR="003E6B54" w:rsidRPr="00997D8D">
        <w:t> relative to the needs of the population.</w:t>
      </w:r>
      <w:r w:rsidR="00997D8D" w:rsidRPr="00997D8D">
        <w:rPr>
          <w:rStyle w:val="FootnoteReference"/>
        </w:rPr>
        <w:footnoteReference w:id="88"/>
      </w:r>
      <w:r w:rsidR="003E6B54" w:rsidRPr="00997D8D">
        <w:t xml:space="preserve"> Most </w:t>
      </w:r>
      <w:r w:rsidR="00997D8D" w:rsidRPr="00997D8D">
        <w:t>Americans</w:t>
      </w:r>
      <w:r w:rsidR="003E6B54" w:rsidRPr="00997D8D">
        <w:t xml:space="preserve"> living in mental health deserts are</w:t>
      </w:r>
      <w:r w:rsidR="00997D8D" w:rsidRPr="00997D8D">
        <w:t xml:space="preserve"> people of color</w:t>
      </w:r>
      <w:r w:rsidR="00997D8D">
        <w:t> and those in rural areas.</w:t>
      </w:r>
      <w:r w:rsidR="00997D8D">
        <w:rPr>
          <w:rStyle w:val="FootnoteReference"/>
        </w:rPr>
        <w:footnoteReference w:id="89"/>
      </w:r>
      <w:r w:rsidR="00997D8D">
        <w:t xml:space="preserve"> This trend holds true in New York City, where, for example, in the Bronx, </w:t>
      </w:r>
      <w:r w:rsidR="00997D8D" w:rsidRPr="00145A5E">
        <w:t>91 percent of residents insured by Medicaid live in a mental health desert</w:t>
      </w:r>
      <w:r w:rsidR="00997D8D">
        <w:t>, most of whom are Black, Brown, and low income New Yorkers.</w:t>
      </w:r>
      <w:r w:rsidR="00997D8D">
        <w:rPr>
          <w:rStyle w:val="FootnoteReference"/>
        </w:rPr>
        <w:footnoteReference w:id="90"/>
      </w:r>
      <w:r w:rsidR="001D6432">
        <w:t xml:space="preserve"> Further, according to t</w:t>
      </w:r>
      <w:r w:rsidR="001D6432" w:rsidRPr="00145A5E">
        <w:t xml:space="preserve">he </w:t>
      </w:r>
      <w:r w:rsidR="001D6432">
        <w:t xml:space="preserve">United States </w:t>
      </w:r>
      <w:r w:rsidR="001D6432" w:rsidRPr="00145A5E">
        <w:t>Health and Human Ser</w:t>
      </w:r>
      <w:r w:rsidR="001D6432">
        <w:t xml:space="preserve">vices Office of Minority Health, Black Americans </w:t>
      </w:r>
      <w:r w:rsidR="001D6432" w:rsidRPr="00145A5E">
        <w:t>living below the poverty level are twice as likely to report psychological distress as thos</w:t>
      </w:r>
      <w:r w:rsidR="001D6432">
        <w:t xml:space="preserve">e over twice the poverty level, yet </w:t>
      </w:r>
      <w:r w:rsidR="001D6432" w:rsidRPr="00145A5E">
        <w:t>less than half of Black adults who need mental health care for serious conditions receive it</w:t>
      </w:r>
      <w:r w:rsidR="001D6432">
        <w:t>.</w:t>
      </w:r>
      <w:r w:rsidR="001D6432">
        <w:rPr>
          <w:rStyle w:val="FootnoteReference"/>
        </w:rPr>
        <w:footnoteReference w:id="91"/>
      </w:r>
    </w:p>
    <w:p w14:paraId="09424A2A" w14:textId="45480480" w:rsidR="001D6432" w:rsidRDefault="00997D8D" w:rsidP="001D6432">
      <w:pPr>
        <w:spacing w:line="480" w:lineRule="auto"/>
        <w:ind w:firstLine="720"/>
        <w:jc w:val="both"/>
      </w:pPr>
      <w:r>
        <w:t>The lack of mental health access in communities of color is a</w:t>
      </w:r>
      <w:r w:rsidR="001D6432">
        <w:t xml:space="preserve"> deep, and complicated problem which extends beyond a simple lack of providers </w:t>
      </w:r>
      <w:r w:rsidR="006A034A">
        <w:t xml:space="preserve">within </w:t>
      </w:r>
      <w:r w:rsidR="001D6432">
        <w:t>communities of color.</w:t>
      </w:r>
      <w:r w:rsidR="001D6432">
        <w:rPr>
          <w:rStyle w:val="FootnoteReference"/>
        </w:rPr>
        <w:footnoteReference w:id="92"/>
      </w:r>
      <w:r w:rsidR="001D6432">
        <w:t xml:space="preserve"> </w:t>
      </w:r>
      <w:r w:rsidR="006A034A">
        <w:t>To start</w:t>
      </w:r>
      <w:r w:rsidR="001D6432">
        <w:t xml:space="preserve">, Black are Brown communities are far more likely to be under- or uninsured than their </w:t>
      </w:r>
      <w:r w:rsidR="00F76322">
        <w:t>w</w:t>
      </w:r>
      <w:r w:rsidR="001D6432">
        <w:t>hite counterparts, which decreases access to affordable mental health care.</w:t>
      </w:r>
      <w:r w:rsidR="001D6432">
        <w:rPr>
          <w:rStyle w:val="FootnoteReference"/>
        </w:rPr>
        <w:footnoteReference w:id="93"/>
      </w:r>
      <w:r w:rsidR="006A034A">
        <w:t xml:space="preserve"> </w:t>
      </w:r>
      <w:r w:rsidR="001D6432">
        <w:t>Black and Brown communities are also less likely to receive culturally-sensitive, trauma-informed care, which is crucial to building trust between providers and communities.</w:t>
      </w:r>
      <w:r w:rsidR="001D6432">
        <w:rPr>
          <w:rStyle w:val="FootnoteReference"/>
        </w:rPr>
        <w:footnoteReference w:id="94"/>
      </w:r>
      <w:r w:rsidR="001D6432">
        <w:t xml:space="preserve"> This is partially explained by the disproportionately </w:t>
      </w:r>
      <w:r w:rsidR="00F76322">
        <w:t>w</w:t>
      </w:r>
      <w:r w:rsidR="001D6432">
        <w:t xml:space="preserve">hite mental health workforce: </w:t>
      </w:r>
      <w:r w:rsidR="00F76322">
        <w:t>a</w:t>
      </w:r>
      <w:r w:rsidR="001D6432" w:rsidRPr="00145A5E">
        <w:t>ccording to the </w:t>
      </w:r>
      <w:r w:rsidR="001D6432" w:rsidRPr="001D6432">
        <w:t>American Psychological Association</w:t>
      </w:r>
      <w:r w:rsidR="001D6432" w:rsidRPr="00145A5E">
        <w:t>, about 86 percent of psychologists in the U.S. were white in 2018 and about 15 percent were from other racial and ethnic groups</w:t>
      </w:r>
      <w:r w:rsidR="001D6432">
        <w:t>.</w:t>
      </w:r>
      <w:r w:rsidR="001D6432">
        <w:rPr>
          <w:rStyle w:val="FootnoteReference"/>
        </w:rPr>
        <w:footnoteReference w:id="95"/>
      </w:r>
      <w:r w:rsidR="001D6432">
        <w:t xml:space="preserve"> Growing the mental health workforce in communities of color requires sustained educational and outreach efforts, federal student loan forgiveness, better guarantees of federal insurance parity and livable wages for mental health workers, and increased efforts to incentivize Black and Brown Americans to attend and have access to mental health training and graduate programs.</w:t>
      </w:r>
      <w:r w:rsidR="001D6432">
        <w:rPr>
          <w:rStyle w:val="FootnoteReference"/>
        </w:rPr>
        <w:footnoteReference w:id="96"/>
      </w:r>
      <w:r w:rsidR="006A034A">
        <w:t xml:space="preserve"> </w:t>
      </w:r>
    </w:p>
    <w:p w14:paraId="0DD95274" w14:textId="70073886" w:rsidR="006A034A" w:rsidRPr="00997D8D" w:rsidRDefault="006A034A" w:rsidP="001D6432">
      <w:pPr>
        <w:spacing w:line="480" w:lineRule="auto"/>
        <w:ind w:firstLine="720"/>
        <w:jc w:val="both"/>
      </w:pPr>
      <w:r>
        <w:t>Without access to culturally sensitive, affordable, and sustained mental health care within Black and Brown communities, mental health emergencies will continue to disproportionately prevail in communities of color, and police will continue to inappropriately intervene.</w:t>
      </w:r>
      <w:r>
        <w:rPr>
          <w:rStyle w:val="FootnoteReference"/>
        </w:rPr>
        <w:footnoteReference w:id="97"/>
      </w:r>
    </w:p>
    <w:p w14:paraId="32771439" w14:textId="63AC1AC6" w:rsidR="00683A06" w:rsidRPr="00683A06" w:rsidRDefault="00683A06" w:rsidP="00683A06">
      <w:pPr>
        <w:pStyle w:val="ListParagraph"/>
        <w:numPr>
          <w:ilvl w:val="0"/>
          <w:numId w:val="7"/>
        </w:numPr>
        <w:spacing w:line="480" w:lineRule="auto"/>
        <w:jc w:val="both"/>
        <w:rPr>
          <w:i/>
        </w:rPr>
      </w:pPr>
      <w:r w:rsidRPr="00683A06">
        <w:rPr>
          <w:i/>
        </w:rPr>
        <w:t>Best Practices/Other Jurisdictions’ Approaches to Mental Health Emergencies</w:t>
      </w:r>
    </w:p>
    <w:p w14:paraId="1D4FABEC" w14:textId="77777777" w:rsidR="00683A06" w:rsidRDefault="00683A06" w:rsidP="00683A06">
      <w:pPr>
        <w:pStyle w:val="ListParagraph"/>
        <w:numPr>
          <w:ilvl w:val="1"/>
          <w:numId w:val="8"/>
        </w:numPr>
        <w:spacing w:line="480" w:lineRule="auto"/>
        <w:jc w:val="both"/>
        <w:rPr>
          <w:i/>
          <w:iCs/>
        </w:rPr>
      </w:pPr>
      <w:r>
        <w:rPr>
          <w:i/>
          <w:iCs/>
        </w:rPr>
        <w:t>CAHOOTS</w:t>
      </w:r>
    </w:p>
    <w:p w14:paraId="14832EB7" w14:textId="77777777" w:rsidR="00683A06" w:rsidRDefault="00683A06" w:rsidP="00683A06">
      <w:pPr>
        <w:spacing w:line="480" w:lineRule="auto"/>
        <w:ind w:firstLine="720"/>
        <w:jc w:val="both"/>
      </w:pPr>
      <w:r w:rsidRPr="00B26F20">
        <w:t xml:space="preserve">In 1989, the </w:t>
      </w:r>
      <w:r>
        <w:t>c</w:t>
      </w:r>
      <w:r w:rsidRPr="00B26F20">
        <w:t>ity of Eugene, Oregon launched CAHOOTS</w:t>
      </w:r>
      <w:r>
        <w:t xml:space="preserve"> (Crisis Assistance Helping Out On </w:t>
      </w:r>
      <w:r w:rsidRPr="00B26F20">
        <w:t>The S</w:t>
      </w:r>
      <w:r>
        <w:t xml:space="preserve">treets), a community-based public safety system that provides mental health first </w:t>
      </w:r>
      <w:r w:rsidRPr="00D72634">
        <w:t>response for crises involving mental illness, homelessness, and addiction.</w:t>
      </w:r>
      <w:bookmarkStart w:id="8" w:name="_Ref64470745"/>
      <w:r w:rsidRPr="00D72634">
        <w:rPr>
          <w:rStyle w:val="FootnoteReference"/>
        </w:rPr>
        <w:footnoteReference w:id="98"/>
      </w:r>
      <w:bookmarkEnd w:id="8"/>
      <w:r w:rsidRPr="00D72634">
        <w:t xml:space="preserve"> </w:t>
      </w:r>
      <w:r>
        <w:t>The program</w:t>
      </w:r>
      <w:r w:rsidRPr="00806B54">
        <w:t xml:space="preserve"> is</w:t>
      </w:r>
      <w:r>
        <w:t xml:space="preserve"> </w:t>
      </w:r>
      <w:r w:rsidRPr="00806B54">
        <w:t>staffed and operated by the White Bird Clinic, a non-profit Health Center.</w:t>
      </w:r>
      <w:r w:rsidRPr="00806B54">
        <w:rPr>
          <w:vertAlign w:val="superscript"/>
        </w:rPr>
        <w:footnoteReference w:id="99"/>
      </w:r>
      <w:r>
        <w:t xml:space="preserve"> CAHOOTS was initially created to be a </w:t>
      </w:r>
      <w:r w:rsidRPr="007C6ACA">
        <w:t>service capable of handling noncriminal, nonemergency police and medical calls.</w:t>
      </w:r>
      <w:bookmarkStart w:id="9" w:name="_Ref64470928"/>
      <w:r>
        <w:rPr>
          <w:rStyle w:val="FootnoteReference"/>
        </w:rPr>
        <w:footnoteReference w:id="100"/>
      </w:r>
      <w:bookmarkEnd w:id="9"/>
      <w:r>
        <w:t xml:space="preserve"> Today, CAHOOTS responds to requests typically handled by police and EMS</w:t>
      </w:r>
      <w:r w:rsidRPr="007C6ACA">
        <w:t>.</w:t>
      </w:r>
      <w:r>
        <w:rPr>
          <w:rStyle w:val="FootnoteReference"/>
        </w:rPr>
        <w:footnoteReference w:id="101"/>
      </w:r>
    </w:p>
    <w:p w14:paraId="07A3DBE1" w14:textId="6B089840" w:rsidR="00683A06" w:rsidRDefault="00683A06" w:rsidP="00683A06">
      <w:pPr>
        <w:spacing w:line="480" w:lineRule="auto"/>
        <w:ind w:firstLine="720"/>
        <w:jc w:val="both"/>
      </w:pPr>
      <w:r>
        <w:t>When CAHOOTS is notified of a</w:t>
      </w:r>
      <w:r w:rsidRPr="00D72634">
        <w:t xml:space="preserve"> behavioral health crisis</w:t>
      </w:r>
      <w:r>
        <w:t xml:space="preserve">, a </w:t>
      </w:r>
      <w:r w:rsidRPr="00D72634">
        <w:t>two-person team consisting of a medic (a nurse, paramedic, or EMT) and a crisis worker</w:t>
      </w:r>
      <w:r>
        <w:t>,</w:t>
      </w:r>
      <w:r w:rsidRPr="00D72634">
        <w:t xml:space="preserve"> who has substantial training and experience in the mental health field</w:t>
      </w:r>
      <w:r>
        <w:t>, are dispatched.</w:t>
      </w:r>
      <w:r>
        <w:rPr>
          <w:rStyle w:val="FootnoteReference"/>
        </w:rPr>
        <w:footnoteReference w:id="102"/>
      </w:r>
      <w:r>
        <w:t xml:space="preserve"> Upon arrival,</w:t>
      </w:r>
      <w:r w:rsidRPr="00806B54">
        <w:t xml:space="preserve"> </w:t>
      </w:r>
      <w:r>
        <w:t xml:space="preserve">the </w:t>
      </w:r>
      <w:r w:rsidRPr="00806B54">
        <w:t xml:space="preserve">team will assess the situation and provide </w:t>
      </w:r>
      <w:r w:rsidRPr="00D72634">
        <w:t>crisis intervention, counseling, mediation, information and referral, transportation to social services, first aid, and basic-level emergency medical care</w:t>
      </w:r>
      <w:r w:rsidRPr="00806B54">
        <w:t>.</w:t>
      </w:r>
      <w:bookmarkStart w:id="10" w:name="_Ref64470836"/>
      <w:r>
        <w:rPr>
          <w:rStyle w:val="FootnoteReference"/>
        </w:rPr>
        <w:footnoteReference w:id="103"/>
      </w:r>
      <w:bookmarkEnd w:id="10"/>
      <w:r>
        <w:t xml:space="preserve"> </w:t>
      </w:r>
      <w:r w:rsidRPr="00456800">
        <w:t>CAHOOTS responders can</w:t>
      </w:r>
      <w:r w:rsidR="00F67560">
        <w:t>no</w:t>
      </w:r>
      <w:r w:rsidRPr="00456800">
        <w:t>t force anyone to accept their aid</w:t>
      </w:r>
      <w:r>
        <w:t xml:space="preserve"> </w:t>
      </w:r>
      <w:r w:rsidRPr="00456800">
        <w:t>and they can</w:t>
      </w:r>
      <w:r w:rsidR="00F67560">
        <w:t>no</w:t>
      </w:r>
      <w:r w:rsidRPr="00456800">
        <w:t>t arrest anyone.</w:t>
      </w:r>
      <w:bookmarkStart w:id="11" w:name="_Ref64470969"/>
      <w:r w:rsidRPr="00456800">
        <w:rPr>
          <w:vertAlign w:val="superscript"/>
        </w:rPr>
        <w:footnoteReference w:id="104"/>
      </w:r>
      <w:bookmarkEnd w:id="11"/>
      <w:r w:rsidRPr="00456800">
        <w:t xml:space="preserve"> </w:t>
      </w:r>
      <w:r>
        <w:t>Moreover, CAHOOTS responders are</w:t>
      </w:r>
      <w:r w:rsidRPr="00456800">
        <w:t xml:space="preserve"> not armed, and their uniform</w:t>
      </w:r>
      <w:r w:rsidR="00150E10">
        <w:t>s</w:t>
      </w:r>
      <w:r w:rsidRPr="00456800">
        <w:t xml:space="preserve"> usually consists of a White Bird T-shirt and jeans</w:t>
      </w:r>
      <w:r>
        <w:t>.</w:t>
      </w:r>
      <w:r w:rsidRPr="00456800">
        <w:rPr>
          <w:vertAlign w:val="superscript"/>
        </w:rPr>
        <w:footnoteReference w:id="105"/>
      </w:r>
      <w:r>
        <w:t xml:space="preserve"> The idea is that </w:t>
      </w:r>
      <w:r w:rsidRPr="00456800">
        <w:t>the more "civilian-like" the</w:t>
      </w:r>
      <w:r>
        <w:t xml:space="preserve"> responders</w:t>
      </w:r>
      <w:r w:rsidRPr="00456800">
        <w:t xml:space="preserve"> look, the less threatened their clients will feel.</w:t>
      </w:r>
      <w:r w:rsidRPr="00456800">
        <w:rPr>
          <w:vertAlign w:val="superscript"/>
        </w:rPr>
        <w:footnoteReference w:id="106"/>
      </w:r>
      <w:r>
        <w:t xml:space="preserve"> </w:t>
      </w:r>
      <w:r w:rsidRPr="007B4791">
        <w:t>Only in rare cases do CAHOOTS staff request police or EMS to transport patients against their will</w:t>
      </w:r>
      <w:r>
        <w:t>.</w:t>
      </w:r>
      <w:r>
        <w:rPr>
          <w:rStyle w:val="FootnoteReference"/>
        </w:rPr>
        <w:footnoteReference w:id="107"/>
      </w:r>
      <w:r>
        <w:t xml:space="preserve"> In 2019</w:t>
      </w:r>
      <w:r w:rsidRPr="000A2C3F">
        <w:t xml:space="preserve">, out of a total of roughly 24,000 CAHOOTS calls, police backup was </w:t>
      </w:r>
      <w:r w:rsidR="00150E10">
        <w:t xml:space="preserve">only </w:t>
      </w:r>
      <w:r w:rsidR="006A4ACE">
        <w:t>requested 150 times.</w:t>
      </w:r>
      <w:r>
        <w:rPr>
          <w:rStyle w:val="FootnoteReference"/>
        </w:rPr>
        <w:footnoteReference w:id="108"/>
      </w:r>
      <w:r>
        <w:t xml:space="preserve"> </w:t>
      </w:r>
      <w:r>
        <w:tab/>
      </w:r>
    </w:p>
    <w:p w14:paraId="3436FF76" w14:textId="77777777" w:rsidR="00683A06" w:rsidRDefault="00683A06" w:rsidP="006A4ACE">
      <w:pPr>
        <w:spacing w:line="480" w:lineRule="auto"/>
        <w:ind w:firstLine="720"/>
        <w:jc w:val="both"/>
      </w:pPr>
      <w:r w:rsidRPr="00456800">
        <w:t>CAHOOTS is</w:t>
      </w:r>
      <w:r w:rsidR="0043180C">
        <w:t xml:space="preserve"> </w:t>
      </w:r>
      <w:r>
        <w:t>notified of a</w:t>
      </w:r>
      <w:r w:rsidRPr="00D72634">
        <w:t xml:space="preserve"> behavioral health crisis</w:t>
      </w:r>
      <w:r w:rsidRPr="00456800">
        <w:t xml:space="preserve"> by police dispatchers</w:t>
      </w:r>
      <w:r>
        <w:t>.</w:t>
      </w:r>
      <w:r>
        <w:rPr>
          <w:rStyle w:val="FootnoteReference"/>
        </w:rPr>
        <w:footnoteReference w:id="109"/>
      </w:r>
      <w:r>
        <w:t xml:space="preserve"> Dispatchers</w:t>
      </w:r>
      <w:r w:rsidRPr="00456800">
        <w:t xml:space="preserve"> </w:t>
      </w:r>
      <w:r>
        <w:t>a</w:t>
      </w:r>
      <w:r w:rsidRPr="00FD1443">
        <w:t>re trained to recognize non-violent situations with a behavioral health component and route those calls to CAHOOTS.</w:t>
      </w:r>
      <w:r>
        <w:rPr>
          <w:rStyle w:val="FootnoteReference"/>
        </w:rPr>
        <w:footnoteReference w:id="110"/>
      </w:r>
      <w:r>
        <w:t xml:space="preserve"> </w:t>
      </w:r>
      <w:r w:rsidRPr="00FD1443">
        <w:t>The police department and CAHOOTS staff</w:t>
      </w:r>
      <w:r>
        <w:t xml:space="preserve"> </w:t>
      </w:r>
      <w:r w:rsidRPr="00FD1443">
        <w:t>collaboratively developed criteria for calls that might prompt a CAHOOTS team to respond</w:t>
      </w:r>
      <w:r>
        <w:t>.</w:t>
      </w:r>
      <w:r>
        <w:rPr>
          <w:rStyle w:val="FootnoteReference"/>
        </w:rPr>
        <w:footnoteReference w:id="111"/>
      </w:r>
      <w:r>
        <w:t xml:space="preserve"> However,</w:t>
      </w:r>
      <w:r w:rsidRPr="00FD1443">
        <w:t xml:space="preserve"> </w:t>
      </w:r>
      <w:r>
        <w:t>the criteria</w:t>
      </w:r>
      <w:r w:rsidRPr="00FD1443">
        <w:t xml:space="preserve"> used as a guide rather than a rule.</w:t>
      </w:r>
      <w:r>
        <w:rPr>
          <w:rStyle w:val="FootnoteReference"/>
        </w:rPr>
        <w:footnoteReference w:id="112"/>
      </w:r>
      <w:r>
        <w:t xml:space="preserve"> In addition, individuals, after calling the </w:t>
      </w:r>
      <w:r w:rsidRPr="00456800">
        <w:t xml:space="preserve">nonemergency police line or 911, </w:t>
      </w:r>
      <w:r>
        <w:t>can</w:t>
      </w:r>
      <w:r w:rsidRPr="00456800">
        <w:t xml:space="preserve"> </w:t>
      </w:r>
      <w:r>
        <w:t>specifically</w:t>
      </w:r>
      <w:r w:rsidRPr="00456800">
        <w:t xml:space="preserve"> request CAHOOTS</w:t>
      </w:r>
      <w:r>
        <w:t>.</w:t>
      </w:r>
      <w:r w:rsidRPr="00456800">
        <w:rPr>
          <w:vertAlign w:val="superscript"/>
        </w:rPr>
        <w:footnoteReference w:id="113"/>
      </w:r>
    </w:p>
    <w:p w14:paraId="3CF3189A" w14:textId="63761818" w:rsidR="00683A06" w:rsidRDefault="00683A06" w:rsidP="006A4ACE">
      <w:pPr>
        <w:spacing w:line="480" w:lineRule="auto"/>
        <w:ind w:firstLine="720"/>
        <w:jc w:val="both"/>
      </w:pPr>
      <w:r w:rsidRPr="00690DD2">
        <w:t>When CAHOOTS</w:t>
      </w:r>
      <w:r>
        <w:t xml:space="preserve"> began, it</w:t>
      </w:r>
      <w:r w:rsidRPr="00690DD2">
        <w:t xml:space="preserve"> had very limited availability in Eugene</w:t>
      </w:r>
      <w:r>
        <w:t>, Oregon</w:t>
      </w:r>
      <w:r w:rsidRPr="00690DD2">
        <w:t>.</w:t>
      </w:r>
      <w:r w:rsidRPr="00456800">
        <w:rPr>
          <w:vertAlign w:val="superscript"/>
        </w:rPr>
        <w:footnoteReference w:id="114"/>
      </w:r>
      <w:r w:rsidRPr="00690DD2">
        <w:t xml:space="preserve"> </w:t>
      </w:r>
      <w:r>
        <w:t>Today, CAHOOTS operates as</w:t>
      </w:r>
      <w:r w:rsidRPr="00690DD2">
        <w:t xml:space="preserve"> a 24-hour service in </w:t>
      </w:r>
      <w:r w:rsidR="00F67560">
        <w:t>two</w:t>
      </w:r>
      <w:r w:rsidRPr="00690DD2">
        <w:t xml:space="preserve"> cities, Eugene and Springfield</w:t>
      </w:r>
      <w:r>
        <w:t xml:space="preserve">, Oregon and </w:t>
      </w:r>
      <w:r w:rsidRPr="00690DD2">
        <w:t>respond</w:t>
      </w:r>
      <w:r>
        <w:t>s</w:t>
      </w:r>
      <w:r w:rsidRPr="00690DD2">
        <w:t xml:space="preserve"> to more than 65 calls per day</w:t>
      </w:r>
      <w:r>
        <w:t>.</w:t>
      </w:r>
      <w:r w:rsidRPr="00456800">
        <w:rPr>
          <w:vertAlign w:val="superscript"/>
        </w:rPr>
        <w:footnoteReference w:id="115"/>
      </w:r>
      <w:r>
        <w:t xml:space="preserve"> </w:t>
      </w:r>
      <w:r w:rsidRPr="000A2C3F">
        <w:t>In 2017, CAHOOTS answered 17</w:t>
      </w:r>
      <w:r w:rsidR="00F67560">
        <w:t xml:space="preserve"> percent</w:t>
      </w:r>
      <w:r w:rsidRPr="000A2C3F">
        <w:t xml:space="preserve"> of the Eugene Police Department’s overall call volume.</w:t>
      </w:r>
      <w:r>
        <w:rPr>
          <w:rStyle w:val="FootnoteReference"/>
        </w:rPr>
        <w:footnoteReference w:id="116"/>
      </w:r>
      <w:r w:rsidRPr="000A2C3F">
        <w:t xml:space="preserve"> The program saves the city of Eugene an estimated $8.5 million in public safety spending annually</w:t>
      </w:r>
      <w:r>
        <w:rPr>
          <w:rStyle w:val="FootnoteReference"/>
        </w:rPr>
        <w:footnoteReference w:id="117"/>
      </w:r>
      <w:r>
        <w:t xml:space="preserve"> and </w:t>
      </w:r>
      <w:r w:rsidRPr="003404A9">
        <w:t>another $14 million in ambulance trips and E</w:t>
      </w:r>
      <w:r w:rsidR="006A4ACE">
        <w:t>mergency Department</w:t>
      </w:r>
      <w:r w:rsidRPr="003404A9">
        <w:t xml:space="preserve"> costs.</w:t>
      </w:r>
      <w:r>
        <w:rPr>
          <w:rStyle w:val="FootnoteReference"/>
        </w:rPr>
        <w:footnoteReference w:id="118"/>
      </w:r>
      <w:r>
        <w:t xml:space="preserve"> </w:t>
      </w:r>
    </w:p>
    <w:p w14:paraId="55039167" w14:textId="77777777" w:rsidR="00683A06" w:rsidRPr="00B378AE" w:rsidRDefault="00683A06" w:rsidP="00683A06">
      <w:pPr>
        <w:pStyle w:val="ListParagraph"/>
        <w:numPr>
          <w:ilvl w:val="1"/>
          <w:numId w:val="8"/>
        </w:numPr>
        <w:spacing w:line="480" w:lineRule="auto"/>
        <w:jc w:val="both"/>
        <w:rPr>
          <w:i/>
          <w:iCs/>
        </w:rPr>
      </w:pPr>
      <w:r>
        <w:rPr>
          <w:i/>
          <w:iCs/>
        </w:rPr>
        <w:t>Crisis Response Unit</w:t>
      </w:r>
    </w:p>
    <w:p w14:paraId="04EE04DF" w14:textId="0282B5AF" w:rsidR="00683A06" w:rsidRPr="00B378AE" w:rsidRDefault="00683A06" w:rsidP="006A4ACE">
      <w:pPr>
        <w:spacing w:line="480" w:lineRule="auto"/>
        <w:ind w:firstLine="720"/>
        <w:jc w:val="both"/>
      </w:pPr>
      <w:r>
        <w:t>T</w:t>
      </w:r>
      <w:r w:rsidRPr="00150A5D">
        <w:t xml:space="preserve">he Crisis Response Unit (CRU) is a partnership between </w:t>
      </w:r>
      <w:r w:rsidR="00F67560">
        <w:t xml:space="preserve">Washington, </w:t>
      </w:r>
      <w:r w:rsidRPr="00150A5D">
        <w:t xml:space="preserve">Olympia Police Department </w:t>
      </w:r>
      <w:r>
        <w:t xml:space="preserve">(OPD) </w:t>
      </w:r>
      <w:r w:rsidRPr="00150A5D">
        <w:t>and Recovery Innovations International to provide free, confidential, voluntary crisis response assistance.</w:t>
      </w:r>
      <w:r>
        <w:rPr>
          <w:rStyle w:val="FootnoteReference"/>
        </w:rPr>
        <w:footnoteReference w:id="119"/>
      </w:r>
      <w:r>
        <w:t xml:space="preserve"> Similar to CAHOOTS, the program </w:t>
      </w:r>
      <w:r w:rsidRPr="002D788E">
        <w:t>provide</w:t>
      </w:r>
      <w:r>
        <w:t>s</w:t>
      </w:r>
      <w:r w:rsidRPr="002D788E">
        <w:t xml:space="preserve"> outreach services to those in crisis, identif</w:t>
      </w:r>
      <w:r>
        <w:t>ies</w:t>
      </w:r>
      <w:r w:rsidRPr="002D788E">
        <w:t xml:space="preserve"> each individual's circumstances and needs, and help</w:t>
      </w:r>
      <w:r>
        <w:t>s</w:t>
      </w:r>
      <w:r w:rsidRPr="002D788E">
        <w:t xml:space="preserve"> identify individuals with chronic mental health disorders, substance abuse and co-occurring disorders.</w:t>
      </w:r>
      <w:r>
        <w:rPr>
          <w:rStyle w:val="FootnoteReference"/>
        </w:rPr>
        <w:footnoteReference w:id="120"/>
      </w:r>
      <w:r w:rsidRPr="00150A5D">
        <w:t> </w:t>
      </w:r>
      <w:r>
        <w:t xml:space="preserve">Services provided include </w:t>
      </w:r>
      <w:r w:rsidRPr="00B378AE">
        <w:t>crisis counseling,</w:t>
      </w:r>
      <w:r>
        <w:t xml:space="preserve"> c</w:t>
      </w:r>
      <w:r w:rsidRPr="00B378AE">
        <w:t>onflict resolution and mediation</w:t>
      </w:r>
      <w:r>
        <w:t>, h</w:t>
      </w:r>
      <w:r w:rsidRPr="00B378AE">
        <w:t>arm reduction</w:t>
      </w:r>
      <w:r>
        <w:t>, f</w:t>
      </w:r>
      <w:r w:rsidRPr="00B378AE">
        <w:t>irst aid and non-emergency medical care/connections</w:t>
      </w:r>
      <w:r>
        <w:t>, r</w:t>
      </w:r>
      <w:r w:rsidRPr="00B378AE">
        <w:t>esource connections and referrals</w:t>
      </w:r>
      <w:r>
        <w:t>, and t</w:t>
      </w:r>
      <w:r w:rsidRPr="00B378AE">
        <w:t>ransportation to services</w:t>
      </w:r>
      <w:r>
        <w:t>.</w:t>
      </w:r>
      <w:r>
        <w:rPr>
          <w:rStyle w:val="FootnoteReference"/>
        </w:rPr>
        <w:footnoteReference w:id="121"/>
      </w:r>
      <w:r>
        <w:t xml:space="preserve"> </w:t>
      </w:r>
      <w:r w:rsidRPr="00150A5D">
        <w:t xml:space="preserve">The Crisis Response Unit </w:t>
      </w:r>
      <w:r>
        <w:t>cannot restrain people against their will.</w:t>
      </w:r>
      <w:r>
        <w:rPr>
          <w:rStyle w:val="FootnoteReference"/>
        </w:rPr>
        <w:footnoteReference w:id="122"/>
      </w:r>
      <w:r>
        <w:t xml:space="preserve">  </w:t>
      </w:r>
    </w:p>
    <w:p w14:paraId="3A3D9A6E" w14:textId="77777777" w:rsidR="00683A06" w:rsidRDefault="00683A06" w:rsidP="006A4ACE">
      <w:pPr>
        <w:spacing w:line="480" w:lineRule="auto"/>
        <w:ind w:firstLine="720"/>
        <w:jc w:val="both"/>
      </w:pPr>
      <w:r>
        <w:t>C</w:t>
      </w:r>
      <w:r w:rsidRPr="00B378AE">
        <w:t>RU teams</w:t>
      </w:r>
      <w:r>
        <w:t xml:space="preserve">, consisting of two </w:t>
      </w:r>
      <w:r w:rsidRPr="0096038B">
        <w:t>behavioral health specialists</w:t>
      </w:r>
      <w:r>
        <w:t>,</w:t>
      </w:r>
      <w:r w:rsidRPr="00B378AE">
        <w:t xml:space="preserve"> use police radios to identify and respond to calls</w:t>
      </w:r>
      <w:r>
        <w:t>.</w:t>
      </w:r>
      <w:r>
        <w:rPr>
          <w:rStyle w:val="FootnoteReference"/>
        </w:rPr>
        <w:footnoteReference w:id="123"/>
      </w:r>
      <w:r>
        <w:t xml:space="preserve"> </w:t>
      </w:r>
      <w:r w:rsidRPr="00B378AE">
        <w:t>OPD work</w:t>
      </w:r>
      <w:r>
        <w:t>s</w:t>
      </w:r>
      <w:r w:rsidRPr="00B378AE">
        <w:t xml:space="preserve"> </w:t>
      </w:r>
      <w:r>
        <w:t>with</w:t>
      </w:r>
      <w:r w:rsidRPr="00B378AE">
        <w:t xml:space="preserve"> the Thurston County 911 communications center (TCOMM 911) to identify calls that would be appropriate for CRU</w:t>
      </w:r>
      <w:r>
        <w:t xml:space="preserve"> to respond to.</w:t>
      </w:r>
      <w:r>
        <w:rPr>
          <w:rStyle w:val="FootnoteReference"/>
        </w:rPr>
        <w:footnoteReference w:id="124"/>
      </w:r>
      <w:r>
        <w:t xml:space="preserve"> </w:t>
      </w:r>
      <w:r w:rsidRPr="00B378AE">
        <w:t xml:space="preserve">Rather than dispatching CRU </w:t>
      </w:r>
      <w:r>
        <w:t xml:space="preserve">units </w:t>
      </w:r>
      <w:r w:rsidRPr="00B378AE">
        <w:t>directly based on specific criteria, TCOMM 911 shares all potentially eligible calls coming through 911 or Olympia’s non-emergency line over the shared police frequency.</w:t>
      </w:r>
      <w:r>
        <w:rPr>
          <w:rStyle w:val="FootnoteReference"/>
        </w:rPr>
        <w:footnoteReference w:id="125"/>
      </w:r>
      <w:r>
        <w:t xml:space="preserve"> </w:t>
      </w:r>
      <w:r w:rsidRPr="00B378AE">
        <w:t xml:space="preserve">CRU </w:t>
      </w:r>
      <w:r>
        <w:t xml:space="preserve">can </w:t>
      </w:r>
      <w:r w:rsidRPr="00B378AE">
        <w:t xml:space="preserve">hear all the calls on the police frequency </w:t>
      </w:r>
      <w:r>
        <w:t xml:space="preserve">and </w:t>
      </w:r>
      <w:r w:rsidRPr="00B378AE">
        <w:t>may decide to respond</w:t>
      </w:r>
      <w:r>
        <w:t>.</w:t>
      </w:r>
      <w:r>
        <w:rPr>
          <w:rStyle w:val="FootnoteReference"/>
        </w:rPr>
        <w:footnoteReference w:id="126"/>
      </w:r>
      <w:r>
        <w:t xml:space="preserve"> In addition,</w:t>
      </w:r>
      <w:r w:rsidRPr="00B378AE">
        <w:t xml:space="preserve"> officers may refer calls to CRU if they determine a health-centered response is more appropriate.</w:t>
      </w:r>
      <w:r>
        <w:rPr>
          <w:rStyle w:val="FootnoteReference"/>
        </w:rPr>
        <w:footnoteReference w:id="127"/>
      </w:r>
      <w:r>
        <w:t xml:space="preserve"> In addition to completing </w:t>
      </w:r>
      <w:r w:rsidRPr="00B378AE">
        <w:t>state training for behavioral health specialists</w:t>
      </w:r>
      <w:r>
        <w:t xml:space="preserve">, CRU members must </w:t>
      </w:r>
      <w:r w:rsidRPr="00B378AE">
        <w:t>spe</w:t>
      </w:r>
      <w:r>
        <w:t>nd</w:t>
      </w:r>
      <w:r w:rsidRPr="00B378AE">
        <w:t xml:space="preserve"> time with police on patrol</w:t>
      </w:r>
      <w:r>
        <w:t>.</w:t>
      </w:r>
      <w:r w:rsidRPr="00A02C04">
        <w:rPr>
          <w:rStyle w:val="FootnoteReference"/>
        </w:rPr>
        <w:t xml:space="preserve"> </w:t>
      </w:r>
      <w:r>
        <w:rPr>
          <w:rStyle w:val="FootnoteReference"/>
        </w:rPr>
        <w:footnoteReference w:id="128"/>
      </w:r>
    </w:p>
    <w:p w14:paraId="685A495F" w14:textId="77777777" w:rsidR="00683A06" w:rsidRDefault="00683A06" w:rsidP="00683A06">
      <w:pPr>
        <w:pStyle w:val="ListParagraph"/>
        <w:numPr>
          <w:ilvl w:val="1"/>
          <w:numId w:val="8"/>
        </w:numPr>
        <w:spacing w:line="480" w:lineRule="auto"/>
        <w:jc w:val="both"/>
        <w:rPr>
          <w:i/>
          <w:iCs/>
        </w:rPr>
      </w:pPr>
      <w:r>
        <w:rPr>
          <w:i/>
          <w:iCs/>
        </w:rPr>
        <w:t>Woodstock Music &amp; Art Fair</w:t>
      </w:r>
    </w:p>
    <w:p w14:paraId="6ABDB26D" w14:textId="77777777" w:rsidR="00683A06" w:rsidRDefault="00683A06" w:rsidP="006A4ACE">
      <w:pPr>
        <w:spacing w:line="480" w:lineRule="auto"/>
        <w:ind w:firstLine="720"/>
        <w:jc w:val="both"/>
      </w:pPr>
      <w:r>
        <w:t>In 1969, more than 400,000 people descended on a 600-acre farm in Bethel, New York for the Woodstock Music &amp; Art Fair, which lasted three days.</w:t>
      </w:r>
      <w:r>
        <w:rPr>
          <w:rStyle w:val="FootnoteReference"/>
        </w:rPr>
        <w:footnoteReference w:id="129"/>
      </w:r>
      <w:r>
        <w:t xml:space="preserve"> Town officials expected no more than 50,000 people </w:t>
      </w:r>
      <w:r w:rsidRPr="007C0E16">
        <w:t>and were overwhelmed by the huge crowds.</w:t>
      </w:r>
      <w:r>
        <w:rPr>
          <w:rStyle w:val="FootnoteReference"/>
        </w:rPr>
        <w:footnoteReference w:id="130"/>
      </w:r>
      <w:r>
        <w:t xml:space="preserve"> S</w:t>
      </w:r>
      <w:r w:rsidRPr="007703BD">
        <w:t xml:space="preserve">ecurity </w:t>
      </w:r>
      <w:r>
        <w:t>at Woodstock was</w:t>
      </w:r>
      <w:r w:rsidRPr="007703BD">
        <w:t xml:space="preserve"> limited</w:t>
      </w:r>
      <w:bookmarkStart w:id="12" w:name="_Ref64471314"/>
      <w:r>
        <w:rPr>
          <w:rStyle w:val="FootnoteReference"/>
        </w:rPr>
        <w:footnoteReference w:id="131"/>
      </w:r>
      <w:bookmarkEnd w:id="12"/>
      <w:r>
        <w:t xml:space="preserve"> and was provided by </w:t>
      </w:r>
      <w:r w:rsidRPr="00E87B52">
        <w:t>a communal pig farm</w:t>
      </w:r>
      <w:r>
        <w:t xml:space="preserve"> known as the Hog Farm.</w:t>
      </w:r>
      <w:r>
        <w:rPr>
          <w:rStyle w:val="FootnoteReference"/>
        </w:rPr>
        <w:footnoteReference w:id="132"/>
      </w:r>
      <w:r>
        <w:t xml:space="preserve"> Furthermore, i</w:t>
      </w:r>
      <w:r w:rsidRPr="007703BD">
        <w:t>t</w:t>
      </w:r>
      <w:r>
        <w:t xml:space="preserve"> is</w:t>
      </w:r>
      <w:r w:rsidRPr="007703BD">
        <w:t xml:space="preserve"> estimated there were no more than a dozen police officers</w:t>
      </w:r>
      <w:r>
        <w:t xml:space="preserve"> at the festival.</w:t>
      </w:r>
      <w:r>
        <w:rPr>
          <w:rStyle w:val="FootnoteReference"/>
        </w:rPr>
        <w:footnoteReference w:id="133"/>
      </w:r>
      <w:r>
        <w:t xml:space="preserve"> </w:t>
      </w:r>
      <w:r w:rsidRPr="007703BD">
        <w:t>Although the crowd at Woodstock experienced bad weather, muddy conditions</w:t>
      </w:r>
      <w:r>
        <w:t>,</w:t>
      </w:r>
      <w:r w:rsidRPr="007703BD">
        <w:t xml:space="preserve"> and a lack of food, water and adequate sanitation,</w:t>
      </w:r>
      <w:r>
        <w:rPr>
          <w:rStyle w:val="FootnoteReference"/>
        </w:rPr>
        <w:footnoteReference w:id="134"/>
      </w:r>
      <w:r>
        <w:t xml:space="preserve"> there were n</w:t>
      </w:r>
      <w:r w:rsidRPr="007703BD">
        <w:t>o incidents of violence</w:t>
      </w:r>
      <w:r>
        <w:t>.</w:t>
      </w:r>
      <w:r>
        <w:rPr>
          <w:rStyle w:val="FootnoteReference"/>
        </w:rPr>
        <w:footnoteReference w:id="135"/>
      </w:r>
      <w:r>
        <w:t xml:space="preserve"> Of the 80 arrests that occurred, the majority of them were</w:t>
      </w:r>
      <w:r w:rsidRPr="00BB6E15">
        <w:t xml:space="preserve"> made on drug charges</w:t>
      </w:r>
      <w:r>
        <w:t>.</w:t>
      </w:r>
      <w:r>
        <w:rPr>
          <w:rStyle w:val="FootnoteReference"/>
        </w:rPr>
        <w:footnoteReference w:id="136"/>
      </w:r>
      <w:r>
        <w:t xml:space="preserve"> </w:t>
      </w:r>
    </w:p>
    <w:p w14:paraId="0A72F58A" w14:textId="77777777" w:rsidR="00683A06" w:rsidRPr="00683A06" w:rsidRDefault="00683A06" w:rsidP="006A4ACE">
      <w:pPr>
        <w:spacing w:line="480" w:lineRule="auto"/>
        <w:ind w:firstLine="720"/>
        <w:jc w:val="both"/>
      </w:pPr>
      <w:r>
        <w:t>Woodstock Music &amp; Art Fair relied heavily on the medical staff.</w:t>
      </w:r>
      <w:bookmarkStart w:id="13" w:name="_Ref64471466"/>
      <w:r>
        <w:rPr>
          <w:rStyle w:val="FootnoteReference"/>
        </w:rPr>
        <w:footnoteReference w:id="137"/>
      </w:r>
      <w:bookmarkEnd w:id="13"/>
      <w:r>
        <w:t xml:space="preserve"> V</w:t>
      </w:r>
      <w:r w:rsidRPr="00963287">
        <w:t>olunteer doctors, EMTs</w:t>
      </w:r>
      <w:r>
        <w:t xml:space="preserve">, </w:t>
      </w:r>
      <w:r w:rsidRPr="00963287">
        <w:t>and nurses manned Woodstock’s medical tent.</w:t>
      </w:r>
      <w:r>
        <w:rPr>
          <w:rStyle w:val="FootnoteReference"/>
        </w:rPr>
        <w:footnoteReference w:id="138"/>
      </w:r>
      <w:r>
        <w:t xml:space="preserve"> Even s</w:t>
      </w:r>
      <w:r w:rsidRPr="007C0E16">
        <w:t>ome Woodstock attendees with medical expertise</w:t>
      </w:r>
      <w:r w:rsidR="006A4ACE">
        <w:t xml:space="preserve"> and peers</w:t>
      </w:r>
      <w:r w:rsidRPr="007C0E16">
        <w:t xml:space="preserve"> lent a hand.</w:t>
      </w:r>
      <w:r>
        <w:rPr>
          <w:rStyle w:val="FootnoteReference"/>
        </w:rPr>
        <w:footnoteReference w:id="139"/>
      </w:r>
      <w:r>
        <w:t xml:space="preserve"> For example, H</w:t>
      </w:r>
      <w:r w:rsidRPr="007C0E16">
        <w:t>og Farm</w:t>
      </w:r>
      <w:r>
        <w:t xml:space="preserve"> members </w:t>
      </w:r>
      <w:r w:rsidRPr="007C0E16">
        <w:t>help</w:t>
      </w:r>
      <w:r>
        <w:t>ed</w:t>
      </w:r>
      <w:r w:rsidRPr="007C0E16">
        <w:t xml:space="preserve"> treat concertgoers who experienced bad </w:t>
      </w:r>
      <w:r>
        <w:t>side effects from using drugs</w:t>
      </w:r>
      <w:r w:rsidRPr="007C0E16">
        <w:t>.</w:t>
      </w:r>
      <w:r>
        <w:rPr>
          <w:rStyle w:val="FootnoteReference"/>
        </w:rPr>
        <w:footnoteReference w:id="140"/>
      </w:r>
      <w:r w:rsidRPr="007C0E16">
        <w:t xml:space="preserve"> </w:t>
      </w:r>
      <w:r w:rsidRPr="006B3856">
        <w:t>In total, staff treated at least 3,000 patients over three days</w:t>
      </w:r>
      <w:r>
        <w:t>.</w:t>
      </w:r>
      <w:r>
        <w:rPr>
          <w:rStyle w:val="FootnoteReference"/>
        </w:rPr>
        <w:footnoteReference w:id="141"/>
      </w:r>
      <w:r>
        <w:t xml:space="preserve"> T</w:t>
      </w:r>
      <w:r w:rsidRPr="007C0E16">
        <w:t xml:space="preserve">wo deaths </w:t>
      </w:r>
      <w:r>
        <w:t xml:space="preserve">did </w:t>
      </w:r>
      <w:r w:rsidRPr="007C0E16">
        <w:t xml:space="preserve">occur during </w:t>
      </w:r>
      <w:r>
        <w:t xml:space="preserve">the </w:t>
      </w:r>
      <w:r w:rsidRPr="007C0E16">
        <w:t>event.</w:t>
      </w:r>
      <w:r>
        <w:rPr>
          <w:rStyle w:val="FootnoteReference"/>
        </w:rPr>
        <w:footnoteReference w:id="142"/>
      </w:r>
      <w:r>
        <w:t xml:space="preserve"> However, the </w:t>
      </w:r>
      <w:r w:rsidRPr="007C0E16">
        <w:t xml:space="preserve">vast majority of Woodstock attendees got through the three days </w:t>
      </w:r>
      <w:r w:rsidR="006A4ACE">
        <w:t>safely, without violence, and excessive police present</w:t>
      </w:r>
      <w:r w:rsidRPr="007C0E16">
        <w:t>.</w:t>
      </w:r>
      <w:r>
        <w:rPr>
          <w:rStyle w:val="FootnoteReference"/>
        </w:rPr>
        <w:footnoteReference w:id="143"/>
      </w:r>
      <w:r>
        <w:tab/>
      </w:r>
    </w:p>
    <w:p w14:paraId="77425EDC" w14:textId="77777777" w:rsidR="00F954CD" w:rsidRPr="00683A06" w:rsidRDefault="00F954CD" w:rsidP="00683A06">
      <w:pPr>
        <w:pStyle w:val="ListParagraph"/>
        <w:numPr>
          <w:ilvl w:val="0"/>
          <w:numId w:val="1"/>
        </w:numPr>
        <w:spacing w:line="480" w:lineRule="auto"/>
        <w:jc w:val="both"/>
        <w:rPr>
          <w:b/>
        </w:rPr>
      </w:pPr>
      <w:r w:rsidRPr="00683A06">
        <w:rPr>
          <w:b/>
        </w:rPr>
        <w:t>Conclusion</w:t>
      </w:r>
    </w:p>
    <w:p w14:paraId="483E12CF" w14:textId="2E104A3C" w:rsidR="00F954CD" w:rsidRDefault="00F954CD" w:rsidP="002C6F75">
      <w:pPr>
        <w:spacing w:line="480" w:lineRule="auto"/>
        <w:ind w:firstLine="720"/>
        <w:jc w:val="both"/>
        <w:rPr>
          <w:shd w:val="clear" w:color="auto" w:fill="FFFFFF"/>
        </w:rPr>
      </w:pPr>
      <w:r w:rsidRPr="007E450A">
        <w:rPr>
          <w:shd w:val="clear" w:color="auto" w:fill="FFFFFF"/>
        </w:rPr>
        <w:t>At today’s hearing, the Committee looks forward to hearing from the</w:t>
      </w:r>
      <w:r w:rsidR="006A4ACE">
        <w:rPr>
          <w:shd w:val="clear" w:color="auto" w:fill="FFFFFF"/>
        </w:rPr>
        <w:t xml:space="preserve"> Administration, providers, community-based organizations, and </w:t>
      </w:r>
      <w:r w:rsidRPr="007E450A">
        <w:rPr>
          <w:shd w:val="clear" w:color="auto" w:fill="FFFFFF"/>
        </w:rPr>
        <w:t xml:space="preserve">advocates about </w:t>
      </w:r>
      <w:r w:rsidR="00EE4F9A">
        <w:rPr>
          <w:shd w:val="clear" w:color="auto" w:fill="FFFFFF"/>
        </w:rPr>
        <w:t>how New York City can drastically change the way in which we respond</w:t>
      </w:r>
      <w:r w:rsidRPr="007E450A">
        <w:rPr>
          <w:shd w:val="clear" w:color="auto" w:fill="FFFFFF"/>
        </w:rPr>
        <w:t xml:space="preserve"> to </w:t>
      </w:r>
      <w:r w:rsidR="00EE4F9A">
        <w:rPr>
          <w:shd w:val="clear" w:color="auto" w:fill="FFFFFF"/>
        </w:rPr>
        <w:t xml:space="preserve">and </w:t>
      </w:r>
      <w:r w:rsidRPr="007E450A">
        <w:rPr>
          <w:shd w:val="clear" w:color="auto" w:fill="FFFFFF"/>
        </w:rPr>
        <w:t xml:space="preserve">address mental health </w:t>
      </w:r>
      <w:r w:rsidR="00EE4F9A">
        <w:rPr>
          <w:shd w:val="clear" w:color="auto" w:fill="FFFFFF"/>
        </w:rPr>
        <w:t>crises and emergencies</w:t>
      </w:r>
      <w:r w:rsidRPr="007E450A">
        <w:rPr>
          <w:shd w:val="clear" w:color="auto" w:fill="FFFFFF"/>
        </w:rPr>
        <w:t>.</w:t>
      </w:r>
    </w:p>
    <w:p w14:paraId="41FC9B8D" w14:textId="668C1CA7" w:rsidR="006A034A" w:rsidRDefault="006A034A" w:rsidP="002C6F75">
      <w:pPr>
        <w:spacing w:line="480" w:lineRule="auto"/>
        <w:ind w:firstLine="720"/>
        <w:jc w:val="both"/>
        <w:rPr>
          <w:shd w:val="clear" w:color="auto" w:fill="FFFFFF"/>
        </w:rPr>
      </w:pPr>
    </w:p>
    <w:p w14:paraId="28341FD7" w14:textId="77777777" w:rsidR="006A034A" w:rsidRPr="007E450A" w:rsidRDefault="006A034A" w:rsidP="002C6F75">
      <w:pPr>
        <w:spacing w:line="480" w:lineRule="auto"/>
        <w:ind w:firstLine="720"/>
        <w:jc w:val="both"/>
        <w:rPr>
          <w:shd w:val="clear" w:color="auto" w:fill="FFFFFF"/>
        </w:rPr>
      </w:pPr>
    </w:p>
    <w:p w14:paraId="106476D4" w14:textId="77777777" w:rsidR="00F954CD" w:rsidRPr="007E450A" w:rsidRDefault="00F954CD" w:rsidP="00683A06">
      <w:pPr>
        <w:pStyle w:val="ListParagraph"/>
        <w:numPr>
          <w:ilvl w:val="0"/>
          <w:numId w:val="1"/>
        </w:numPr>
        <w:spacing w:line="480" w:lineRule="auto"/>
        <w:jc w:val="both"/>
        <w:rPr>
          <w:b/>
        </w:rPr>
      </w:pPr>
      <w:r w:rsidRPr="007E450A">
        <w:rPr>
          <w:b/>
        </w:rPr>
        <w:t>Legislation</w:t>
      </w:r>
    </w:p>
    <w:p w14:paraId="792F5E81" w14:textId="77777777" w:rsidR="00F954CD" w:rsidRPr="007E450A" w:rsidRDefault="00506036" w:rsidP="00F954CD">
      <w:pPr>
        <w:spacing w:line="480" w:lineRule="auto"/>
        <w:jc w:val="both"/>
        <w:rPr>
          <w:b/>
          <w:u w:val="single"/>
        </w:rPr>
      </w:pPr>
      <w:r>
        <w:rPr>
          <w:b/>
          <w:u w:val="single"/>
        </w:rPr>
        <w:t>Int. No. 2210</w:t>
      </w:r>
    </w:p>
    <w:p w14:paraId="2949839C" w14:textId="3819DECE" w:rsidR="006A4ACE" w:rsidRPr="00FD715C" w:rsidRDefault="00F954CD" w:rsidP="00FD715C">
      <w:pPr>
        <w:spacing w:line="480" w:lineRule="auto"/>
        <w:ind w:firstLine="720"/>
        <w:jc w:val="both"/>
        <w:rPr>
          <w:color w:val="000000"/>
          <w:shd w:val="clear" w:color="auto" w:fill="FFFFFF"/>
        </w:rPr>
      </w:pPr>
      <w:r w:rsidRPr="006A4ACE">
        <w:rPr>
          <w:shd w:val="clear" w:color="auto" w:fill="FFFFFF"/>
        </w:rPr>
        <w:t xml:space="preserve">This legislation </w:t>
      </w:r>
      <w:r w:rsidR="006A4ACE" w:rsidRPr="006A4ACE">
        <w:rPr>
          <w:color w:val="000000"/>
          <w:shd w:val="clear" w:color="auto" w:fill="FFFFFF"/>
        </w:rPr>
        <w:t xml:space="preserve">requires the establishment of an Office of Community Mental Health (“Office”) within DOHMH, to be headed by a deputy commissioner. This Office would create a citywide mental health emergency response protocol, and a mental health emergency response unit to respond to mental health emergencies within 30 minutes of receiving a mental health emergency call. This </w:t>
      </w:r>
      <w:r w:rsidR="00FD715C">
        <w:rPr>
          <w:color w:val="000000"/>
          <w:shd w:val="clear" w:color="auto" w:fill="FFFFFF"/>
        </w:rPr>
        <w:t>would establish</w:t>
      </w:r>
      <w:r w:rsidR="00FD715C" w:rsidRPr="006A4ACE">
        <w:rPr>
          <w:color w:val="000000"/>
          <w:shd w:val="clear" w:color="auto" w:fill="FFFFFF"/>
        </w:rPr>
        <w:t xml:space="preserve"> </w:t>
      </w:r>
      <w:r w:rsidR="00FD715C">
        <w:rPr>
          <w:color w:val="000000"/>
          <w:shd w:val="clear" w:color="auto" w:fill="FFFFFF"/>
        </w:rPr>
        <w:t xml:space="preserve">that the mental health emergency response unit headed by the Office – and not the police – is the primary response to mental health emergencies. The legislation </w:t>
      </w:r>
      <w:r w:rsidR="006A4ACE" w:rsidRPr="006A4ACE">
        <w:rPr>
          <w:color w:val="000000"/>
          <w:shd w:val="clear" w:color="auto" w:fill="FFFFFF"/>
        </w:rPr>
        <w:t>also require</w:t>
      </w:r>
      <w:r w:rsidR="006A4ACE">
        <w:rPr>
          <w:color w:val="000000"/>
          <w:shd w:val="clear" w:color="auto" w:fill="FFFFFF"/>
        </w:rPr>
        <w:t>s</w:t>
      </w:r>
      <w:r w:rsidR="006A4ACE" w:rsidRPr="006A4ACE">
        <w:rPr>
          <w:color w:val="000000"/>
          <w:shd w:val="clear" w:color="auto" w:fill="FFFFFF"/>
        </w:rPr>
        <w:t xml:space="preserve"> the Office to identify gaps in mental health provision in New York City, </w:t>
      </w:r>
      <w:r w:rsidR="00FD715C">
        <w:rPr>
          <w:color w:val="000000"/>
          <w:u w:val="single"/>
          <w:shd w:val="clear" w:color="auto" w:fill="FFFFFF"/>
        </w:rPr>
        <w:t>including access to treatment, cost of services, utilization rates, and any racial, cultural, religious or economic barriers to accessing treatment, disaggregated by zip code, race, ethnicity, gender, and age. The Office would also</w:t>
      </w:r>
      <w:r w:rsidR="00FD715C">
        <w:rPr>
          <w:color w:val="000000"/>
          <w:shd w:val="clear" w:color="auto" w:fill="FFFFFF"/>
        </w:rPr>
        <w:t xml:space="preserve"> </w:t>
      </w:r>
      <w:r w:rsidR="006A4ACE" w:rsidRPr="006A4ACE">
        <w:rPr>
          <w:color w:val="000000"/>
          <w:shd w:val="clear" w:color="auto" w:fill="FFFFFF"/>
        </w:rPr>
        <w:t xml:space="preserve">coordinate between City agencies and community-based organization and mental health providers, and provide training to all relevant City agencies regarding the established mental health emergency response protocol. This </w:t>
      </w:r>
      <w:r w:rsidR="006A4ACE">
        <w:rPr>
          <w:color w:val="000000"/>
          <w:shd w:val="clear" w:color="auto" w:fill="FFFFFF"/>
        </w:rPr>
        <w:t>legislation</w:t>
      </w:r>
      <w:r w:rsidR="006A4ACE" w:rsidRPr="006A4ACE">
        <w:rPr>
          <w:color w:val="000000"/>
          <w:shd w:val="clear" w:color="auto" w:fill="FFFFFF"/>
        </w:rPr>
        <w:t xml:space="preserve"> additionally require</w:t>
      </w:r>
      <w:r w:rsidR="006A4ACE">
        <w:rPr>
          <w:color w:val="000000"/>
          <w:shd w:val="clear" w:color="auto" w:fill="FFFFFF"/>
        </w:rPr>
        <w:t>s</w:t>
      </w:r>
      <w:r w:rsidR="006A4ACE" w:rsidRPr="006A4ACE">
        <w:rPr>
          <w:color w:val="000000"/>
          <w:shd w:val="clear" w:color="auto" w:fill="FFFFFF"/>
        </w:rPr>
        <w:t xml:space="preserve"> </w:t>
      </w:r>
      <w:r w:rsidR="006A4ACE">
        <w:rPr>
          <w:color w:val="000000"/>
          <w:shd w:val="clear" w:color="auto" w:fill="FFFFFF"/>
        </w:rPr>
        <w:t>NYPD</w:t>
      </w:r>
      <w:r w:rsidR="006A4ACE" w:rsidRPr="006A4ACE">
        <w:rPr>
          <w:color w:val="000000"/>
          <w:shd w:val="clear" w:color="auto" w:fill="FFFFFF"/>
        </w:rPr>
        <w:t xml:space="preserve">, in conjunction with the Office of Community Mental Health, to train all members of service, 911 call operators, and new academy recruits in the mental health emergency response protocol. Finally, this </w:t>
      </w:r>
      <w:r w:rsidR="006A4ACE">
        <w:rPr>
          <w:color w:val="000000"/>
          <w:shd w:val="clear" w:color="auto" w:fill="FFFFFF"/>
        </w:rPr>
        <w:t>legislation</w:t>
      </w:r>
      <w:r w:rsidR="006A4ACE" w:rsidRPr="006A4ACE">
        <w:rPr>
          <w:color w:val="000000"/>
          <w:shd w:val="clear" w:color="auto" w:fill="FFFFFF"/>
        </w:rPr>
        <w:t xml:space="preserve"> require</w:t>
      </w:r>
      <w:r w:rsidR="006A4ACE">
        <w:rPr>
          <w:color w:val="000000"/>
          <w:shd w:val="clear" w:color="auto" w:fill="FFFFFF"/>
        </w:rPr>
        <w:t>s</w:t>
      </w:r>
      <w:r w:rsidR="006A4ACE" w:rsidRPr="006A4ACE">
        <w:rPr>
          <w:color w:val="000000"/>
          <w:shd w:val="clear" w:color="auto" w:fill="FFFFFF"/>
        </w:rPr>
        <w:t xml:space="preserve"> the Office to report monthly and annually about the emergency mental health calls received, and other work that the Office is conducting.</w:t>
      </w:r>
    </w:p>
    <w:p w14:paraId="044ABE2F" w14:textId="77777777" w:rsidR="00F954CD" w:rsidRDefault="006A4ACE" w:rsidP="00F954CD">
      <w:pPr>
        <w:spacing w:line="480" w:lineRule="auto"/>
        <w:ind w:firstLine="720"/>
        <w:jc w:val="both"/>
        <w:rPr>
          <w:shd w:val="clear" w:color="auto" w:fill="FFFFFF"/>
        </w:rPr>
      </w:pPr>
      <w:r>
        <w:rPr>
          <w:shd w:val="clear" w:color="auto" w:fill="FFFFFF"/>
        </w:rPr>
        <w:t>The bill would take effect 18</w:t>
      </w:r>
      <w:r w:rsidR="00F954CD" w:rsidRPr="007E450A">
        <w:rPr>
          <w:shd w:val="clear" w:color="auto" w:fill="FFFFFF"/>
        </w:rPr>
        <w:t>0 days after it became law.</w:t>
      </w:r>
    </w:p>
    <w:p w14:paraId="426EC1A1" w14:textId="77777777" w:rsidR="006A4ACE" w:rsidRPr="006A4ACE" w:rsidRDefault="006A4ACE" w:rsidP="006A4ACE">
      <w:pPr>
        <w:spacing w:line="480" w:lineRule="auto"/>
        <w:jc w:val="both"/>
        <w:rPr>
          <w:b/>
          <w:u w:val="single"/>
          <w:shd w:val="clear" w:color="auto" w:fill="FFFFFF"/>
        </w:rPr>
      </w:pPr>
      <w:r w:rsidRPr="006A4ACE">
        <w:rPr>
          <w:b/>
          <w:u w:val="single"/>
          <w:shd w:val="clear" w:color="auto" w:fill="FFFFFF"/>
        </w:rPr>
        <w:t>Int. No. 2222</w:t>
      </w:r>
    </w:p>
    <w:p w14:paraId="2E070BF1" w14:textId="77777777" w:rsidR="006A4ACE" w:rsidRDefault="006A4ACE" w:rsidP="006A4ACE">
      <w:pPr>
        <w:spacing w:line="480" w:lineRule="auto"/>
        <w:ind w:firstLine="720"/>
        <w:jc w:val="both"/>
        <w:rPr>
          <w:color w:val="000000"/>
          <w:shd w:val="clear" w:color="auto" w:fill="FFFFFF"/>
        </w:rPr>
      </w:pPr>
      <w:r w:rsidRPr="006A4ACE">
        <w:rPr>
          <w:color w:val="000000"/>
          <w:shd w:val="clear" w:color="auto" w:fill="FFFFFF"/>
        </w:rPr>
        <w:t>This legislation requires the Office to establish a three-digit hotline, staffed by mental health call operators, for individuals experiencing a mental health emergency. The Office would train call operators in the mental health emergency response protocol and conduct public outreach and education publicizing the three-digit hotline.</w:t>
      </w:r>
    </w:p>
    <w:p w14:paraId="5F61D6D8" w14:textId="77777777" w:rsidR="006A4ACE" w:rsidRPr="006A4ACE" w:rsidRDefault="006A4ACE" w:rsidP="006A4ACE">
      <w:pPr>
        <w:spacing w:line="480" w:lineRule="auto"/>
        <w:ind w:firstLine="720"/>
        <w:jc w:val="both"/>
        <w:rPr>
          <w:shd w:val="clear" w:color="auto" w:fill="FFFFFF"/>
        </w:rPr>
      </w:pPr>
      <w:r>
        <w:rPr>
          <w:color w:val="000000"/>
          <w:shd w:val="clear" w:color="auto" w:fill="FFFFFF"/>
        </w:rPr>
        <w:t>This bill would take effect on the same date that Int. No. 2210 would takes effect.</w:t>
      </w:r>
    </w:p>
    <w:p w14:paraId="477C0272" w14:textId="77777777" w:rsidR="006A4ACE" w:rsidRDefault="006A4ACE">
      <w:pPr>
        <w:spacing w:after="160" w:line="259" w:lineRule="auto"/>
        <w:rPr>
          <w:shd w:val="clear" w:color="auto" w:fill="FFFFFF"/>
        </w:rPr>
      </w:pPr>
      <w:r>
        <w:rPr>
          <w:shd w:val="clear" w:color="auto" w:fill="FFFFFF"/>
        </w:rPr>
        <w:br w:type="page"/>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6A4ACE" w:rsidRPr="006A4ACE" w14:paraId="61DB3F00" w14:textId="77777777" w:rsidTr="006A4ACE">
        <w:trPr>
          <w:tblCellSpacing w:w="0" w:type="dxa"/>
        </w:trPr>
        <w:tc>
          <w:tcPr>
            <w:tcW w:w="0" w:type="auto"/>
            <w:shd w:val="clear" w:color="auto" w:fill="FFFFFF"/>
            <w:vAlign w:val="center"/>
            <w:hideMark/>
          </w:tcPr>
          <w:p w14:paraId="7B76B16B" w14:textId="77777777" w:rsidR="006A4ACE" w:rsidRPr="006A4ACE" w:rsidRDefault="006A4ACE" w:rsidP="006A4ACE">
            <w:pPr>
              <w:shd w:val="clear" w:color="auto" w:fill="FFFFFF"/>
              <w:spacing w:line="480" w:lineRule="auto"/>
              <w:jc w:val="center"/>
              <w:rPr>
                <w:color w:val="000000"/>
                <w:sz w:val="27"/>
                <w:szCs w:val="27"/>
              </w:rPr>
            </w:pPr>
            <w:r w:rsidRPr="006A4ACE">
              <w:rPr>
                <w:color w:val="000000"/>
                <w:shd w:val="clear" w:color="auto" w:fill="FFFFFF"/>
              </w:rPr>
              <w:t>Int. No. 2210</w:t>
            </w:r>
          </w:p>
          <w:p w14:paraId="13814631" w14:textId="77777777" w:rsidR="006A4ACE" w:rsidRPr="006A4ACE" w:rsidRDefault="006A4ACE" w:rsidP="006A4ACE">
            <w:pPr>
              <w:shd w:val="clear" w:color="auto" w:fill="FFFFFF"/>
              <w:rPr>
                <w:color w:val="000000"/>
                <w:sz w:val="27"/>
                <w:szCs w:val="27"/>
              </w:rPr>
            </w:pPr>
            <w:r w:rsidRPr="006A4ACE">
              <w:rPr>
                <w:color w:val="000000"/>
                <w:shd w:val="clear" w:color="auto" w:fill="FFFFFF"/>
              </w:rPr>
              <w:t>By Council Members Ayala, </w:t>
            </w:r>
            <w:r w:rsidRPr="006A4ACE">
              <w:rPr>
                <w:color w:val="000000"/>
              </w:rPr>
              <w:t>the Speaker (Council Member Johnson),</w:t>
            </w:r>
            <w:r w:rsidRPr="006A4ACE">
              <w:rPr>
                <w:color w:val="000000"/>
                <w:shd w:val="clear" w:color="auto" w:fill="FFFFFF"/>
              </w:rPr>
              <w:t> </w:t>
            </w:r>
            <w:r w:rsidRPr="006A4ACE">
              <w:rPr>
                <w:color w:val="000000"/>
              </w:rPr>
              <w:t>the Public Advocate (Mr. Williams), Ampry-Samuel, Cornegy, Rosenthal, Adams, Louis, Cumbo and Kallos</w:t>
            </w:r>
          </w:p>
          <w:p w14:paraId="616E8411" w14:textId="77777777" w:rsidR="006A4ACE" w:rsidRPr="006A4ACE" w:rsidRDefault="006A4ACE" w:rsidP="006A4ACE">
            <w:pPr>
              <w:shd w:val="clear" w:color="auto" w:fill="FFFFFF"/>
              <w:jc w:val="both"/>
              <w:rPr>
                <w:color w:val="000000"/>
                <w:sz w:val="27"/>
                <w:szCs w:val="27"/>
              </w:rPr>
            </w:pPr>
            <w:r w:rsidRPr="006A4ACE">
              <w:rPr>
                <w:color w:val="000000"/>
              </w:rPr>
              <w:t> </w:t>
            </w:r>
          </w:p>
          <w:p w14:paraId="67CD57D7" w14:textId="77777777" w:rsidR="006A4ACE" w:rsidRPr="006A4ACE" w:rsidRDefault="006A4ACE" w:rsidP="006A4ACE">
            <w:pPr>
              <w:shd w:val="clear" w:color="auto" w:fill="FFFFFF"/>
              <w:jc w:val="both"/>
              <w:rPr>
                <w:color w:val="000000"/>
                <w:sz w:val="27"/>
                <w:szCs w:val="27"/>
              </w:rPr>
            </w:pPr>
            <w:r w:rsidRPr="006A4ACE">
              <w:rPr>
                <w:color w:val="000000"/>
              </w:rPr>
              <w:t>A Local Law to amend the administrative code of the city of New York, in relation to creating an office of community mental health and a citywide mental health emergency response protocol</w:t>
            </w:r>
          </w:p>
          <w:p w14:paraId="4BAFC0E0" w14:textId="77777777" w:rsidR="006A4ACE" w:rsidRPr="006A4ACE" w:rsidRDefault="006A4ACE" w:rsidP="006A4ACE">
            <w:pPr>
              <w:shd w:val="clear" w:color="auto" w:fill="FFFFFF"/>
              <w:jc w:val="both"/>
              <w:rPr>
                <w:color w:val="000000"/>
                <w:sz w:val="27"/>
                <w:szCs w:val="27"/>
              </w:rPr>
            </w:pPr>
            <w:r w:rsidRPr="006A4ACE">
              <w:rPr>
                <w:color w:val="000000"/>
                <w:shd w:val="clear" w:color="auto" w:fill="FFFFFF"/>
              </w:rPr>
              <w:t> </w:t>
            </w:r>
          </w:p>
          <w:p w14:paraId="30872F30" w14:textId="77777777" w:rsidR="006A4ACE" w:rsidRPr="006A4ACE" w:rsidRDefault="006A4ACE" w:rsidP="006A4ACE">
            <w:pPr>
              <w:shd w:val="clear" w:color="auto" w:fill="FFFFFF"/>
              <w:spacing w:line="480" w:lineRule="auto"/>
              <w:jc w:val="both"/>
              <w:rPr>
                <w:color w:val="000000"/>
                <w:sz w:val="27"/>
                <w:szCs w:val="27"/>
              </w:rPr>
            </w:pPr>
            <w:r w:rsidRPr="006A4ACE">
              <w:rPr>
                <w:color w:val="000000"/>
                <w:u w:val="single"/>
                <w:shd w:val="clear" w:color="auto" w:fill="FFFFFF"/>
              </w:rPr>
              <w:t>Be it enacted by the Council as follows:</w:t>
            </w:r>
          </w:p>
          <w:p w14:paraId="4D2A07CC" w14:textId="77777777" w:rsidR="006A4ACE" w:rsidRPr="006A4ACE" w:rsidRDefault="006A4ACE" w:rsidP="006A4ACE">
            <w:pPr>
              <w:shd w:val="clear" w:color="auto" w:fill="FFFFFF"/>
              <w:spacing w:line="480" w:lineRule="auto"/>
              <w:ind w:firstLine="720"/>
              <w:jc w:val="both"/>
              <w:rPr>
                <w:color w:val="000000"/>
                <w:sz w:val="27"/>
                <w:szCs w:val="27"/>
              </w:rPr>
            </w:pPr>
            <w:r w:rsidRPr="006A4ACE">
              <w:rPr>
                <w:color w:val="000000"/>
              </w:rPr>
              <w:t>Section 1. Title 17 of the administrative code of the city of New York is amended by adding a new chapter 20 to read as follows:</w:t>
            </w:r>
          </w:p>
          <w:p w14:paraId="607A0243" w14:textId="77777777" w:rsidR="006A4ACE" w:rsidRPr="006A4ACE" w:rsidRDefault="006A4ACE" w:rsidP="006A4ACE">
            <w:pPr>
              <w:shd w:val="clear" w:color="auto" w:fill="FFFFFF"/>
              <w:spacing w:line="480" w:lineRule="auto"/>
              <w:ind w:firstLine="720"/>
              <w:jc w:val="center"/>
              <w:rPr>
                <w:color w:val="000000"/>
                <w:sz w:val="27"/>
                <w:szCs w:val="27"/>
              </w:rPr>
            </w:pPr>
            <w:r w:rsidRPr="006A4ACE">
              <w:rPr>
                <w:color w:val="000000"/>
                <w:u w:val="single"/>
              </w:rPr>
              <w:t>Chapter 20</w:t>
            </w:r>
          </w:p>
          <w:p w14:paraId="43B5A66C" w14:textId="77777777" w:rsidR="006A4ACE" w:rsidRPr="006A4ACE" w:rsidRDefault="006A4ACE" w:rsidP="006A4ACE">
            <w:pPr>
              <w:shd w:val="clear" w:color="auto" w:fill="FFFFFF"/>
              <w:spacing w:line="480" w:lineRule="auto"/>
              <w:ind w:firstLine="720"/>
              <w:jc w:val="center"/>
              <w:rPr>
                <w:color w:val="000000"/>
                <w:sz w:val="27"/>
                <w:szCs w:val="27"/>
              </w:rPr>
            </w:pPr>
            <w:r w:rsidRPr="006A4ACE">
              <w:rPr>
                <w:color w:val="000000"/>
                <w:u w:val="single"/>
              </w:rPr>
              <w:t>COMMUNITY MENTAL HEALTH</w:t>
            </w:r>
          </w:p>
          <w:p w14:paraId="2ABE4E29" w14:textId="77777777" w:rsidR="006A4ACE" w:rsidRPr="006A4ACE" w:rsidRDefault="006A4ACE" w:rsidP="006A4ACE">
            <w:pPr>
              <w:shd w:val="clear" w:color="auto" w:fill="FFFFFF"/>
              <w:spacing w:line="480" w:lineRule="auto"/>
              <w:ind w:firstLine="720"/>
              <w:jc w:val="both"/>
              <w:rPr>
                <w:color w:val="000000"/>
                <w:sz w:val="27"/>
                <w:szCs w:val="27"/>
              </w:rPr>
            </w:pPr>
            <w:r w:rsidRPr="006A4ACE">
              <w:rPr>
                <w:color w:val="000000"/>
                <w:u w:val="single"/>
              </w:rPr>
              <w:t>§ 17-2001 Definitions. For the purposes of this chapter, the following terms have the following meanings.</w:t>
            </w:r>
          </w:p>
          <w:p w14:paraId="61C934F6" w14:textId="77777777" w:rsidR="006A4ACE" w:rsidRPr="006A4ACE" w:rsidRDefault="006A4ACE" w:rsidP="006A4ACE">
            <w:pPr>
              <w:shd w:val="clear" w:color="auto" w:fill="FFFFFF"/>
              <w:spacing w:line="480" w:lineRule="auto"/>
              <w:ind w:firstLine="720"/>
              <w:jc w:val="both"/>
              <w:rPr>
                <w:color w:val="000000"/>
                <w:sz w:val="27"/>
                <w:szCs w:val="27"/>
              </w:rPr>
            </w:pPr>
            <w:r w:rsidRPr="006A4ACE">
              <w:rPr>
                <w:color w:val="000000"/>
                <w:u w:val="single"/>
              </w:rPr>
              <w:t>Community mental health. The term “community mental health” refers to the provision, treatment, management and support of mental and behavioral illness within a community setting, including, but not limited to, hospital care, outpatient care, care provided by not-for-profit and community-based-organizations, emergency management, employment support, and housing support.</w:t>
            </w:r>
          </w:p>
          <w:p w14:paraId="7F01B8CD" w14:textId="77777777" w:rsidR="006A4ACE" w:rsidRPr="006A4ACE" w:rsidRDefault="006A4ACE" w:rsidP="006A4ACE">
            <w:pPr>
              <w:shd w:val="clear" w:color="auto" w:fill="FFFFFF"/>
              <w:spacing w:line="480" w:lineRule="auto"/>
              <w:ind w:firstLine="720"/>
              <w:jc w:val="both"/>
              <w:rPr>
                <w:color w:val="000000"/>
                <w:sz w:val="27"/>
                <w:szCs w:val="27"/>
              </w:rPr>
            </w:pPr>
            <w:r w:rsidRPr="006A4ACE">
              <w:rPr>
                <w:color w:val="000000"/>
                <w:u w:val="single"/>
              </w:rPr>
              <w:t>Mental health emergency. The term “mental health emergency” means  (1) a medical or behavioral health condition manifesting itself by acute symptoms of sufficient severity (including severe pain) such that a prudent layperson, who possesses an average knowledge of health and medicine, could reasonably expect the absence of immediate medical or behavioral health attention to result in a significant risk of serious harm to oneself or others; or (2) where a person’s actions, feelings, and behaviors can reasonably be expected to put them at risk of being unable to care for themselves or function in the community in a healthy manner; or (3) any other situation or circumstance designated as a mental health emergency by the office.</w:t>
            </w:r>
          </w:p>
          <w:p w14:paraId="001B7ED9" w14:textId="77777777" w:rsidR="006A4ACE" w:rsidRPr="006A4ACE" w:rsidRDefault="006A4ACE" w:rsidP="006A4ACE">
            <w:pPr>
              <w:shd w:val="clear" w:color="auto" w:fill="FFFFFF"/>
              <w:spacing w:line="480" w:lineRule="auto"/>
              <w:ind w:firstLine="720"/>
              <w:jc w:val="both"/>
              <w:rPr>
                <w:color w:val="000000"/>
                <w:sz w:val="27"/>
                <w:szCs w:val="27"/>
              </w:rPr>
            </w:pPr>
            <w:r w:rsidRPr="006A4ACE">
              <w:rPr>
                <w:color w:val="000000"/>
                <w:u w:val="single"/>
              </w:rPr>
              <w:t>Office. The term “office” means the office of community mental health.</w:t>
            </w:r>
          </w:p>
          <w:p w14:paraId="39DDED60" w14:textId="77777777" w:rsidR="006A4ACE" w:rsidRPr="006A4ACE" w:rsidRDefault="006A4ACE" w:rsidP="006A4ACE">
            <w:pPr>
              <w:shd w:val="clear" w:color="auto" w:fill="FFFFFF"/>
              <w:spacing w:line="480" w:lineRule="auto"/>
              <w:ind w:firstLine="720"/>
              <w:jc w:val="both"/>
              <w:rPr>
                <w:color w:val="000000"/>
                <w:sz w:val="27"/>
                <w:szCs w:val="27"/>
              </w:rPr>
            </w:pPr>
            <w:r w:rsidRPr="006A4ACE">
              <w:rPr>
                <w:color w:val="000000"/>
                <w:u w:val="single"/>
              </w:rPr>
              <w:t>Public safety emergency. The term “public safety emergency” means a crime in progress, violence, or a situation likely to result in imminent harm or danger to the public, as defined by the office.</w:t>
            </w:r>
          </w:p>
          <w:p w14:paraId="11E84B9A" w14:textId="77777777" w:rsidR="006A4ACE" w:rsidRPr="006A4ACE" w:rsidRDefault="006A4ACE" w:rsidP="006A4ACE">
            <w:pPr>
              <w:shd w:val="clear" w:color="auto" w:fill="FFFFFF"/>
              <w:spacing w:line="480" w:lineRule="auto"/>
              <w:ind w:firstLine="720"/>
              <w:jc w:val="both"/>
              <w:rPr>
                <w:color w:val="000000"/>
                <w:sz w:val="27"/>
                <w:szCs w:val="27"/>
              </w:rPr>
            </w:pPr>
            <w:r w:rsidRPr="006A4ACE">
              <w:rPr>
                <w:color w:val="000000"/>
                <w:u w:val="single"/>
              </w:rPr>
              <w:t>§ 17-2002 Office of community mental health. a. Establishment of office of community mental health. The commissioner shall establish an office of community mental health. Such office shall be headed by a deputy commissioner who shall be appointed by the commissioner.</w:t>
            </w:r>
          </w:p>
          <w:p w14:paraId="17A91F00" w14:textId="77777777" w:rsidR="006A4ACE" w:rsidRPr="006A4ACE" w:rsidRDefault="006A4ACE" w:rsidP="006A4ACE">
            <w:pPr>
              <w:shd w:val="clear" w:color="auto" w:fill="FFFFFF"/>
              <w:spacing w:line="480" w:lineRule="auto"/>
              <w:ind w:firstLine="720"/>
              <w:jc w:val="both"/>
              <w:rPr>
                <w:color w:val="000000"/>
                <w:sz w:val="27"/>
                <w:szCs w:val="27"/>
              </w:rPr>
            </w:pPr>
            <w:r w:rsidRPr="006A4ACE">
              <w:rPr>
                <w:color w:val="000000"/>
                <w:u w:val="single"/>
              </w:rPr>
              <w:t>§ 17-2003 Mental health response protocol. a. No later than December 31, 2021, the office shall develop a citywide mental health emergency response protocol and post such protocol on the department’s website. Such protocol shall establish guidelines:</w:t>
            </w:r>
          </w:p>
          <w:p w14:paraId="4E17047D" w14:textId="77777777" w:rsidR="006A4ACE" w:rsidRPr="006A4ACE" w:rsidRDefault="006A4ACE" w:rsidP="006A4ACE">
            <w:pPr>
              <w:shd w:val="clear" w:color="auto" w:fill="FFFFFF"/>
              <w:spacing w:line="480" w:lineRule="auto"/>
              <w:ind w:firstLine="720"/>
              <w:jc w:val="both"/>
              <w:rPr>
                <w:color w:val="000000"/>
                <w:sz w:val="27"/>
                <w:szCs w:val="27"/>
              </w:rPr>
            </w:pPr>
            <w:r w:rsidRPr="006A4ACE">
              <w:rPr>
                <w:color w:val="000000"/>
                <w:u w:val="single"/>
              </w:rPr>
              <w:t>1. for all emergency call operators, including, but not limited to, 911 call operators, to identify calls as potential mental health emergencies;</w:t>
            </w:r>
          </w:p>
          <w:p w14:paraId="6413FFCE" w14:textId="77777777" w:rsidR="006A4ACE" w:rsidRPr="006A4ACE" w:rsidRDefault="006A4ACE" w:rsidP="006A4ACE">
            <w:pPr>
              <w:shd w:val="clear" w:color="auto" w:fill="FFFFFF"/>
              <w:spacing w:line="480" w:lineRule="auto"/>
              <w:ind w:firstLine="720"/>
              <w:jc w:val="both"/>
              <w:rPr>
                <w:color w:val="000000"/>
                <w:sz w:val="27"/>
                <w:szCs w:val="27"/>
              </w:rPr>
            </w:pPr>
            <w:r w:rsidRPr="006A4ACE">
              <w:rPr>
                <w:color w:val="000000"/>
                <w:u w:val="single"/>
              </w:rPr>
              <w:t>2. regarding the information that must be provided by a member of the public to establish that a mental health emergency is also a public safety emergency before authorizing the dispatch of a law enforcement officer; and</w:t>
            </w:r>
          </w:p>
          <w:p w14:paraId="6E497E37" w14:textId="77777777" w:rsidR="006A4ACE" w:rsidRPr="006A4ACE" w:rsidRDefault="006A4ACE" w:rsidP="006A4ACE">
            <w:pPr>
              <w:shd w:val="clear" w:color="auto" w:fill="FFFFFF"/>
              <w:spacing w:line="480" w:lineRule="auto"/>
              <w:ind w:firstLine="720"/>
              <w:jc w:val="both"/>
              <w:rPr>
                <w:color w:val="000000"/>
                <w:sz w:val="27"/>
                <w:szCs w:val="27"/>
              </w:rPr>
            </w:pPr>
            <w:r w:rsidRPr="006A4ACE">
              <w:rPr>
                <w:color w:val="000000"/>
                <w:u w:val="single"/>
              </w:rPr>
              <w:t>3. for all emergency first responders to utilize when responding to potential mental health emergencies, including the following circumstances:</w:t>
            </w:r>
          </w:p>
          <w:p w14:paraId="147BF1E7" w14:textId="77777777" w:rsidR="006A4ACE" w:rsidRPr="006A4ACE" w:rsidRDefault="006A4ACE" w:rsidP="006A4ACE">
            <w:pPr>
              <w:shd w:val="clear" w:color="auto" w:fill="FFFFFF"/>
              <w:spacing w:line="480" w:lineRule="auto"/>
              <w:ind w:firstLine="720"/>
              <w:jc w:val="both"/>
              <w:rPr>
                <w:color w:val="000000"/>
                <w:sz w:val="27"/>
                <w:szCs w:val="27"/>
              </w:rPr>
            </w:pPr>
            <w:r w:rsidRPr="006A4ACE">
              <w:rPr>
                <w:color w:val="000000"/>
                <w:u w:val="single"/>
              </w:rPr>
              <w:t>(i) when the mental health emergency response unit responds without the assistance of the police department;</w:t>
            </w:r>
          </w:p>
          <w:p w14:paraId="71FBF060" w14:textId="77777777" w:rsidR="006A4ACE" w:rsidRPr="006A4ACE" w:rsidRDefault="006A4ACE" w:rsidP="006A4ACE">
            <w:pPr>
              <w:shd w:val="clear" w:color="auto" w:fill="FFFFFF"/>
              <w:spacing w:line="480" w:lineRule="auto"/>
              <w:ind w:firstLine="720"/>
              <w:jc w:val="both"/>
              <w:rPr>
                <w:color w:val="000000"/>
                <w:sz w:val="27"/>
                <w:szCs w:val="27"/>
              </w:rPr>
            </w:pPr>
            <w:r w:rsidRPr="006A4ACE">
              <w:rPr>
                <w:color w:val="000000"/>
                <w:u w:val="single"/>
              </w:rPr>
              <w:t>(ii) when the police department responds to public safety emergencies prior to the mental health emergency response unit, including guidelines for whether and how to engage with any member of the public suspected to be experiencing a mental health emergency,</w:t>
            </w:r>
          </w:p>
          <w:p w14:paraId="69417B53" w14:textId="77777777" w:rsidR="006A4ACE" w:rsidRPr="006A4ACE" w:rsidRDefault="006A4ACE" w:rsidP="006A4ACE">
            <w:pPr>
              <w:shd w:val="clear" w:color="auto" w:fill="FFFFFF"/>
              <w:spacing w:line="480" w:lineRule="auto"/>
              <w:ind w:firstLine="720"/>
              <w:jc w:val="both"/>
              <w:rPr>
                <w:color w:val="000000"/>
                <w:sz w:val="27"/>
                <w:szCs w:val="27"/>
              </w:rPr>
            </w:pPr>
            <w:r w:rsidRPr="006A4ACE">
              <w:rPr>
                <w:color w:val="000000"/>
                <w:u w:val="single"/>
              </w:rPr>
              <w:t>(iii) when the police department and mental health emergency response unit staff are engaged in a joint response, including when and how to defer to office of community mental health employees on engaging with individuals suspected of experiencing a mental health emergency;</w:t>
            </w:r>
          </w:p>
          <w:p w14:paraId="10250116" w14:textId="77777777" w:rsidR="006A4ACE" w:rsidRPr="006A4ACE" w:rsidRDefault="006A4ACE" w:rsidP="006A4ACE">
            <w:pPr>
              <w:shd w:val="clear" w:color="auto" w:fill="FFFFFF"/>
              <w:spacing w:line="480" w:lineRule="auto"/>
              <w:ind w:firstLine="720"/>
              <w:jc w:val="both"/>
              <w:rPr>
                <w:color w:val="000000"/>
                <w:sz w:val="27"/>
                <w:szCs w:val="27"/>
              </w:rPr>
            </w:pPr>
            <w:r w:rsidRPr="006A4ACE">
              <w:rPr>
                <w:color w:val="000000"/>
                <w:u w:val="single"/>
              </w:rPr>
              <w:t>(iv) when emergency call responders should include the mental health emergency response unit during a 911 call; and</w:t>
            </w:r>
          </w:p>
          <w:p w14:paraId="76A76BFA" w14:textId="77777777" w:rsidR="006A4ACE" w:rsidRPr="006A4ACE" w:rsidRDefault="006A4ACE" w:rsidP="006A4ACE">
            <w:pPr>
              <w:shd w:val="clear" w:color="auto" w:fill="FFFFFF"/>
              <w:spacing w:line="480" w:lineRule="auto"/>
              <w:ind w:firstLine="720"/>
              <w:jc w:val="both"/>
              <w:rPr>
                <w:color w:val="000000"/>
                <w:sz w:val="27"/>
                <w:szCs w:val="27"/>
              </w:rPr>
            </w:pPr>
            <w:r w:rsidRPr="006A4ACE">
              <w:rPr>
                <w:color w:val="000000"/>
                <w:u w:val="single"/>
              </w:rPr>
              <w:t>(v) how emergency responders should respond to a mental health emergency before mental health emergency response unit arrives at the scene.</w:t>
            </w:r>
          </w:p>
          <w:p w14:paraId="0FE63E80" w14:textId="77777777" w:rsidR="006A4ACE" w:rsidRPr="006A4ACE" w:rsidRDefault="006A4ACE" w:rsidP="006A4ACE">
            <w:pPr>
              <w:shd w:val="clear" w:color="auto" w:fill="FFFFFF"/>
              <w:spacing w:line="480" w:lineRule="auto"/>
              <w:ind w:firstLine="720"/>
              <w:jc w:val="both"/>
              <w:rPr>
                <w:color w:val="000000"/>
                <w:sz w:val="27"/>
                <w:szCs w:val="27"/>
              </w:rPr>
            </w:pPr>
            <w:r w:rsidRPr="006A4ACE">
              <w:rPr>
                <w:color w:val="000000"/>
                <w:u w:val="single"/>
              </w:rPr>
              <w:t>b. Any changes to such protocol shall be posted on the office’s website within 24 hours of such change.</w:t>
            </w:r>
          </w:p>
          <w:p w14:paraId="0EF85E8A" w14:textId="77777777" w:rsidR="006A4ACE" w:rsidRPr="006A4ACE" w:rsidRDefault="006A4ACE" w:rsidP="006A4ACE">
            <w:pPr>
              <w:shd w:val="clear" w:color="auto" w:fill="FFFFFF"/>
              <w:spacing w:line="480" w:lineRule="auto"/>
              <w:ind w:firstLine="720"/>
              <w:jc w:val="both"/>
              <w:rPr>
                <w:color w:val="000000"/>
                <w:sz w:val="27"/>
                <w:szCs w:val="27"/>
              </w:rPr>
            </w:pPr>
            <w:r w:rsidRPr="006A4ACE">
              <w:rPr>
                <w:color w:val="000000"/>
                <w:u w:val="single"/>
              </w:rPr>
              <w:t>§ 17-2004 Mental health emergency response unit. a. The office shall include a unit of mental health clinicians and peers that shall respond to all mental health emergencies.</w:t>
            </w:r>
          </w:p>
          <w:p w14:paraId="694F83C9" w14:textId="77777777" w:rsidR="006A4ACE" w:rsidRPr="006A4ACE" w:rsidRDefault="006A4ACE" w:rsidP="006A4ACE">
            <w:pPr>
              <w:shd w:val="clear" w:color="auto" w:fill="FFFFFF"/>
              <w:spacing w:line="480" w:lineRule="auto"/>
              <w:ind w:firstLine="720"/>
              <w:jc w:val="both"/>
              <w:rPr>
                <w:color w:val="000000"/>
                <w:sz w:val="27"/>
                <w:szCs w:val="27"/>
              </w:rPr>
            </w:pPr>
            <w:r w:rsidRPr="006A4ACE">
              <w:rPr>
                <w:color w:val="000000"/>
                <w:u w:val="single"/>
              </w:rPr>
              <w:t>b. The mental health emergency response unit shall respond to all mental health emergencies within 30 minutes of receiving a call identified by the mental health emergency response protocol as a potential mental health emergency. The office shall follow-up with any individual interacting with the mental health emergency response unit within 48 hours of such a response.</w:t>
            </w:r>
          </w:p>
          <w:p w14:paraId="2A7FA3F1" w14:textId="77777777" w:rsidR="006A4ACE" w:rsidRPr="006A4ACE" w:rsidRDefault="006A4ACE" w:rsidP="006A4ACE">
            <w:pPr>
              <w:shd w:val="clear" w:color="auto" w:fill="FFFFFF"/>
              <w:spacing w:line="480" w:lineRule="auto"/>
              <w:ind w:firstLine="720"/>
              <w:jc w:val="both"/>
              <w:rPr>
                <w:color w:val="000000"/>
                <w:sz w:val="27"/>
                <w:szCs w:val="27"/>
              </w:rPr>
            </w:pPr>
            <w:r w:rsidRPr="006A4ACE">
              <w:rPr>
                <w:color w:val="000000"/>
                <w:u w:val="single"/>
              </w:rPr>
              <w:t>c. The office shall provide appropriate training, medical equipment, vehicles, and adequate staff to the mental health emergency response unit.</w:t>
            </w:r>
          </w:p>
          <w:p w14:paraId="7DC119EE" w14:textId="77777777" w:rsidR="006A4ACE" w:rsidRPr="006A4ACE" w:rsidRDefault="006A4ACE" w:rsidP="006A4ACE">
            <w:pPr>
              <w:shd w:val="clear" w:color="auto" w:fill="FFFFFF"/>
              <w:spacing w:line="480" w:lineRule="auto"/>
              <w:ind w:firstLine="720"/>
              <w:jc w:val="both"/>
              <w:rPr>
                <w:color w:val="000000"/>
                <w:sz w:val="27"/>
                <w:szCs w:val="27"/>
              </w:rPr>
            </w:pPr>
            <w:r w:rsidRPr="006A4ACE">
              <w:rPr>
                <w:color w:val="000000"/>
                <w:u w:val="single"/>
              </w:rPr>
              <w:t>d. The office shall identify best practices concerning titles, uniforms, training, qualifications, and professional and personal experience of such staff.</w:t>
            </w:r>
          </w:p>
          <w:p w14:paraId="740CC74E" w14:textId="77777777" w:rsidR="006A4ACE" w:rsidRPr="006A4ACE" w:rsidRDefault="006A4ACE" w:rsidP="006A4ACE">
            <w:pPr>
              <w:shd w:val="clear" w:color="auto" w:fill="FFFFFF"/>
              <w:spacing w:line="480" w:lineRule="auto"/>
              <w:ind w:firstLine="720"/>
              <w:jc w:val="both"/>
              <w:rPr>
                <w:color w:val="000000"/>
                <w:sz w:val="27"/>
                <w:szCs w:val="27"/>
              </w:rPr>
            </w:pPr>
            <w:r w:rsidRPr="006A4ACE">
              <w:rPr>
                <w:color w:val="000000"/>
                <w:u w:val="single"/>
              </w:rPr>
              <w:t>e. The office shall determine the geographic locations necessary for such equipment, vehicles, and staff in order to achieve the response time set forth in subdivision a of this section.</w:t>
            </w:r>
          </w:p>
          <w:p w14:paraId="2946E151" w14:textId="77777777" w:rsidR="006A4ACE" w:rsidRPr="006A4ACE" w:rsidRDefault="006A4ACE" w:rsidP="006A4ACE">
            <w:pPr>
              <w:shd w:val="clear" w:color="auto" w:fill="FFFFFF"/>
              <w:spacing w:line="480" w:lineRule="auto"/>
              <w:ind w:firstLine="720"/>
              <w:jc w:val="both"/>
              <w:rPr>
                <w:color w:val="000000"/>
                <w:sz w:val="27"/>
                <w:szCs w:val="27"/>
              </w:rPr>
            </w:pPr>
            <w:r w:rsidRPr="006A4ACE">
              <w:rPr>
                <w:color w:val="000000"/>
                <w:u w:val="single"/>
              </w:rPr>
              <w:t>§ 17-2005 Coordination between city agencies and service providers. The office shall coordinate between city agencies and mental health service providers by:</w:t>
            </w:r>
          </w:p>
          <w:p w14:paraId="1F3E9C25" w14:textId="77777777" w:rsidR="006A4ACE" w:rsidRPr="006A4ACE" w:rsidRDefault="006A4ACE" w:rsidP="006A4ACE">
            <w:pPr>
              <w:shd w:val="clear" w:color="auto" w:fill="FFFFFF"/>
              <w:spacing w:line="480" w:lineRule="auto"/>
              <w:ind w:firstLine="720"/>
              <w:jc w:val="both"/>
              <w:rPr>
                <w:color w:val="000000"/>
                <w:sz w:val="27"/>
                <w:szCs w:val="27"/>
              </w:rPr>
            </w:pPr>
            <w:r w:rsidRPr="006A4ACE">
              <w:rPr>
                <w:color w:val="000000"/>
                <w:u w:val="single"/>
              </w:rPr>
              <w:t>a. incorporating city agencies and community-based-organizations involved in responding to mental health and public safety emergencies into the mental health emergency response protocol. Such agencies shall include, but not be limited to, the police department, the department of homeless services, the department of social services/human resources administration, the fire department bureau of emergency medical services, the administration for children’s services, the department of education, the New York city health and hospitals corporation, and other offices or units within the department;</w:t>
            </w:r>
          </w:p>
          <w:p w14:paraId="3FF9085D" w14:textId="77777777" w:rsidR="006A4ACE" w:rsidRPr="006A4ACE" w:rsidRDefault="006A4ACE" w:rsidP="006A4ACE">
            <w:pPr>
              <w:shd w:val="clear" w:color="auto" w:fill="FFFFFF"/>
              <w:spacing w:line="480" w:lineRule="auto"/>
              <w:ind w:firstLine="720"/>
              <w:jc w:val="both"/>
              <w:rPr>
                <w:color w:val="000000"/>
                <w:sz w:val="27"/>
                <w:szCs w:val="27"/>
              </w:rPr>
            </w:pPr>
            <w:r w:rsidRPr="006A4ACE">
              <w:rPr>
                <w:color w:val="000000"/>
                <w:u w:val="single"/>
              </w:rPr>
              <w:t>b. training city agencies and community-based-organizations involved in responding to mental health and public safety emergencies, including the police department, in the protocols established pursuant to section 17-2003;</w:t>
            </w:r>
          </w:p>
          <w:p w14:paraId="4FC2B838" w14:textId="77777777" w:rsidR="006A4ACE" w:rsidRPr="006A4ACE" w:rsidRDefault="006A4ACE" w:rsidP="006A4ACE">
            <w:pPr>
              <w:shd w:val="clear" w:color="auto" w:fill="FFFFFF"/>
              <w:spacing w:line="480" w:lineRule="auto"/>
              <w:ind w:firstLine="720"/>
              <w:jc w:val="both"/>
              <w:rPr>
                <w:color w:val="000000"/>
                <w:sz w:val="27"/>
                <w:szCs w:val="27"/>
              </w:rPr>
            </w:pPr>
            <w:r w:rsidRPr="006A4ACE">
              <w:rPr>
                <w:color w:val="000000"/>
                <w:u w:val="single"/>
              </w:rPr>
              <w:t>c. providing referrals to community-based-organizations or mental health providers for individuals seeking connection to care; and</w:t>
            </w:r>
          </w:p>
          <w:p w14:paraId="7C220D6A" w14:textId="77777777" w:rsidR="006A4ACE" w:rsidRPr="006A4ACE" w:rsidRDefault="006A4ACE" w:rsidP="006A4ACE">
            <w:pPr>
              <w:shd w:val="clear" w:color="auto" w:fill="FFFFFF"/>
              <w:spacing w:line="480" w:lineRule="auto"/>
              <w:ind w:firstLine="720"/>
              <w:jc w:val="both"/>
              <w:rPr>
                <w:color w:val="000000"/>
                <w:sz w:val="27"/>
                <w:szCs w:val="27"/>
              </w:rPr>
            </w:pPr>
            <w:r w:rsidRPr="006A4ACE">
              <w:rPr>
                <w:color w:val="000000"/>
                <w:u w:val="single"/>
              </w:rPr>
              <w:t>d. monitoring the usage of the city’s emergency response infrastructure in order to improve community mental health services and reduce mental health emergencies through preventative care.</w:t>
            </w:r>
          </w:p>
          <w:p w14:paraId="416989E1" w14:textId="77777777" w:rsidR="006A4ACE" w:rsidRPr="006A4ACE" w:rsidRDefault="006A4ACE" w:rsidP="006A4ACE">
            <w:pPr>
              <w:shd w:val="clear" w:color="auto" w:fill="FFFFFF"/>
              <w:spacing w:line="480" w:lineRule="auto"/>
              <w:ind w:firstLine="720"/>
              <w:jc w:val="both"/>
              <w:rPr>
                <w:color w:val="000000"/>
                <w:sz w:val="27"/>
                <w:szCs w:val="27"/>
              </w:rPr>
            </w:pPr>
            <w:r w:rsidRPr="006A4ACE">
              <w:rPr>
                <w:color w:val="000000"/>
                <w:u w:val="single"/>
              </w:rPr>
              <w:t>§ 17-2006 Public outreach and education. The office shall conduct public outreach and education. Such outreach and education shall include, but not be limited to:</w:t>
            </w:r>
          </w:p>
          <w:p w14:paraId="08DB45A6" w14:textId="77777777" w:rsidR="006A4ACE" w:rsidRPr="006A4ACE" w:rsidRDefault="006A4ACE" w:rsidP="006A4ACE">
            <w:pPr>
              <w:shd w:val="clear" w:color="auto" w:fill="FFFFFF"/>
              <w:spacing w:line="480" w:lineRule="auto"/>
              <w:ind w:firstLine="720"/>
              <w:jc w:val="both"/>
              <w:rPr>
                <w:color w:val="000000"/>
                <w:sz w:val="27"/>
                <w:szCs w:val="27"/>
              </w:rPr>
            </w:pPr>
            <w:r w:rsidRPr="006A4ACE">
              <w:rPr>
                <w:color w:val="000000"/>
                <w:u w:val="single"/>
              </w:rPr>
              <w:t>a. Publicizing the mental health emergency response protocol;</w:t>
            </w:r>
          </w:p>
          <w:p w14:paraId="5F0B9AAA" w14:textId="77777777" w:rsidR="006A4ACE" w:rsidRPr="006A4ACE" w:rsidRDefault="006A4ACE" w:rsidP="006A4ACE">
            <w:pPr>
              <w:shd w:val="clear" w:color="auto" w:fill="FFFFFF"/>
              <w:spacing w:line="480" w:lineRule="auto"/>
              <w:ind w:firstLine="720"/>
              <w:jc w:val="both"/>
              <w:rPr>
                <w:color w:val="000000"/>
                <w:sz w:val="27"/>
                <w:szCs w:val="27"/>
              </w:rPr>
            </w:pPr>
            <w:r w:rsidRPr="006A4ACE">
              <w:rPr>
                <w:color w:val="000000"/>
                <w:u w:val="single"/>
              </w:rPr>
              <w:t>b. Conducting targeted outreach campaigns in neighborhoods facing barriers to access of mental health care and in which there are a disproportionate number of mental health emergency calls; and</w:t>
            </w:r>
          </w:p>
          <w:p w14:paraId="5B394FC9" w14:textId="77777777" w:rsidR="006A4ACE" w:rsidRPr="006A4ACE" w:rsidRDefault="006A4ACE" w:rsidP="006A4ACE">
            <w:pPr>
              <w:shd w:val="clear" w:color="auto" w:fill="FFFFFF"/>
              <w:spacing w:line="480" w:lineRule="auto"/>
              <w:ind w:firstLine="720"/>
              <w:jc w:val="both"/>
              <w:rPr>
                <w:color w:val="000000"/>
                <w:sz w:val="27"/>
                <w:szCs w:val="27"/>
              </w:rPr>
            </w:pPr>
            <w:r w:rsidRPr="006A4ACE">
              <w:rPr>
                <w:color w:val="000000"/>
                <w:u w:val="single"/>
              </w:rPr>
              <w:t>c. Providing information and resources regarding access to mental health care, particularly free, low-cost, and insurance-covered mental health care.</w:t>
            </w:r>
          </w:p>
          <w:p w14:paraId="40B6BEAA" w14:textId="77777777" w:rsidR="006A4ACE" w:rsidRPr="006A4ACE" w:rsidRDefault="006A4ACE" w:rsidP="006A4ACE">
            <w:pPr>
              <w:shd w:val="clear" w:color="auto" w:fill="FFFFFF"/>
              <w:spacing w:line="480" w:lineRule="auto"/>
              <w:ind w:firstLine="720"/>
              <w:jc w:val="both"/>
              <w:rPr>
                <w:color w:val="000000"/>
                <w:sz w:val="27"/>
                <w:szCs w:val="27"/>
              </w:rPr>
            </w:pPr>
            <w:r w:rsidRPr="006A4ACE">
              <w:rPr>
                <w:color w:val="000000"/>
                <w:u w:val="single"/>
              </w:rPr>
              <w:t>§ 17-2007 Reporting. a. Monthly reporting. Beginning February 1, 2022 and by the first day of each month thereafter, the office shall provide to the mayor and speaker of the council, and post to its website, a report on mental health emergency calls received and handled pursuant to the protocol, including but not limited to the following:</w:t>
            </w:r>
          </w:p>
          <w:p w14:paraId="3DBD6822" w14:textId="77777777" w:rsidR="006A4ACE" w:rsidRPr="006A4ACE" w:rsidRDefault="006A4ACE" w:rsidP="006A4ACE">
            <w:pPr>
              <w:shd w:val="clear" w:color="auto" w:fill="FFFFFF"/>
              <w:spacing w:line="480" w:lineRule="auto"/>
              <w:ind w:firstLine="720"/>
              <w:jc w:val="both"/>
              <w:rPr>
                <w:color w:val="000000"/>
                <w:sz w:val="27"/>
                <w:szCs w:val="27"/>
              </w:rPr>
            </w:pPr>
            <w:r w:rsidRPr="006A4ACE">
              <w:rPr>
                <w:color w:val="000000"/>
                <w:u w:val="single"/>
              </w:rPr>
              <w:t>1. the number of potential mental health emergency calls received, in total and disaggregated by whether the call originated from 311, 911, or another source, and further disaggregated by the agency or agencies dispatched; and</w:t>
            </w:r>
          </w:p>
          <w:p w14:paraId="2650BB2B" w14:textId="77777777" w:rsidR="006A4ACE" w:rsidRPr="006A4ACE" w:rsidRDefault="006A4ACE" w:rsidP="006A4ACE">
            <w:pPr>
              <w:shd w:val="clear" w:color="auto" w:fill="FFFFFF"/>
              <w:spacing w:line="480" w:lineRule="auto"/>
              <w:ind w:firstLine="720"/>
              <w:jc w:val="both"/>
              <w:rPr>
                <w:color w:val="000000"/>
                <w:sz w:val="27"/>
                <w:szCs w:val="27"/>
              </w:rPr>
            </w:pPr>
            <w:r w:rsidRPr="006A4ACE">
              <w:rPr>
                <w:color w:val="000000"/>
                <w:u w:val="single"/>
              </w:rPr>
              <w:t>2. the number of mental health emergency responses conducted, disaggregated by the responding agency or agencies, and further disaggregated by zip code, race, ethnicity, gender, age, and whether follow-up or referral services were provided to individuals.</w:t>
            </w:r>
          </w:p>
          <w:p w14:paraId="022919CC" w14:textId="77777777" w:rsidR="006A4ACE" w:rsidRPr="006A4ACE" w:rsidRDefault="006A4ACE" w:rsidP="006A4ACE">
            <w:pPr>
              <w:shd w:val="clear" w:color="auto" w:fill="FFFFFF"/>
              <w:spacing w:line="480" w:lineRule="auto"/>
              <w:ind w:firstLine="720"/>
              <w:jc w:val="both"/>
              <w:rPr>
                <w:color w:val="000000"/>
                <w:sz w:val="27"/>
                <w:szCs w:val="27"/>
              </w:rPr>
            </w:pPr>
            <w:r w:rsidRPr="006A4ACE">
              <w:rPr>
                <w:color w:val="000000"/>
                <w:u w:val="single"/>
              </w:rPr>
              <w:t>b. Annual reporting. Beginning February 1, 2022 and by each February 1 thereafter, the office shall submit to the mayor and speaker of the council, and publish on its website a report on the activities of the office, including but not limited to:</w:t>
            </w:r>
          </w:p>
          <w:p w14:paraId="7DCF4AEC" w14:textId="77777777" w:rsidR="006A4ACE" w:rsidRPr="006A4ACE" w:rsidRDefault="006A4ACE" w:rsidP="006A4ACE">
            <w:pPr>
              <w:shd w:val="clear" w:color="auto" w:fill="FFFFFF"/>
              <w:spacing w:line="480" w:lineRule="auto"/>
              <w:ind w:firstLine="720"/>
              <w:jc w:val="both"/>
              <w:rPr>
                <w:color w:val="000000"/>
                <w:sz w:val="27"/>
                <w:szCs w:val="27"/>
              </w:rPr>
            </w:pPr>
            <w:r w:rsidRPr="006A4ACE">
              <w:rPr>
                <w:color w:val="000000"/>
                <w:u w:val="single"/>
              </w:rPr>
              <w:t>1. an assessment of mental health service needs and gaps in care, including access to treatment, cost of services, utilization rates, and any racial, cultural, religious or economic barriers to accessing treatment, disaggregated by zip code, race, ethnicity, gender, and age; and</w:t>
            </w:r>
          </w:p>
          <w:p w14:paraId="147A3933" w14:textId="77777777" w:rsidR="006A4ACE" w:rsidRPr="006A4ACE" w:rsidRDefault="006A4ACE" w:rsidP="006A4ACE">
            <w:pPr>
              <w:shd w:val="clear" w:color="auto" w:fill="FFFFFF"/>
              <w:spacing w:line="480" w:lineRule="auto"/>
              <w:ind w:firstLine="720"/>
              <w:jc w:val="both"/>
              <w:rPr>
                <w:color w:val="000000"/>
                <w:sz w:val="27"/>
                <w:szCs w:val="27"/>
              </w:rPr>
            </w:pPr>
            <w:r w:rsidRPr="006A4ACE">
              <w:rPr>
                <w:color w:val="000000"/>
                <w:u w:val="single"/>
              </w:rPr>
              <w:t>2. any changes to the mental health emergency protocol and the reasons for any such change.</w:t>
            </w:r>
          </w:p>
          <w:p w14:paraId="2FF10E81" w14:textId="77777777" w:rsidR="006A4ACE" w:rsidRPr="006A4ACE" w:rsidRDefault="006A4ACE" w:rsidP="006A4ACE">
            <w:pPr>
              <w:shd w:val="clear" w:color="auto" w:fill="FFFFFF"/>
              <w:spacing w:line="480" w:lineRule="auto"/>
              <w:ind w:firstLine="720"/>
              <w:jc w:val="both"/>
              <w:rPr>
                <w:color w:val="000000"/>
                <w:sz w:val="27"/>
                <w:szCs w:val="27"/>
              </w:rPr>
            </w:pPr>
            <w:r w:rsidRPr="006A4ACE">
              <w:rPr>
                <w:color w:val="000000"/>
              </w:rPr>
              <w:t>§ 2. Chapter 1 of title 14 of the administrative code of the city of New York is amended by adding new sections 14-191 and 14-192 to read as follows:</w:t>
            </w:r>
          </w:p>
          <w:p w14:paraId="4DC62E73" w14:textId="77777777" w:rsidR="006A4ACE" w:rsidRPr="006A4ACE" w:rsidRDefault="006A4ACE" w:rsidP="006A4ACE">
            <w:pPr>
              <w:shd w:val="clear" w:color="auto" w:fill="FFFFFF"/>
              <w:spacing w:line="480" w:lineRule="auto"/>
              <w:ind w:firstLine="720"/>
              <w:jc w:val="both"/>
              <w:rPr>
                <w:color w:val="000000"/>
                <w:sz w:val="27"/>
                <w:szCs w:val="27"/>
              </w:rPr>
            </w:pPr>
            <w:r w:rsidRPr="006A4ACE">
              <w:rPr>
                <w:color w:val="000000"/>
                <w:u w:val="single"/>
              </w:rPr>
              <w:t>§ 14-191 Mental health emergency response. The department and its officers and employees shall follow the mental health emergency response protocol established by the office of community mental health pursuant to section 17-2003.</w:t>
            </w:r>
          </w:p>
          <w:p w14:paraId="46F0C579" w14:textId="77777777" w:rsidR="006A4ACE" w:rsidRPr="006A4ACE" w:rsidRDefault="006A4ACE" w:rsidP="006A4ACE">
            <w:pPr>
              <w:shd w:val="clear" w:color="auto" w:fill="FFFFFF"/>
              <w:spacing w:line="480" w:lineRule="auto"/>
              <w:ind w:firstLine="720"/>
              <w:jc w:val="both"/>
              <w:rPr>
                <w:color w:val="000000"/>
                <w:sz w:val="27"/>
                <w:szCs w:val="27"/>
              </w:rPr>
            </w:pPr>
            <w:r w:rsidRPr="006A4ACE">
              <w:rPr>
                <w:color w:val="000000"/>
                <w:u w:val="single"/>
              </w:rPr>
              <w:t>a. The department shall not respond to a call designated by the mental health emergency response protocol as a potential mental health emergency call, unless the office of community mental health has notified the department that there is a public safety emergency pursuant to the emergency mental health response protocol.</w:t>
            </w:r>
          </w:p>
          <w:p w14:paraId="1DD488AD" w14:textId="77777777" w:rsidR="006A4ACE" w:rsidRPr="006A4ACE" w:rsidRDefault="006A4ACE" w:rsidP="006A4ACE">
            <w:pPr>
              <w:shd w:val="clear" w:color="auto" w:fill="FFFFFF"/>
              <w:spacing w:line="480" w:lineRule="auto"/>
              <w:ind w:firstLine="720"/>
              <w:jc w:val="both"/>
              <w:rPr>
                <w:color w:val="000000"/>
                <w:sz w:val="27"/>
                <w:szCs w:val="27"/>
              </w:rPr>
            </w:pPr>
            <w:r w:rsidRPr="006A4ACE">
              <w:rPr>
                <w:color w:val="000000"/>
                <w:u w:val="single"/>
              </w:rPr>
              <w:t>b. Upon dispatch to a potential mental health emergency that is deemed by the office of community mental health to be a public safety emergency, the department and its officers shall follow the instructions of any employees of the office of community mental health emergency response unit present at the scene and refrain from engaging with an individual in mental health crisis unless instructed to do so by a member of the office of community mental health.</w:t>
            </w:r>
          </w:p>
          <w:p w14:paraId="7D8C26E4" w14:textId="77777777" w:rsidR="006A4ACE" w:rsidRPr="006A4ACE" w:rsidRDefault="006A4ACE" w:rsidP="006A4ACE">
            <w:pPr>
              <w:shd w:val="clear" w:color="auto" w:fill="FFFFFF"/>
              <w:spacing w:line="480" w:lineRule="auto"/>
              <w:ind w:firstLine="720"/>
              <w:jc w:val="both"/>
              <w:rPr>
                <w:color w:val="000000"/>
                <w:sz w:val="27"/>
                <w:szCs w:val="27"/>
              </w:rPr>
            </w:pPr>
            <w:r w:rsidRPr="006A4ACE">
              <w:rPr>
                <w:color w:val="000000"/>
                <w:u w:val="single"/>
              </w:rPr>
              <w:t>c. 911 call operators shall follow the mental health emergency response protocol established by the office of community mental health for identifying potential mental health emergency calls. In the event that such protocol identifies a potential mental health emergency call, the 911 operator shall connect the call to the office of community mental health emergency response established pursuant to section 17-2003.</w:t>
            </w:r>
          </w:p>
          <w:p w14:paraId="04BCF510" w14:textId="77777777" w:rsidR="006A4ACE" w:rsidRPr="006A4ACE" w:rsidRDefault="006A4ACE" w:rsidP="006A4ACE">
            <w:pPr>
              <w:shd w:val="clear" w:color="auto" w:fill="FFFFFF"/>
              <w:spacing w:line="480" w:lineRule="auto"/>
              <w:ind w:firstLine="720"/>
              <w:jc w:val="both"/>
              <w:rPr>
                <w:color w:val="000000"/>
                <w:sz w:val="27"/>
                <w:szCs w:val="27"/>
              </w:rPr>
            </w:pPr>
            <w:r w:rsidRPr="006A4ACE">
              <w:rPr>
                <w:color w:val="000000"/>
                <w:u w:val="single"/>
              </w:rPr>
              <w:t>§ 14-192 Mental health emergency response training. The department, in conjunction with the office of community mental health, shall:</w:t>
            </w:r>
          </w:p>
          <w:p w14:paraId="60122095" w14:textId="77777777" w:rsidR="006A4ACE" w:rsidRPr="006A4ACE" w:rsidRDefault="006A4ACE" w:rsidP="006A4ACE">
            <w:pPr>
              <w:shd w:val="clear" w:color="auto" w:fill="FFFFFF"/>
              <w:spacing w:line="480" w:lineRule="auto"/>
              <w:ind w:firstLine="720"/>
              <w:jc w:val="both"/>
              <w:rPr>
                <w:color w:val="000000"/>
                <w:sz w:val="27"/>
                <w:szCs w:val="27"/>
              </w:rPr>
            </w:pPr>
            <w:r w:rsidRPr="006A4ACE">
              <w:rPr>
                <w:color w:val="000000"/>
                <w:u w:val="single"/>
              </w:rPr>
              <w:t>a. Provide training for all current members of service regarding the citywide mental health emergency response protocol established pursuant to section 17-2003 no later than July 1, 2022;</w:t>
            </w:r>
          </w:p>
          <w:p w14:paraId="3278CFB1" w14:textId="77777777" w:rsidR="006A4ACE" w:rsidRPr="006A4ACE" w:rsidRDefault="006A4ACE" w:rsidP="006A4ACE">
            <w:pPr>
              <w:shd w:val="clear" w:color="auto" w:fill="FFFFFF"/>
              <w:spacing w:line="480" w:lineRule="auto"/>
              <w:ind w:firstLine="720"/>
              <w:jc w:val="both"/>
              <w:rPr>
                <w:color w:val="000000"/>
                <w:sz w:val="27"/>
                <w:szCs w:val="27"/>
              </w:rPr>
            </w:pPr>
            <w:r w:rsidRPr="006A4ACE">
              <w:rPr>
                <w:color w:val="000000"/>
                <w:u w:val="single"/>
              </w:rPr>
              <w:t>b. Provide training for all 911 call operators regarding the citywide mental health emergency response protocol established pursuant to section 17-2003 no later than July 1, 2022;</w:t>
            </w:r>
          </w:p>
          <w:p w14:paraId="5FC491CA" w14:textId="77777777" w:rsidR="006A4ACE" w:rsidRPr="006A4ACE" w:rsidRDefault="006A4ACE" w:rsidP="006A4ACE">
            <w:pPr>
              <w:shd w:val="clear" w:color="auto" w:fill="FFFFFF"/>
              <w:spacing w:line="480" w:lineRule="auto"/>
              <w:ind w:firstLine="720"/>
              <w:jc w:val="both"/>
              <w:rPr>
                <w:color w:val="000000"/>
                <w:sz w:val="27"/>
                <w:szCs w:val="27"/>
              </w:rPr>
            </w:pPr>
            <w:r w:rsidRPr="006A4ACE">
              <w:rPr>
                <w:color w:val="000000"/>
                <w:u w:val="single"/>
              </w:rPr>
              <w:t>c. Provide training for all new academy recruits and new 911 emergency call operators regarding the citywide mental health emergency response protocol established pursuant to section 17-2003; and</w:t>
            </w:r>
          </w:p>
          <w:p w14:paraId="1319E015" w14:textId="77777777" w:rsidR="006A4ACE" w:rsidRPr="006A4ACE" w:rsidRDefault="006A4ACE" w:rsidP="006A4ACE">
            <w:pPr>
              <w:shd w:val="clear" w:color="auto" w:fill="FFFFFF"/>
              <w:spacing w:line="480" w:lineRule="auto"/>
              <w:ind w:firstLine="720"/>
              <w:jc w:val="both"/>
              <w:rPr>
                <w:color w:val="000000"/>
                <w:sz w:val="27"/>
                <w:szCs w:val="27"/>
              </w:rPr>
            </w:pPr>
            <w:r w:rsidRPr="006A4ACE">
              <w:rPr>
                <w:color w:val="000000"/>
                <w:u w:val="single"/>
              </w:rPr>
              <w:t>d. Provide retraining for all members of service within six months of any changes to the emergency response protocol established pursuant to section 17-2003 or no later than every two years if no changes are made.</w:t>
            </w:r>
          </w:p>
          <w:p w14:paraId="62B6361B" w14:textId="77777777" w:rsidR="006A4ACE" w:rsidRPr="006A4ACE" w:rsidRDefault="006A4ACE" w:rsidP="006A4ACE">
            <w:pPr>
              <w:shd w:val="clear" w:color="auto" w:fill="FFFFFF"/>
              <w:spacing w:line="480" w:lineRule="auto"/>
              <w:ind w:firstLine="720"/>
              <w:jc w:val="both"/>
              <w:rPr>
                <w:color w:val="000000"/>
                <w:sz w:val="27"/>
                <w:szCs w:val="27"/>
              </w:rPr>
            </w:pPr>
            <w:r w:rsidRPr="006A4ACE">
              <w:rPr>
                <w:color w:val="000000"/>
              </w:rPr>
              <w:t>§ 3. This local law takes effect 180 days after it becomes law.</w:t>
            </w:r>
          </w:p>
          <w:p w14:paraId="034697A8" w14:textId="77777777" w:rsidR="006A4ACE" w:rsidRPr="006A4ACE" w:rsidRDefault="006A4ACE" w:rsidP="006A4ACE">
            <w:pPr>
              <w:shd w:val="clear" w:color="auto" w:fill="FFFFFF"/>
              <w:rPr>
                <w:color w:val="000000"/>
                <w:sz w:val="27"/>
                <w:szCs w:val="27"/>
              </w:rPr>
            </w:pPr>
            <w:r w:rsidRPr="006A4ACE">
              <w:rPr>
                <w:color w:val="000000"/>
                <w:shd w:val="clear" w:color="auto" w:fill="FFFFFF"/>
              </w:rPr>
              <w:t> </w:t>
            </w:r>
          </w:p>
          <w:p w14:paraId="4634C672" w14:textId="77777777" w:rsidR="006A4ACE" w:rsidRPr="006A4ACE" w:rsidRDefault="006A4ACE" w:rsidP="006A4ACE">
            <w:pPr>
              <w:shd w:val="clear" w:color="auto" w:fill="FFFFFF"/>
              <w:rPr>
                <w:color w:val="000000"/>
                <w:sz w:val="27"/>
                <w:szCs w:val="27"/>
              </w:rPr>
            </w:pPr>
            <w:r w:rsidRPr="006A4ACE">
              <w:rPr>
                <w:color w:val="000000"/>
                <w:sz w:val="20"/>
                <w:szCs w:val="20"/>
              </w:rPr>
              <w:t> </w:t>
            </w:r>
          </w:p>
          <w:p w14:paraId="71ADE904" w14:textId="77777777" w:rsidR="006A4ACE" w:rsidRPr="006A4ACE" w:rsidRDefault="006A4ACE" w:rsidP="006A4ACE">
            <w:pPr>
              <w:shd w:val="clear" w:color="auto" w:fill="FFFFFF"/>
              <w:rPr>
                <w:color w:val="000000"/>
                <w:sz w:val="27"/>
                <w:szCs w:val="27"/>
              </w:rPr>
            </w:pPr>
            <w:r w:rsidRPr="006A4ACE">
              <w:rPr>
                <w:color w:val="000000"/>
                <w:sz w:val="20"/>
                <w:szCs w:val="20"/>
              </w:rPr>
              <w:t> </w:t>
            </w:r>
          </w:p>
          <w:p w14:paraId="37D13AFC" w14:textId="77777777" w:rsidR="006A4ACE" w:rsidRPr="006A4ACE" w:rsidRDefault="006A4ACE" w:rsidP="006A4ACE">
            <w:pPr>
              <w:shd w:val="clear" w:color="auto" w:fill="FFFFFF"/>
              <w:rPr>
                <w:color w:val="000000"/>
                <w:sz w:val="27"/>
                <w:szCs w:val="27"/>
              </w:rPr>
            </w:pPr>
            <w:r w:rsidRPr="006A4ACE">
              <w:rPr>
                <w:color w:val="000000"/>
                <w:sz w:val="20"/>
                <w:szCs w:val="20"/>
              </w:rPr>
              <w:t> </w:t>
            </w:r>
          </w:p>
          <w:p w14:paraId="70D0AB30" w14:textId="77777777" w:rsidR="006A4ACE" w:rsidRPr="006A4ACE" w:rsidRDefault="006A4ACE" w:rsidP="006A4ACE">
            <w:pPr>
              <w:shd w:val="clear" w:color="auto" w:fill="FFFFFF"/>
              <w:rPr>
                <w:color w:val="000000"/>
                <w:sz w:val="27"/>
                <w:szCs w:val="27"/>
              </w:rPr>
            </w:pPr>
            <w:r w:rsidRPr="006A4ACE">
              <w:rPr>
                <w:color w:val="000000"/>
                <w:sz w:val="20"/>
                <w:szCs w:val="20"/>
              </w:rPr>
              <w:t> </w:t>
            </w:r>
          </w:p>
          <w:p w14:paraId="104441E2" w14:textId="77777777" w:rsidR="006A4ACE" w:rsidRPr="006A4ACE" w:rsidRDefault="006A4ACE" w:rsidP="006A4ACE">
            <w:pPr>
              <w:shd w:val="clear" w:color="auto" w:fill="FFFFFF"/>
              <w:rPr>
                <w:color w:val="000000"/>
                <w:sz w:val="27"/>
                <w:szCs w:val="27"/>
              </w:rPr>
            </w:pPr>
            <w:r w:rsidRPr="006A4ACE">
              <w:rPr>
                <w:color w:val="000000"/>
                <w:sz w:val="20"/>
                <w:szCs w:val="20"/>
              </w:rPr>
              <w:t> </w:t>
            </w:r>
          </w:p>
          <w:p w14:paraId="25A02EE1" w14:textId="77777777" w:rsidR="006A4ACE" w:rsidRPr="006A4ACE" w:rsidRDefault="006A4ACE" w:rsidP="006A4ACE">
            <w:pPr>
              <w:shd w:val="clear" w:color="auto" w:fill="FFFFFF"/>
              <w:rPr>
                <w:color w:val="000000"/>
                <w:sz w:val="27"/>
                <w:szCs w:val="27"/>
              </w:rPr>
            </w:pPr>
            <w:r w:rsidRPr="006A4ACE">
              <w:rPr>
                <w:color w:val="000000"/>
                <w:sz w:val="20"/>
                <w:szCs w:val="20"/>
              </w:rPr>
              <w:t> </w:t>
            </w:r>
          </w:p>
          <w:p w14:paraId="0D3334EC" w14:textId="77777777" w:rsidR="006A4ACE" w:rsidRPr="006A4ACE" w:rsidRDefault="006A4ACE" w:rsidP="006A4ACE">
            <w:pPr>
              <w:shd w:val="clear" w:color="auto" w:fill="FFFFFF"/>
              <w:rPr>
                <w:color w:val="000000"/>
                <w:sz w:val="27"/>
                <w:szCs w:val="27"/>
              </w:rPr>
            </w:pPr>
            <w:r w:rsidRPr="006A4ACE">
              <w:rPr>
                <w:color w:val="000000"/>
                <w:sz w:val="20"/>
                <w:szCs w:val="20"/>
                <w:shd w:val="clear" w:color="auto" w:fill="FFFFFF"/>
              </w:rPr>
              <w:t>SIL/D.A.</w:t>
            </w:r>
          </w:p>
          <w:p w14:paraId="00820AA5" w14:textId="77777777" w:rsidR="006A4ACE" w:rsidRPr="006A4ACE" w:rsidRDefault="006A4ACE" w:rsidP="006A4ACE">
            <w:pPr>
              <w:shd w:val="clear" w:color="auto" w:fill="FFFFFF"/>
              <w:rPr>
                <w:color w:val="000000"/>
                <w:sz w:val="27"/>
                <w:szCs w:val="27"/>
              </w:rPr>
            </w:pPr>
            <w:r w:rsidRPr="006A4ACE">
              <w:rPr>
                <w:color w:val="000000"/>
                <w:sz w:val="20"/>
                <w:szCs w:val="20"/>
                <w:shd w:val="clear" w:color="auto" w:fill="FFFFFF"/>
              </w:rPr>
              <w:t>LS # 4045</w:t>
            </w:r>
          </w:p>
          <w:p w14:paraId="17DF054E" w14:textId="77777777" w:rsidR="006A4ACE" w:rsidRPr="006A4ACE" w:rsidRDefault="006A4ACE" w:rsidP="006A4ACE">
            <w:pPr>
              <w:shd w:val="clear" w:color="auto" w:fill="FFFFFF"/>
              <w:rPr>
                <w:color w:val="000000"/>
                <w:sz w:val="27"/>
                <w:szCs w:val="27"/>
              </w:rPr>
            </w:pPr>
            <w:r w:rsidRPr="006A4ACE">
              <w:rPr>
                <w:color w:val="000000"/>
                <w:sz w:val="20"/>
                <w:szCs w:val="20"/>
                <w:shd w:val="clear" w:color="auto" w:fill="FFFFFF"/>
              </w:rPr>
              <w:t>1/22/21 12:15 pm</w:t>
            </w:r>
          </w:p>
        </w:tc>
      </w:tr>
    </w:tbl>
    <w:p w14:paraId="330CDB26" w14:textId="77777777" w:rsidR="006A4ACE" w:rsidRDefault="006A4ACE" w:rsidP="00F954CD">
      <w:pPr>
        <w:spacing w:after="160" w:line="259" w:lineRule="auto"/>
        <w:rPr>
          <w:shd w:val="clear" w:color="auto" w:fill="FFFFFF"/>
        </w:rPr>
      </w:pPr>
      <w:r w:rsidRPr="006A4ACE">
        <w:rPr>
          <w:color w:val="000000"/>
          <w:sz w:val="27"/>
          <w:szCs w:val="27"/>
        </w:rPr>
        <w:br/>
      </w:r>
    </w:p>
    <w:p w14:paraId="0F40116E" w14:textId="77777777" w:rsidR="006A4ACE" w:rsidRDefault="006A4ACE">
      <w:pPr>
        <w:spacing w:after="160" w:line="259" w:lineRule="auto"/>
        <w:rPr>
          <w:shd w:val="clear" w:color="auto" w:fill="FFFFFF"/>
        </w:rPr>
      </w:pPr>
      <w:r>
        <w:rPr>
          <w:shd w:val="clear" w:color="auto" w:fill="FFFFFF"/>
        </w:rPr>
        <w:br w:type="page"/>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6A4ACE" w:rsidRPr="006A4ACE" w14:paraId="6D862C62" w14:textId="77777777" w:rsidTr="006A4ACE">
        <w:trPr>
          <w:tblCellSpacing w:w="0" w:type="dxa"/>
        </w:trPr>
        <w:tc>
          <w:tcPr>
            <w:tcW w:w="0" w:type="auto"/>
            <w:shd w:val="clear" w:color="auto" w:fill="FFFFFF"/>
            <w:vAlign w:val="center"/>
            <w:hideMark/>
          </w:tcPr>
          <w:p w14:paraId="27E96D86" w14:textId="77777777" w:rsidR="006A4ACE" w:rsidRPr="006A4ACE" w:rsidRDefault="006A4ACE" w:rsidP="006A4ACE">
            <w:pPr>
              <w:shd w:val="clear" w:color="auto" w:fill="FFFFFF"/>
              <w:jc w:val="center"/>
              <w:rPr>
                <w:color w:val="000000"/>
                <w:sz w:val="27"/>
                <w:szCs w:val="27"/>
              </w:rPr>
            </w:pPr>
            <w:r w:rsidRPr="006A4ACE">
              <w:rPr>
                <w:color w:val="000000"/>
                <w:shd w:val="clear" w:color="auto" w:fill="FFFFFF"/>
              </w:rPr>
              <w:t>Int. No. 2222</w:t>
            </w:r>
          </w:p>
          <w:p w14:paraId="411B68E0" w14:textId="77777777" w:rsidR="006A4ACE" w:rsidRPr="006A4ACE" w:rsidRDefault="006A4ACE" w:rsidP="006A4ACE">
            <w:pPr>
              <w:shd w:val="clear" w:color="auto" w:fill="FFFFFF"/>
              <w:jc w:val="center"/>
              <w:rPr>
                <w:color w:val="000000"/>
                <w:sz w:val="27"/>
                <w:szCs w:val="27"/>
              </w:rPr>
            </w:pPr>
            <w:r w:rsidRPr="006A4ACE">
              <w:rPr>
                <w:color w:val="000000"/>
                <w:sz w:val="27"/>
                <w:szCs w:val="27"/>
              </w:rPr>
              <w:t> </w:t>
            </w:r>
          </w:p>
          <w:p w14:paraId="53931FE2" w14:textId="77777777" w:rsidR="006A4ACE" w:rsidRPr="006A4ACE" w:rsidRDefault="006A4ACE" w:rsidP="006A4ACE">
            <w:pPr>
              <w:shd w:val="clear" w:color="auto" w:fill="FFFFFF"/>
              <w:jc w:val="both"/>
              <w:rPr>
                <w:color w:val="000000"/>
                <w:sz w:val="27"/>
                <w:szCs w:val="27"/>
              </w:rPr>
            </w:pPr>
            <w:r w:rsidRPr="006A4ACE">
              <w:rPr>
                <w:color w:val="000000"/>
                <w:shd w:val="clear" w:color="auto" w:fill="FFFFFF"/>
              </w:rPr>
              <w:t>By </w:t>
            </w:r>
            <w:r w:rsidRPr="006A4ACE">
              <w:rPr>
                <w:color w:val="000000"/>
              </w:rPr>
              <w:t>the Public Advocate (Mr. Williams), Council Members Cornegy, Rosenthal, Louis and Kallos</w:t>
            </w:r>
          </w:p>
          <w:p w14:paraId="4E3AF805" w14:textId="77777777" w:rsidR="006A4ACE" w:rsidRPr="006A4ACE" w:rsidRDefault="006A4ACE" w:rsidP="006A4ACE">
            <w:pPr>
              <w:shd w:val="clear" w:color="auto" w:fill="FFFFFF"/>
              <w:jc w:val="both"/>
              <w:rPr>
                <w:color w:val="000000"/>
                <w:sz w:val="27"/>
                <w:szCs w:val="27"/>
              </w:rPr>
            </w:pPr>
            <w:r w:rsidRPr="006A4ACE">
              <w:rPr>
                <w:color w:val="000000"/>
              </w:rPr>
              <w:t> </w:t>
            </w:r>
          </w:p>
          <w:p w14:paraId="4749A644" w14:textId="77777777" w:rsidR="006A4ACE" w:rsidRPr="006A4ACE" w:rsidRDefault="006A4ACE" w:rsidP="006A4ACE">
            <w:pPr>
              <w:shd w:val="clear" w:color="auto" w:fill="FFFFFF"/>
              <w:jc w:val="both"/>
              <w:rPr>
                <w:color w:val="000000"/>
                <w:sz w:val="27"/>
                <w:szCs w:val="27"/>
              </w:rPr>
            </w:pPr>
            <w:r w:rsidRPr="006A4ACE">
              <w:rPr>
                <w:color w:val="000000"/>
              </w:rPr>
              <w:t>A Local Law to amend the administrative code of the city of New York, in relation to creating a three-digit mental health emergency hotline</w:t>
            </w:r>
          </w:p>
          <w:p w14:paraId="6F7C5F5C" w14:textId="77777777" w:rsidR="006A4ACE" w:rsidRPr="006A4ACE" w:rsidRDefault="006A4ACE" w:rsidP="006A4ACE">
            <w:pPr>
              <w:shd w:val="clear" w:color="auto" w:fill="FFFFFF"/>
              <w:jc w:val="both"/>
              <w:rPr>
                <w:color w:val="000000"/>
                <w:sz w:val="27"/>
                <w:szCs w:val="27"/>
              </w:rPr>
            </w:pPr>
            <w:r w:rsidRPr="006A4ACE">
              <w:rPr>
                <w:color w:val="000000"/>
                <w:shd w:val="clear" w:color="auto" w:fill="FFFFFF"/>
              </w:rPr>
              <w:t> </w:t>
            </w:r>
          </w:p>
          <w:p w14:paraId="11633267" w14:textId="77777777" w:rsidR="006A4ACE" w:rsidRPr="006A4ACE" w:rsidRDefault="006A4ACE" w:rsidP="006A4ACE">
            <w:pPr>
              <w:shd w:val="clear" w:color="auto" w:fill="FFFFFF"/>
              <w:spacing w:line="480" w:lineRule="auto"/>
              <w:jc w:val="both"/>
              <w:rPr>
                <w:color w:val="000000"/>
                <w:sz w:val="27"/>
                <w:szCs w:val="27"/>
              </w:rPr>
            </w:pPr>
            <w:r w:rsidRPr="006A4ACE">
              <w:rPr>
                <w:color w:val="000000"/>
                <w:u w:val="single"/>
                <w:shd w:val="clear" w:color="auto" w:fill="FFFFFF"/>
              </w:rPr>
              <w:t>Be it enacted by the Council as follows:</w:t>
            </w:r>
          </w:p>
          <w:p w14:paraId="25915523" w14:textId="77777777" w:rsidR="006A4ACE" w:rsidRPr="006A4ACE" w:rsidRDefault="006A4ACE" w:rsidP="006A4ACE">
            <w:pPr>
              <w:shd w:val="clear" w:color="auto" w:fill="FFFFFF"/>
              <w:spacing w:line="480" w:lineRule="auto"/>
              <w:ind w:firstLine="720"/>
              <w:jc w:val="both"/>
              <w:rPr>
                <w:color w:val="000000"/>
                <w:sz w:val="27"/>
                <w:szCs w:val="27"/>
              </w:rPr>
            </w:pPr>
            <w:r w:rsidRPr="006A4ACE">
              <w:rPr>
                <w:color w:val="000000"/>
              </w:rPr>
              <w:t>Section 1. Chapter 20 of title 17 of the administrative code of the city of New York is amended by adding a new chapter section 17-2008 to read as follows:</w:t>
            </w:r>
          </w:p>
          <w:p w14:paraId="537BF0A3" w14:textId="77777777" w:rsidR="006A4ACE" w:rsidRPr="006A4ACE" w:rsidRDefault="006A4ACE" w:rsidP="006A4ACE">
            <w:pPr>
              <w:shd w:val="clear" w:color="auto" w:fill="FFFFFF"/>
              <w:spacing w:line="480" w:lineRule="auto"/>
              <w:ind w:firstLine="720"/>
              <w:jc w:val="both"/>
              <w:rPr>
                <w:color w:val="000000"/>
                <w:sz w:val="27"/>
                <w:szCs w:val="27"/>
              </w:rPr>
            </w:pPr>
            <w:r w:rsidRPr="006A4ACE">
              <w:rPr>
                <w:color w:val="000000"/>
                <w:u w:val="single"/>
              </w:rPr>
              <w:t>§ 17-2008 Mental health emergency hotline. a. Three-digit hotline. The office shall establish a three-digit hotline for individuals experiencing a mental health emergency. Such hotline:</w:t>
            </w:r>
          </w:p>
          <w:p w14:paraId="54CB7DA6" w14:textId="77777777" w:rsidR="006A4ACE" w:rsidRPr="006A4ACE" w:rsidRDefault="006A4ACE" w:rsidP="006A4ACE">
            <w:pPr>
              <w:shd w:val="clear" w:color="auto" w:fill="FFFFFF"/>
              <w:spacing w:line="480" w:lineRule="auto"/>
              <w:ind w:firstLine="720"/>
              <w:jc w:val="both"/>
              <w:rPr>
                <w:color w:val="000000"/>
                <w:sz w:val="27"/>
                <w:szCs w:val="27"/>
              </w:rPr>
            </w:pPr>
            <w:r w:rsidRPr="006A4ACE">
              <w:rPr>
                <w:color w:val="000000"/>
                <w:u w:val="single"/>
              </w:rPr>
              <w:t>1. Shall direct calls to a centralized call center operated by the office and staffed by mental health call operators;</w:t>
            </w:r>
          </w:p>
          <w:p w14:paraId="1DA01A61" w14:textId="77777777" w:rsidR="006A4ACE" w:rsidRPr="006A4ACE" w:rsidRDefault="006A4ACE" w:rsidP="006A4ACE">
            <w:pPr>
              <w:shd w:val="clear" w:color="auto" w:fill="FFFFFF"/>
              <w:spacing w:line="480" w:lineRule="auto"/>
              <w:ind w:firstLine="720"/>
              <w:jc w:val="both"/>
              <w:rPr>
                <w:color w:val="000000"/>
                <w:sz w:val="27"/>
                <w:szCs w:val="27"/>
              </w:rPr>
            </w:pPr>
            <w:r w:rsidRPr="006A4ACE">
              <w:rPr>
                <w:color w:val="000000"/>
                <w:u w:val="single"/>
              </w:rPr>
              <w:t>2. Shall not direct calls to the 911 system unless the mental health call operator determines that there is a public safety emergency;</w:t>
            </w:r>
          </w:p>
          <w:p w14:paraId="2220C33F" w14:textId="77777777" w:rsidR="006A4ACE" w:rsidRPr="006A4ACE" w:rsidRDefault="006A4ACE" w:rsidP="006A4ACE">
            <w:pPr>
              <w:shd w:val="clear" w:color="auto" w:fill="FFFFFF"/>
              <w:spacing w:line="480" w:lineRule="auto"/>
              <w:ind w:firstLine="720"/>
              <w:jc w:val="both"/>
              <w:rPr>
                <w:color w:val="000000"/>
                <w:sz w:val="27"/>
                <w:szCs w:val="27"/>
              </w:rPr>
            </w:pPr>
            <w:r w:rsidRPr="006A4ACE">
              <w:rPr>
                <w:color w:val="000000"/>
                <w:u w:val="single"/>
              </w:rPr>
              <w:t>3. Shall be capable of receiving calls originating through the 911 and 311 systems; and</w:t>
            </w:r>
          </w:p>
          <w:p w14:paraId="5DEF10B7" w14:textId="77777777" w:rsidR="006A4ACE" w:rsidRPr="006A4ACE" w:rsidRDefault="006A4ACE" w:rsidP="006A4ACE">
            <w:pPr>
              <w:shd w:val="clear" w:color="auto" w:fill="FFFFFF"/>
              <w:spacing w:line="480" w:lineRule="auto"/>
              <w:ind w:firstLine="720"/>
              <w:jc w:val="both"/>
              <w:rPr>
                <w:color w:val="000000"/>
                <w:sz w:val="27"/>
                <w:szCs w:val="27"/>
              </w:rPr>
            </w:pPr>
            <w:r w:rsidRPr="006A4ACE">
              <w:rPr>
                <w:color w:val="000000"/>
                <w:u w:val="single"/>
              </w:rPr>
              <w:t>4. Shall be available for use no later than December 31, 2021.</w:t>
            </w:r>
          </w:p>
          <w:p w14:paraId="37612B9A" w14:textId="77777777" w:rsidR="006A4ACE" w:rsidRPr="006A4ACE" w:rsidRDefault="006A4ACE" w:rsidP="006A4ACE">
            <w:pPr>
              <w:shd w:val="clear" w:color="auto" w:fill="FFFFFF"/>
              <w:spacing w:line="480" w:lineRule="auto"/>
              <w:ind w:firstLine="720"/>
              <w:jc w:val="both"/>
              <w:rPr>
                <w:color w:val="000000"/>
                <w:sz w:val="27"/>
                <w:szCs w:val="27"/>
              </w:rPr>
            </w:pPr>
            <w:r w:rsidRPr="006A4ACE">
              <w:rPr>
                <w:color w:val="000000"/>
                <w:u w:val="single"/>
              </w:rPr>
              <w:t>b. Mental health emergency response protocol. In accordance with the mental health emergency response protocol established pursuant to section 17-2003 of this chapter, the office shall establish guidelines for call operators of the three-digit hotline established pursuant to subdivision a of this section, to identify calls as potential mental health emergencies.</w:t>
            </w:r>
          </w:p>
          <w:p w14:paraId="25D274BC" w14:textId="77777777" w:rsidR="006A4ACE" w:rsidRPr="006A4ACE" w:rsidRDefault="006A4ACE" w:rsidP="006A4ACE">
            <w:pPr>
              <w:shd w:val="clear" w:color="auto" w:fill="FFFFFF"/>
              <w:spacing w:line="480" w:lineRule="auto"/>
              <w:ind w:firstLine="720"/>
              <w:jc w:val="both"/>
              <w:rPr>
                <w:color w:val="000000"/>
                <w:sz w:val="27"/>
                <w:szCs w:val="27"/>
              </w:rPr>
            </w:pPr>
            <w:r w:rsidRPr="006A4ACE">
              <w:rPr>
                <w:color w:val="000000"/>
                <w:u w:val="single"/>
              </w:rPr>
              <w:t>c. Public outreach. The office shall conduct public outreach and education publicizing the three-digit hotline established pursuant to subdivision a of this section.</w:t>
            </w:r>
          </w:p>
          <w:p w14:paraId="15D51635" w14:textId="77777777" w:rsidR="006A4ACE" w:rsidRPr="006A4ACE" w:rsidRDefault="006A4ACE" w:rsidP="006A4ACE">
            <w:pPr>
              <w:shd w:val="clear" w:color="auto" w:fill="FFFFFF"/>
              <w:spacing w:line="480" w:lineRule="auto"/>
              <w:ind w:firstLine="720"/>
              <w:jc w:val="both"/>
              <w:rPr>
                <w:color w:val="000000"/>
                <w:sz w:val="27"/>
                <w:szCs w:val="27"/>
              </w:rPr>
            </w:pPr>
            <w:r w:rsidRPr="006A4ACE">
              <w:rPr>
                <w:color w:val="000000"/>
              </w:rPr>
              <w:t>§ 3. This local law takes effect on the same date as a local law amending the administrative code of the city of New York, relating to creating an office of community mental health and a citywide mental health emergency response protocol, as proposed in introduction number ___ for the year 2021, takes effect.</w:t>
            </w:r>
          </w:p>
          <w:p w14:paraId="2AC1B4CA" w14:textId="77777777" w:rsidR="006A4ACE" w:rsidRPr="006A4ACE" w:rsidRDefault="006A4ACE" w:rsidP="006A4ACE">
            <w:pPr>
              <w:shd w:val="clear" w:color="auto" w:fill="FFFFFF"/>
              <w:rPr>
                <w:color w:val="000000"/>
                <w:sz w:val="27"/>
                <w:szCs w:val="27"/>
              </w:rPr>
            </w:pPr>
            <w:r w:rsidRPr="006A4ACE">
              <w:rPr>
                <w:color w:val="000000"/>
                <w:shd w:val="clear" w:color="auto" w:fill="FFFFFF"/>
              </w:rPr>
              <w:t> </w:t>
            </w:r>
          </w:p>
          <w:p w14:paraId="64417270" w14:textId="77777777" w:rsidR="006A4ACE" w:rsidRPr="006A4ACE" w:rsidRDefault="006A4ACE" w:rsidP="006A4ACE">
            <w:pPr>
              <w:shd w:val="clear" w:color="auto" w:fill="FFFFFF"/>
              <w:rPr>
                <w:color w:val="000000"/>
                <w:sz w:val="27"/>
                <w:szCs w:val="27"/>
              </w:rPr>
            </w:pPr>
            <w:r w:rsidRPr="006A4ACE">
              <w:rPr>
                <w:color w:val="000000"/>
                <w:sz w:val="20"/>
                <w:szCs w:val="20"/>
              </w:rPr>
              <w:t> </w:t>
            </w:r>
          </w:p>
          <w:p w14:paraId="3DD01059" w14:textId="77777777" w:rsidR="006A4ACE" w:rsidRPr="006A4ACE" w:rsidRDefault="006A4ACE" w:rsidP="006A4ACE">
            <w:pPr>
              <w:shd w:val="clear" w:color="auto" w:fill="FFFFFF"/>
              <w:rPr>
                <w:color w:val="000000"/>
                <w:sz w:val="27"/>
                <w:szCs w:val="27"/>
              </w:rPr>
            </w:pPr>
            <w:r w:rsidRPr="006A4ACE">
              <w:rPr>
                <w:color w:val="000000"/>
                <w:sz w:val="20"/>
                <w:szCs w:val="20"/>
              </w:rPr>
              <w:t> </w:t>
            </w:r>
          </w:p>
          <w:p w14:paraId="7210021E" w14:textId="77777777" w:rsidR="006A4ACE" w:rsidRPr="006A4ACE" w:rsidRDefault="006A4ACE" w:rsidP="006A4ACE">
            <w:pPr>
              <w:shd w:val="clear" w:color="auto" w:fill="FFFFFF"/>
              <w:rPr>
                <w:color w:val="000000"/>
                <w:sz w:val="27"/>
                <w:szCs w:val="27"/>
              </w:rPr>
            </w:pPr>
            <w:r w:rsidRPr="006A4ACE">
              <w:rPr>
                <w:color w:val="000000"/>
                <w:sz w:val="20"/>
                <w:szCs w:val="20"/>
              </w:rPr>
              <w:t> </w:t>
            </w:r>
          </w:p>
          <w:p w14:paraId="6B2E264B" w14:textId="77777777" w:rsidR="006A4ACE" w:rsidRPr="006A4ACE" w:rsidRDefault="006A4ACE" w:rsidP="006A4ACE">
            <w:pPr>
              <w:shd w:val="clear" w:color="auto" w:fill="FFFFFF"/>
              <w:rPr>
                <w:color w:val="000000"/>
                <w:sz w:val="27"/>
                <w:szCs w:val="27"/>
              </w:rPr>
            </w:pPr>
            <w:r w:rsidRPr="006A4ACE">
              <w:rPr>
                <w:color w:val="000000"/>
                <w:sz w:val="20"/>
                <w:szCs w:val="20"/>
              </w:rPr>
              <w:t> </w:t>
            </w:r>
          </w:p>
          <w:p w14:paraId="647FEC93" w14:textId="77777777" w:rsidR="006A4ACE" w:rsidRPr="006A4ACE" w:rsidRDefault="006A4ACE" w:rsidP="006A4ACE">
            <w:pPr>
              <w:shd w:val="clear" w:color="auto" w:fill="FFFFFF"/>
              <w:rPr>
                <w:color w:val="000000"/>
                <w:sz w:val="27"/>
                <w:szCs w:val="27"/>
              </w:rPr>
            </w:pPr>
            <w:r w:rsidRPr="006A4ACE">
              <w:rPr>
                <w:color w:val="000000"/>
                <w:sz w:val="20"/>
                <w:szCs w:val="20"/>
              </w:rPr>
              <w:t> </w:t>
            </w:r>
          </w:p>
          <w:p w14:paraId="1AA3C1CF" w14:textId="77777777" w:rsidR="006A4ACE" w:rsidRPr="006A4ACE" w:rsidRDefault="006A4ACE" w:rsidP="006A4ACE">
            <w:pPr>
              <w:shd w:val="clear" w:color="auto" w:fill="FFFFFF"/>
              <w:rPr>
                <w:color w:val="000000"/>
                <w:sz w:val="27"/>
                <w:szCs w:val="27"/>
              </w:rPr>
            </w:pPr>
            <w:r w:rsidRPr="006A4ACE">
              <w:rPr>
                <w:color w:val="000000"/>
                <w:sz w:val="20"/>
                <w:szCs w:val="20"/>
              </w:rPr>
              <w:t> </w:t>
            </w:r>
          </w:p>
          <w:p w14:paraId="174EE616" w14:textId="77777777" w:rsidR="006A4ACE" w:rsidRPr="006A4ACE" w:rsidRDefault="006A4ACE" w:rsidP="006A4ACE">
            <w:pPr>
              <w:shd w:val="clear" w:color="auto" w:fill="FFFFFF"/>
              <w:rPr>
                <w:color w:val="000000"/>
                <w:sz w:val="27"/>
                <w:szCs w:val="27"/>
              </w:rPr>
            </w:pPr>
            <w:r w:rsidRPr="006A4ACE">
              <w:rPr>
                <w:color w:val="000000"/>
                <w:sz w:val="20"/>
                <w:szCs w:val="20"/>
                <w:shd w:val="clear" w:color="auto" w:fill="FFFFFF"/>
              </w:rPr>
              <w:t>SIL.</w:t>
            </w:r>
          </w:p>
          <w:p w14:paraId="48DDA332" w14:textId="77777777" w:rsidR="006A4ACE" w:rsidRPr="006A4ACE" w:rsidRDefault="006A4ACE" w:rsidP="006A4ACE">
            <w:pPr>
              <w:shd w:val="clear" w:color="auto" w:fill="FFFFFF"/>
              <w:rPr>
                <w:color w:val="000000"/>
                <w:sz w:val="27"/>
                <w:szCs w:val="27"/>
              </w:rPr>
            </w:pPr>
            <w:r w:rsidRPr="006A4ACE">
              <w:rPr>
                <w:color w:val="000000"/>
                <w:sz w:val="20"/>
                <w:szCs w:val="20"/>
                <w:shd w:val="clear" w:color="auto" w:fill="FFFFFF"/>
              </w:rPr>
              <w:t>LS # 5569</w:t>
            </w:r>
          </w:p>
          <w:p w14:paraId="79CAA0C2" w14:textId="77777777" w:rsidR="006A4ACE" w:rsidRPr="006A4ACE" w:rsidRDefault="006A4ACE" w:rsidP="006A4ACE">
            <w:pPr>
              <w:shd w:val="clear" w:color="auto" w:fill="FFFFFF"/>
              <w:rPr>
                <w:color w:val="000000"/>
                <w:sz w:val="27"/>
                <w:szCs w:val="27"/>
              </w:rPr>
            </w:pPr>
            <w:r w:rsidRPr="006A4ACE">
              <w:rPr>
                <w:color w:val="000000"/>
                <w:sz w:val="20"/>
                <w:szCs w:val="20"/>
                <w:shd w:val="clear" w:color="auto" w:fill="FFFFFF"/>
              </w:rPr>
              <w:t>2/1/2021 3:00 pm</w:t>
            </w:r>
          </w:p>
        </w:tc>
      </w:tr>
    </w:tbl>
    <w:p w14:paraId="4F6199D2" w14:textId="77777777" w:rsidR="00F954CD" w:rsidRPr="007E450A" w:rsidRDefault="006A4ACE" w:rsidP="00F954CD">
      <w:pPr>
        <w:spacing w:after="160" w:line="259" w:lineRule="auto"/>
        <w:rPr>
          <w:shd w:val="clear" w:color="auto" w:fill="FFFFFF"/>
        </w:rPr>
      </w:pPr>
      <w:r w:rsidRPr="006A4ACE">
        <w:rPr>
          <w:color w:val="000000"/>
          <w:sz w:val="27"/>
          <w:szCs w:val="27"/>
        </w:rPr>
        <w:br/>
      </w:r>
    </w:p>
    <w:sectPr w:rsidR="00F954CD" w:rsidRPr="007E450A" w:rsidSect="00683A06">
      <w:headerReference w:type="default" r:id="rId11"/>
      <w:footerReference w:type="default" r:id="rId12"/>
      <w:pgSz w:w="12240" w:h="158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519FA" w14:textId="77777777" w:rsidR="00447784" w:rsidRDefault="00447784" w:rsidP="00F954CD">
      <w:r>
        <w:separator/>
      </w:r>
    </w:p>
  </w:endnote>
  <w:endnote w:type="continuationSeparator" w:id="0">
    <w:p w14:paraId="36EF7591" w14:textId="77777777" w:rsidR="00447784" w:rsidRDefault="00447784" w:rsidP="00F95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6A1F4" w14:textId="68CFF788" w:rsidR="00FD715C" w:rsidRDefault="00FD715C">
    <w:pPr>
      <w:pStyle w:val="Footer"/>
      <w:jc w:val="center"/>
    </w:pPr>
    <w:r>
      <w:fldChar w:fldCharType="begin"/>
    </w:r>
    <w:r>
      <w:instrText xml:space="preserve"> PAGE   \* MERGEFORMAT </w:instrText>
    </w:r>
    <w:r>
      <w:fldChar w:fldCharType="separate"/>
    </w:r>
    <w:r w:rsidR="00CE251E">
      <w:rPr>
        <w:noProof/>
      </w:rPr>
      <w:t>11</w:t>
    </w:r>
    <w:r>
      <w:rPr>
        <w:noProof/>
      </w:rPr>
      <w:fldChar w:fldCharType="end"/>
    </w:r>
  </w:p>
  <w:p w14:paraId="466FCCA8" w14:textId="77777777" w:rsidR="00FD715C" w:rsidRDefault="00FD715C">
    <w:pPr>
      <w:pStyle w:val="Footer"/>
    </w:pPr>
  </w:p>
  <w:p w14:paraId="4A0B19A7" w14:textId="77777777" w:rsidR="00FD715C" w:rsidRDefault="00FD715C"/>
  <w:p w14:paraId="26E40698" w14:textId="77777777" w:rsidR="00FD715C" w:rsidRDefault="00FD715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4432E" w14:textId="77777777" w:rsidR="00447784" w:rsidRDefault="00447784" w:rsidP="00F954CD">
      <w:r>
        <w:separator/>
      </w:r>
    </w:p>
  </w:footnote>
  <w:footnote w:type="continuationSeparator" w:id="0">
    <w:p w14:paraId="72870D2B" w14:textId="77777777" w:rsidR="00447784" w:rsidRDefault="00447784" w:rsidP="00F954CD">
      <w:r>
        <w:continuationSeparator/>
      </w:r>
    </w:p>
  </w:footnote>
  <w:footnote w:id="1">
    <w:p w14:paraId="128C055F" w14:textId="77777777" w:rsidR="00FD715C" w:rsidRPr="00506036" w:rsidRDefault="00FD715C" w:rsidP="00506036">
      <w:pPr>
        <w:pStyle w:val="FootnoteText"/>
        <w:rPr>
          <w:sz w:val="20"/>
        </w:rPr>
      </w:pPr>
      <w:r w:rsidRPr="00506036">
        <w:rPr>
          <w:rStyle w:val="FootnoteReference"/>
          <w:sz w:val="20"/>
        </w:rPr>
        <w:footnoteRef/>
      </w:r>
      <w:r w:rsidRPr="00506036">
        <w:rPr>
          <w:sz w:val="20"/>
        </w:rPr>
        <w:t xml:space="preserve"> National Alliance on Mental Illness (NAMI) </w:t>
      </w:r>
      <w:r>
        <w:rPr>
          <w:sz w:val="20"/>
        </w:rPr>
        <w:t>(</w:t>
      </w:r>
      <w:r w:rsidRPr="00506036">
        <w:rPr>
          <w:sz w:val="20"/>
        </w:rPr>
        <w:t>2018).  A NAMI Resource Guide for Those Experiencing a Mental Health Crisis: Navigating a Mental Health Emergency, p.5</w:t>
      </w:r>
      <w:r w:rsidRPr="00506036">
        <w:rPr>
          <w:i/>
          <w:iCs/>
          <w:sz w:val="20"/>
        </w:rPr>
        <w:t xml:space="preserve">. </w:t>
      </w:r>
      <w:r w:rsidRPr="00506036">
        <w:rPr>
          <w:sz w:val="20"/>
        </w:rPr>
        <w:t xml:space="preserve">Available at  </w:t>
      </w:r>
      <w:hyperlink r:id="rId1" w:history="1">
        <w:r w:rsidRPr="00506036">
          <w:rPr>
            <w:rStyle w:val="Hyperlink"/>
            <w:sz w:val="20"/>
          </w:rPr>
          <w:t>https://www.nami.org/Support-Education/Publications-Reports/Guides/Navigating-a-Mental-Health-Crisis/Navigating-A-Mental-Health-Crisis</w:t>
        </w:r>
      </w:hyperlink>
      <w:r w:rsidRPr="00506036">
        <w:rPr>
          <w:sz w:val="20"/>
        </w:rPr>
        <w:t xml:space="preserve"> </w:t>
      </w:r>
    </w:p>
  </w:footnote>
  <w:footnote w:id="2">
    <w:p w14:paraId="20B6DBF7" w14:textId="77777777" w:rsidR="00FD715C" w:rsidRPr="00506036" w:rsidRDefault="00FD715C" w:rsidP="00506036">
      <w:pPr>
        <w:pStyle w:val="FootnoteText"/>
        <w:rPr>
          <w:sz w:val="20"/>
        </w:rPr>
      </w:pPr>
      <w:r w:rsidRPr="00506036">
        <w:rPr>
          <w:rStyle w:val="FootnoteReference"/>
          <w:sz w:val="20"/>
        </w:rPr>
        <w:footnoteRef/>
      </w:r>
      <w:r w:rsidRPr="00506036">
        <w:rPr>
          <w:sz w:val="20"/>
        </w:rPr>
        <w:t xml:space="preserve"> Id.</w:t>
      </w:r>
    </w:p>
  </w:footnote>
  <w:footnote w:id="3">
    <w:p w14:paraId="22214D07" w14:textId="77777777" w:rsidR="00FD715C" w:rsidRPr="00506036" w:rsidRDefault="00FD715C" w:rsidP="00506036">
      <w:pPr>
        <w:pStyle w:val="FootnoteText"/>
        <w:rPr>
          <w:sz w:val="20"/>
        </w:rPr>
      </w:pPr>
      <w:r w:rsidRPr="00506036">
        <w:rPr>
          <w:rStyle w:val="FootnoteReference"/>
          <w:sz w:val="20"/>
        </w:rPr>
        <w:footnoteRef/>
      </w:r>
      <w:r w:rsidRPr="00506036">
        <w:rPr>
          <w:sz w:val="20"/>
        </w:rPr>
        <w:t xml:space="preserve"> Id.</w:t>
      </w:r>
    </w:p>
  </w:footnote>
  <w:footnote w:id="4">
    <w:p w14:paraId="7294C528" w14:textId="77777777" w:rsidR="00FD715C" w:rsidRPr="00506036" w:rsidRDefault="00FD715C" w:rsidP="00506036">
      <w:pPr>
        <w:pStyle w:val="FootnoteText"/>
        <w:rPr>
          <w:sz w:val="20"/>
        </w:rPr>
      </w:pPr>
      <w:r w:rsidRPr="00506036">
        <w:rPr>
          <w:rStyle w:val="FootnoteReference"/>
          <w:sz w:val="20"/>
        </w:rPr>
        <w:footnoteRef/>
      </w:r>
      <w:r w:rsidRPr="00506036">
        <w:rPr>
          <w:sz w:val="20"/>
        </w:rPr>
        <w:t xml:space="preserve"> Id.</w:t>
      </w:r>
    </w:p>
  </w:footnote>
  <w:footnote w:id="5">
    <w:p w14:paraId="505C7189" w14:textId="77777777" w:rsidR="00FD715C" w:rsidRPr="00506036" w:rsidRDefault="00FD715C" w:rsidP="00506036">
      <w:pPr>
        <w:pStyle w:val="FootnoteText"/>
        <w:rPr>
          <w:sz w:val="20"/>
        </w:rPr>
      </w:pPr>
      <w:r w:rsidRPr="00506036">
        <w:rPr>
          <w:rStyle w:val="FootnoteReference"/>
          <w:sz w:val="20"/>
        </w:rPr>
        <w:footnoteRef/>
      </w:r>
      <w:r w:rsidRPr="00506036">
        <w:rPr>
          <w:sz w:val="20"/>
        </w:rPr>
        <w:t xml:space="preserve"> Id.</w:t>
      </w:r>
    </w:p>
  </w:footnote>
  <w:footnote w:id="6">
    <w:p w14:paraId="057C8517" w14:textId="77777777" w:rsidR="00FD715C" w:rsidRPr="00506036" w:rsidRDefault="00FD715C" w:rsidP="00506036">
      <w:pPr>
        <w:pStyle w:val="FootnoteText"/>
        <w:rPr>
          <w:sz w:val="20"/>
        </w:rPr>
      </w:pPr>
      <w:r w:rsidRPr="00506036">
        <w:rPr>
          <w:rStyle w:val="FootnoteReference"/>
          <w:sz w:val="20"/>
        </w:rPr>
        <w:footnoteRef/>
      </w:r>
      <w:r w:rsidRPr="00506036">
        <w:rPr>
          <w:sz w:val="20"/>
        </w:rPr>
        <w:t xml:space="preserve"> Id.</w:t>
      </w:r>
    </w:p>
  </w:footnote>
  <w:footnote w:id="7">
    <w:p w14:paraId="150A818D" w14:textId="77777777" w:rsidR="00FD715C" w:rsidRPr="00506036" w:rsidRDefault="00FD715C" w:rsidP="00506036">
      <w:pPr>
        <w:pStyle w:val="FootnoteText"/>
        <w:rPr>
          <w:sz w:val="20"/>
        </w:rPr>
      </w:pPr>
      <w:r w:rsidRPr="00506036">
        <w:rPr>
          <w:rStyle w:val="FootnoteReference"/>
          <w:sz w:val="20"/>
        </w:rPr>
        <w:footnoteRef/>
      </w:r>
      <w:r w:rsidRPr="00506036">
        <w:rPr>
          <w:sz w:val="20"/>
        </w:rPr>
        <w:t xml:space="preserve"> New York Health Foundation, Org. (2021) Mental Health Impact of the Coronavirus Pandemic in New York State.  Available at </w:t>
      </w:r>
      <w:hyperlink r:id="rId2" w:history="1">
        <w:r w:rsidRPr="00506036">
          <w:rPr>
            <w:rStyle w:val="Hyperlink"/>
            <w:sz w:val="20"/>
          </w:rPr>
          <w:t>https://nyshealthfoundation.org/wp-content/uploads/2021/02/mental-health-impact-coronavirus-pandemic-new-york-state.pdf</w:t>
        </w:r>
      </w:hyperlink>
      <w:r w:rsidRPr="00506036">
        <w:rPr>
          <w:sz w:val="20"/>
        </w:rPr>
        <w:t xml:space="preserve"> </w:t>
      </w:r>
    </w:p>
  </w:footnote>
  <w:footnote w:id="8">
    <w:p w14:paraId="4F18A88E" w14:textId="77777777" w:rsidR="00FD715C" w:rsidRPr="0075730B" w:rsidRDefault="00FD715C" w:rsidP="00506036">
      <w:pPr>
        <w:pStyle w:val="FootnoteText"/>
      </w:pPr>
      <w:r w:rsidRPr="00506036">
        <w:rPr>
          <w:rStyle w:val="FootnoteReference"/>
          <w:sz w:val="20"/>
        </w:rPr>
        <w:footnoteRef/>
      </w:r>
      <w:r w:rsidRPr="00506036">
        <w:rPr>
          <w:sz w:val="20"/>
        </w:rPr>
        <w:t xml:space="preserve"> Id.</w:t>
      </w:r>
    </w:p>
  </w:footnote>
  <w:footnote w:id="9">
    <w:p w14:paraId="0007417B" w14:textId="77777777" w:rsidR="00FD715C" w:rsidRPr="002C6F75" w:rsidRDefault="00FD715C" w:rsidP="00506036">
      <w:pPr>
        <w:pStyle w:val="FootnoteText"/>
        <w:rPr>
          <w:sz w:val="20"/>
        </w:rPr>
      </w:pPr>
      <w:r w:rsidRPr="002C6F75">
        <w:rPr>
          <w:rStyle w:val="FootnoteReference"/>
          <w:sz w:val="20"/>
        </w:rPr>
        <w:footnoteRef/>
      </w:r>
      <w:r w:rsidRPr="002C6F75">
        <w:rPr>
          <w:sz w:val="20"/>
        </w:rPr>
        <w:t xml:space="preserve"> Id.</w:t>
      </w:r>
    </w:p>
  </w:footnote>
  <w:footnote w:id="10">
    <w:p w14:paraId="3167C2C2" w14:textId="77777777" w:rsidR="00FD715C" w:rsidRPr="002C6F75" w:rsidRDefault="00FD715C" w:rsidP="00506036">
      <w:pPr>
        <w:pStyle w:val="FootnoteText"/>
        <w:rPr>
          <w:sz w:val="20"/>
        </w:rPr>
      </w:pPr>
      <w:r w:rsidRPr="002C6F75">
        <w:rPr>
          <w:rStyle w:val="FootnoteReference"/>
          <w:sz w:val="20"/>
        </w:rPr>
        <w:footnoteRef/>
      </w:r>
      <w:r w:rsidRPr="002C6F75">
        <w:rPr>
          <w:sz w:val="20"/>
        </w:rPr>
        <w:t xml:space="preserve"> Id. </w:t>
      </w:r>
    </w:p>
  </w:footnote>
  <w:footnote w:id="11">
    <w:p w14:paraId="74A7535B" w14:textId="77777777" w:rsidR="00FD715C" w:rsidRPr="002C6F75" w:rsidRDefault="00FD715C" w:rsidP="00506036">
      <w:pPr>
        <w:pStyle w:val="FootnoteText"/>
        <w:rPr>
          <w:sz w:val="20"/>
        </w:rPr>
      </w:pPr>
      <w:r w:rsidRPr="002C6F75">
        <w:rPr>
          <w:rStyle w:val="FootnoteReference"/>
          <w:sz w:val="20"/>
        </w:rPr>
        <w:footnoteRef/>
      </w:r>
      <w:r w:rsidRPr="002C6F75">
        <w:rPr>
          <w:sz w:val="20"/>
        </w:rPr>
        <w:t xml:space="preserve"> Id.</w:t>
      </w:r>
    </w:p>
  </w:footnote>
  <w:footnote w:id="12">
    <w:p w14:paraId="5235D174" w14:textId="77777777" w:rsidR="00FD715C" w:rsidRPr="002C6F75" w:rsidRDefault="00FD715C" w:rsidP="00506036">
      <w:pPr>
        <w:pStyle w:val="FootnoteText"/>
        <w:rPr>
          <w:sz w:val="20"/>
        </w:rPr>
      </w:pPr>
      <w:r w:rsidRPr="002C6F75">
        <w:rPr>
          <w:rStyle w:val="FootnoteReference"/>
          <w:sz w:val="20"/>
        </w:rPr>
        <w:footnoteRef/>
      </w:r>
      <w:r w:rsidRPr="002C6F75">
        <w:rPr>
          <w:sz w:val="20"/>
        </w:rPr>
        <w:t xml:space="preserve"> National Alliance on Mental Illness (NAMI) ( 2018).  A NAMI Resource Guide for Those Experiencing a Mental Health Crisis: Navigating a Mental Health Emergency, p.4</w:t>
      </w:r>
      <w:r w:rsidRPr="002C6F75">
        <w:rPr>
          <w:i/>
          <w:iCs/>
          <w:sz w:val="20"/>
        </w:rPr>
        <w:t xml:space="preserve">. </w:t>
      </w:r>
      <w:r w:rsidRPr="002C6F75">
        <w:rPr>
          <w:sz w:val="20"/>
        </w:rPr>
        <w:t xml:space="preserve">Available at  </w:t>
      </w:r>
      <w:hyperlink r:id="rId3" w:history="1">
        <w:r w:rsidRPr="002C6F75">
          <w:rPr>
            <w:rStyle w:val="Hyperlink"/>
            <w:sz w:val="20"/>
          </w:rPr>
          <w:t>https://www.nami.org/Support-Education/Publications-Reports/Guides/Navigating-a-Mental-Health-Crisis/Navigating-A-Mental-Health-Crisis</w:t>
        </w:r>
      </w:hyperlink>
    </w:p>
  </w:footnote>
  <w:footnote w:id="13">
    <w:p w14:paraId="75B131AB" w14:textId="77777777" w:rsidR="00FD715C" w:rsidRPr="002C6F75" w:rsidRDefault="00FD715C" w:rsidP="00EE4F9A">
      <w:pPr>
        <w:pStyle w:val="FootnoteText"/>
        <w:rPr>
          <w:b/>
          <w:bCs/>
          <w:sz w:val="20"/>
        </w:rPr>
      </w:pPr>
      <w:r w:rsidRPr="002C6F75">
        <w:rPr>
          <w:rStyle w:val="FootnoteReference"/>
          <w:sz w:val="20"/>
        </w:rPr>
        <w:footnoteRef/>
      </w:r>
      <w:r w:rsidRPr="002C6F75">
        <w:rPr>
          <w:sz w:val="20"/>
        </w:rPr>
        <w:t xml:space="preserve"> Office of the Mayor, “</w:t>
      </w:r>
      <w:r w:rsidRPr="002C6F75">
        <w:rPr>
          <w:bCs/>
          <w:sz w:val="20"/>
        </w:rPr>
        <w:t xml:space="preserve">New York City Announces New Mental Health Teams to Respond to Mental Health Crises”, November 10, 2020, Available at: </w:t>
      </w:r>
      <w:hyperlink r:id="rId4" w:history="1">
        <w:r w:rsidRPr="002C6F75">
          <w:rPr>
            <w:rStyle w:val="Hyperlink"/>
            <w:sz w:val="20"/>
          </w:rPr>
          <w:t>https://www1.nyc.gov/office-of-the-mayor/news/773-20/new-york-city-new-mental-health-teams-respond-mental-health-crises</w:t>
        </w:r>
      </w:hyperlink>
      <w:r w:rsidRPr="002C6F75">
        <w:rPr>
          <w:sz w:val="20"/>
        </w:rPr>
        <w:t>.</w:t>
      </w:r>
    </w:p>
  </w:footnote>
  <w:footnote w:id="14">
    <w:p w14:paraId="29CB67DB" w14:textId="77777777" w:rsidR="00FD715C" w:rsidRPr="002C6F75" w:rsidRDefault="00FD715C" w:rsidP="00EE4F9A">
      <w:pPr>
        <w:pStyle w:val="FootnoteText"/>
        <w:rPr>
          <w:sz w:val="20"/>
        </w:rPr>
      </w:pPr>
      <w:r w:rsidRPr="002C6F75">
        <w:rPr>
          <w:rStyle w:val="FootnoteReference"/>
          <w:sz w:val="20"/>
        </w:rPr>
        <w:footnoteRef/>
      </w:r>
      <w:r w:rsidRPr="002C6F75">
        <w:rPr>
          <w:sz w:val="20"/>
        </w:rPr>
        <w:t xml:space="preserve"> Mayor’s Office of ThriveNYC, “ENHANCING ACCESS TO MENTAL HEALTH SUPPORT FOR EVERY NEW YORKER IN NEED”, last accessed February 16, 2021, Available at: </w:t>
      </w:r>
      <w:hyperlink r:id="rId5" w:history="1">
        <w:r w:rsidRPr="002C6F75">
          <w:rPr>
            <w:rStyle w:val="Hyperlink"/>
            <w:sz w:val="20"/>
          </w:rPr>
          <w:t>https://www1.nyc.gov/assets/operations/downloads/pdf/mmr2019/thrivenyc.pdf</w:t>
        </w:r>
      </w:hyperlink>
      <w:r w:rsidRPr="002C6F75">
        <w:rPr>
          <w:sz w:val="20"/>
        </w:rPr>
        <w:t>.</w:t>
      </w:r>
    </w:p>
  </w:footnote>
  <w:footnote w:id="15">
    <w:p w14:paraId="7B5C0469" w14:textId="77777777" w:rsidR="00FD715C" w:rsidRPr="002C6F75" w:rsidRDefault="00FD715C" w:rsidP="00EE4F9A">
      <w:pPr>
        <w:pStyle w:val="FootnoteText"/>
        <w:rPr>
          <w:sz w:val="20"/>
        </w:rPr>
      </w:pPr>
      <w:r w:rsidRPr="002C6F75">
        <w:rPr>
          <w:rStyle w:val="FootnoteReference"/>
          <w:sz w:val="20"/>
        </w:rPr>
        <w:footnoteRef/>
      </w:r>
      <w:r w:rsidRPr="002C6F75">
        <w:rPr>
          <w:sz w:val="20"/>
        </w:rPr>
        <w:t xml:space="preserve"> Mayor’s Office of ThriveNYC, “Promoting mental health for all New Yorker”, at 16, last accessed February 17, 2021, Available at: </w:t>
      </w:r>
      <w:hyperlink r:id="rId6" w:history="1">
        <w:r w:rsidRPr="002C6F75">
          <w:rPr>
            <w:rStyle w:val="Hyperlink"/>
            <w:sz w:val="20"/>
          </w:rPr>
          <w:t>https://thrivenyc.cityofnewyork.us/wp-content/uploads/2021/02/ThriveNYC-ProgressReport-2021.pdf</w:t>
        </w:r>
      </w:hyperlink>
      <w:r w:rsidRPr="002C6F75">
        <w:rPr>
          <w:sz w:val="20"/>
        </w:rPr>
        <w:t>.</w:t>
      </w:r>
    </w:p>
  </w:footnote>
  <w:footnote w:id="16">
    <w:p w14:paraId="142237C5" w14:textId="77777777" w:rsidR="00FD715C" w:rsidRPr="002C6F75" w:rsidRDefault="00FD715C" w:rsidP="00EE4F9A">
      <w:pPr>
        <w:pStyle w:val="FootnoteText"/>
        <w:rPr>
          <w:sz w:val="20"/>
        </w:rPr>
      </w:pPr>
      <w:r w:rsidRPr="002C6F75">
        <w:rPr>
          <w:rStyle w:val="FootnoteReference"/>
          <w:sz w:val="20"/>
        </w:rPr>
        <w:footnoteRef/>
      </w:r>
      <w:r w:rsidRPr="002C6F75">
        <w:rPr>
          <w:sz w:val="20"/>
        </w:rPr>
        <w:t xml:space="preserve"> Mayor’s Office of ThriveNYC, “Home”, last accessed February 17, 2021, Available at: </w:t>
      </w:r>
      <w:hyperlink r:id="rId7" w:history="1">
        <w:r w:rsidRPr="002C6F75">
          <w:rPr>
            <w:rStyle w:val="Hyperlink"/>
            <w:sz w:val="20"/>
          </w:rPr>
          <w:t>https://thrivenyc.cityofnewyork.us/</w:t>
        </w:r>
      </w:hyperlink>
      <w:r w:rsidRPr="002C6F75">
        <w:rPr>
          <w:sz w:val="20"/>
        </w:rPr>
        <w:t>.</w:t>
      </w:r>
    </w:p>
  </w:footnote>
  <w:footnote w:id="17">
    <w:p w14:paraId="7FC22B59" w14:textId="77777777" w:rsidR="00FD715C" w:rsidRPr="002C6F75" w:rsidRDefault="00FD715C" w:rsidP="00EE4F9A">
      <w:pPr>
        <w:pStyle w:val="FootnoteText"/>
        <w:rPr>
          <w:sz w:val="20"/>
        </w:rPr>
      </w:pPr>
      <w:r w:rsidRPr="002C6F75">
        <w:rPr>
          <w:rStyle w:val="FootnoteReference"/>
          <w:sz w:val="20"/>
        </w:rPr>
        <w:footnoteRef/>
      </w:r>
      <w:r w:rsidRPr="002C6F75">
        <w:rPr>
          <w:sz w:val="20"/>
        </w:rPr>
        <w:t xml:space="preserve"> Mayor’s Office of ThriveNYC, supra note </w:t>
      </w:r>
      <w:r w:rsidRPr="002C6F75">
        <w:rPr>
          <w:sz w:val="20"/>
        </w:rPr>
        <w:fldChar w:fldCharType="begin"/>
      </w:r>
      <w:r w:rsidRPr="002C6F75">
        <w:rPr>
          <w:sz w:val="20"/>
        </w:rPr>
        <w:instrText xml:space="preserve"> NOTEREF _Ref64472470 \h  \* MERGEFORMAT </w:instrText>
      </w:r>
      <w:r w:rsidRPr="002C6F75">
        <w:rPr>
          <w:sz w:val="20"/>
        </w:rPr>
      </w:r>
      <w:r w:rsidRPr="002C6F75">
        <w:rPr>
          <w:sz w:val="20"/>
        </w:rPr>
        <w:fldChar w:fldCharType="separate"/>
      </w:r>
      <w:r w:rsidRPr="002C6F75">
        <w:rPr>
          <w:sz w:val="20"/>
        </w:rPr>
        <w:t>48</w:t>
      </w:r>
      <w:r w:rsidRPr="002C6F75">
        <w:rPr>
          <w:sz w:val="20"/>
        </w:rPr>
        <w:fldChar w:fldCharType="end"/>
      </w:r>
      <w:r w:rsidRPr="002C6F75">
        <w:rPr>
          <w:sz w:val="20"/>
        </w:rPr>
        <w:t>.</w:t>
      </w:r>
    </w:p>
  </w:footnote>
  <w:footnote w:id="18">
    <w:p w14:paraId="5705EAAB" w14:textId="77777777" w:rsidR="00FD715C" w:rsidRPr="002C6F75" w:rsidRDefault="00FD715C" w:rsidP="00EE4F9A">
      <w:pPr>
        <w:pStyle w:val="FootnoteText"/>
        <w:rPr>
          <w:sz w:val="20"/>
        </w:rPr>
      </w:pPr>
      <w:r w:rsidRPr="002C6F75">
        <w:rPr>
          <w:rStyle w:val="FootnoteReference"/>
          <w:sz w:val="20"/>
        </w:rPr>
        <w:footnoteRef/>
      </w:r>
      <w:r w:rsidRPr="002C6F75">
        <w:rPr>
          <w:sz w:val="20"/>
        </w:rPr>
        <w:t xml:space="preserve"> </w:t>
      </w:r>
      <w:r w:rsidRPr="002C6F75">
        <w:rPr>
          <w:i/>
          <w:sz w:val="20"/>
        </w:rPr>
        <w:t xml:space="preserve">See generally </w:t>
      </w:r>
      <w:r w:rsidRPr="002C6F75">
        <w:rPr>
          <w:sz w:val="20"/>
        </w:rPr>
        <w:t xml:space="preserve">Mayor’s Office of ThriveNYC, “Our Programs”, last accessed February 17, 2021, Available at: </w:t>
      </w:r>
      <w:hyperlink r:id="rId8" w:history="1">
        <w:r w:rsidRPr="002C6F75">
          <w:rPr>
            <w:rStyle w:val="Hyperlink"/>
            <w:sz w:val="20"/>
          </w:rPr>
          <w:t>https://thrivenyc.cityofnewyork.us/programs</w:t>
        </w:r>
      </w:hyperlink>
      <w:r w:rsidRPr="002C6F75">
        <w:rPr>
          <w:sz w:val="20"/>
        </w:rPr>
        <w:t>.</w:t>
      </w:r>
    </w:p>
  </w:footnote>
  <w:footnote w:id="19">
    <w:p w14:paraId="19088D59" w14:textId="77777777" w:rsidR="00FD715C" w:rsidRPr="002C6F75" w:rsidRDefault="00FD715C" w:rsidP="00EE4F9A">
      <w:pPr>
        <w:pStyle w:val="FootnoteText"/>
        <w:rPr>
          <w:sz w:val="20"/>
        </w:rPr>
      </w:pPr>
      <w:r w:rsidRPr="002C6F75">
        <w:rPr>
          <w:rStyle w:val="FootnoteReference"/>
          <w:sz w:val="20"/>
        </w:rPr>
        <w:footnoteRef/>
      </w:r>
      <w:r w:rsidRPr="002C6F75">
        <w:rPr>
          <w:sz w:val="20"/>
        </w:rPr>
        <w:t xml:space="preserve"> Mayor’s Office of ThriveNYC, “Our Programs”, last accessed February 17, 2021, Available at: </w:t>
      </w:r>
      <w:hyperlink r:id="rId9" w:history="1">
        <w:r w:rsidRPr="002C6F75">
          <w:rPr>
            <w:rStyle w:val="Hyperlink"/>
            <w:sz w:val="20"/>
          </w:rPr>
          <w:t>https://thrivenyc.cityofnewyork.us/programs</w:t>
        </w:r>
      </w:hyperlink>
      <w:r w:rsidRPr="002C6F75">
        <w:rPr>
          <w:sz w:val="20"/>
        </w:rPr>
        <w:t>. (follow “Programs” hyperlink, then follow “Crisis Intervention Training” hyperlink).</w:t>
      </w:r>
    </w:p>
  </w:footnote>
  <w:footnote w:id="20">
    <w:p w14:paraId="78234008" w14:textId="77777777" w:rsidR="00FD715C" w:rsidRPr="002C6F75" w:rsidRDefault="00FD715C" w:rsidP="00EE4F9A">
      <w:pPr>
        <w:pStyle w:val="FootnoteText"/>
        <w:rPr>
          <w:sz w:val="20"/>
        </w:rPr>
      </w:pPr>
      <w:r w:rsidRPr="002C6F75">
        <w:rPr>
          <w:rStyle w:val="FootnoteReference"/>
          <w:sz w:val="20"/>
        </w:rPr>
        <w:footnoteRef/>
      </w:r>
      <w:r w:rsidRPr="002C6F75">
        <w:rPr>
          <w:sz w:val="20"/>
        </w:rPr>
        <w:t xml:space="preserve"> </w:t>
      </w:r>
      <w:r w:rsidRPr="002C6F75">
        <w:rPr>
          <w:i/>
          <w:sz w:val="20"/>
        </w:rPr>
        <w:t>Id.</w:t>
      </w:r>
    </w:p>
  </w:footnote>
  <w:footnote w:id="21">
    <w:p w14:paraId="7B5C75A7" w14:textId="77777777" w:rsidR="00FD715C" w:rsidRPr="002C6F75" w:rsidRDefault="00FD715C" w:rsidP="00EE4F9A">
      <w:pPr>
        <w:pStyle w:val="FootnoteText"/>
        <w:rPr>
          <w:b/>
          <w:bCs/>
          <w:sz w:val="20"/>
        </w:rPr>
      </w:pPr>
      <w:r w:rsidRPr="002C6F75">
        <w:rPr>
          <w:rStyle w:val="FootnoteReference"/>
          <w:sz w:val="20"/>
        </w:rPr>
        <w:footnoteRef/>
      </w:r>
      <w:r w:rsidRPr="002C6F75">
        <w:rPr>
          <w:sz w:val="20"/>
        </w:rPr>
        <w:t xml:space="preserve"> Caroline Lewis, “</w:t>
      </w:r>
      <w:r w:rsidRPr="002C6F75">
        <w:rPr>
          <w:bCs/>
          <w:sz w:val="20"/>
        </w:rPr>
        <w:t>The NYPD Currently Responds To Mental Health Crisis 911 Calls. Advocates Have Another Approach”, June 14, 2020, Available at:</w:t>
      </w:r>
    </w:p>
    <w:p w14:paraId="251A8686" w14:textId="77777777" w:rsidR="00FD715C" w:rsidRPr="002C6F75" w:rsidRDefault="00FD715C" w:rsidP="00EE4F9A">
      <w:pPr>
        <w:pStyle w:val="FootnoteText"/>
        <w:rPr>
          <w:sz w:val="20"/>
        </w:rPr>
      </w:pPr>
      <w:r w:rsidRPr="002C6F75">
        <w:rPr>
          <w:sz w:val="20"/>
        </w:rPr>
        <w:t xml:space="preserve"> </w:t>
      </w:r>
      <w:hyperlink r:id="rId10" w:history="1">
        <w:r w:rsidRPr="002C6F75">
          <w:rPr>
            <w:rStyle w:val="Hyperlink"/>
            <w:sz w:val="20"/>
          </w:rPr>
          <w:t>https://gothamist.com/news/nypd-currently-responds-mental-health-crisis-calls-advocates-have-another-approach</w:t>
        </w:r>
      </w:hyperlink>
      <w:r w:rsidRPr="002C6F75">
        <w:rPr>
          <w:sz w:val="20"/>
        </w:rPr>
        <w:t>.</w:t>
      </w:r>
    </w:p>
  </w:footnote>
  <w:footnote w:id="22">
    <w:p w14:paraId="05A78A17" w14:textId="77777777" w:rsidR="00FD715C" w:rsidRPr="002C6F75" w:rsidRDefault="00FD715C" w:rsidP="00EE4F9A">
      <w:pPr>
        <w:pStyle w:val="FootnoteText"/>
        <w:rPr>
          <w:sz w:val="20"/>
        </w:rPr>
      </w:pPr>
      <w:r w:rsidRPr="002C6F75">
        <w:rPr>
          <w:rStyle w:val="FootnoteReference"/>
          <w:sz w:val="20"/>
        </w:rPr>
        <w:footnoteRef/>
      </w:r>
      <w:r w:rsidRPr="002C6F75">
        <w:rPr>
          <w:sz w:val="20"/>
        </w:rPr>
        <w:t xml:space="preserve"> </w:t>
      </w:r>
      <w:r w:rsidRPr="002C6F75">
        <w:rPr>
          <w:i/>
          <w:sz w:val="20"/>
        </w:rPr>
        <w:t>Id.</w:t>
      </w:r>
    </w:p>
  </w:footnote>
  <w:footnote w:id="23">
    <w:p w14:paraId="07694BCE" w14:textId="77777777" w:rsidR="00FD715C" w:rsidRPr="002C6F75" w:rsidRDefault="00FD715C" w:rsidP="00EE4F9A">
      <w:pPr>
        <w:pStyle w:val="FootnoteText"/>
        <w:rPr>
          <w:sz w:val="20"/>
        </w:rPr>
      </w:pPr>
      <w:r w:rsidRPr="002C6F75">
        <w:rPr>
          <w:rStyle w:val="FootnoteReference"/>
          <w:sz w:val="20"/>
        </w:rPr>
        <w:footnoteRef/>
      </w:r>
      <w:r w:rsidRPr="002C6F75">
        <w:rPr>
          <w:sz w:val="20"/>
        </w:rPr>
        <w:t xml:space="preserve"> Mayor’s Office of ThriveNYC, supra note </w:t>
      </w:r>
      <w:r w:rsidRPr="002C6F75">
        <w:rPr>
          <w:sz w:val="20"/>
        </w:rPr>
        <w:fldChar w:fldCharType="begin"/>
      </w:r>
      <w:r w:rsidRPr="002C6F75">
        <w:rPr>
          <w:sz w:val="20"/>
        </w:rPr>
        <w:instrText xml:space="preserve"> NOTEREF _Ref64472841 \h </w:instrText>
      </w:r>
      <w:r>
        <w:rPr>
          <w:sz w:val="20"/>
        </w:rPr>
        <w:instrText xml:space="preserve"> \* MERGEFORMAT </w:instrText>
      </w:r>
      <w:r w:rsidRPr="002C6F75">
        <w:rPr>
          <w:sz w:val="20"/>
        </w:rPr>
      </w:r>
      <w:r w:rsidRPr="002C6F75">
        <w:rPr>
          <w:sz w:val="20"/>
        </w:rPr>
        <w:fldChar w:fldCharType="separate"/>
      </w:r>
      <w:r w:rsidRPr="002C6F75">
        <w:rPr>
          <w:sz w:val="20"/>
        </w:rPr>
        <w:t>53</w:t>
      </w:r>
      <w:r w:rsidRPr="002C6F75">
        <w:rPr>
          <w:sz w:val="20"/>
        </w:rPr>
        <w:fldChar w:fldCharType="end"/>
      </w:r>
      <w:r w:rsidRPr="002C6F75">
        <w:rPr>
          <w:sz w:val="20"/>
        </w:rPr>
        <w:t>.</w:t>
      </w:r>
    </w:p>
  </w:footnote>
  <w:footnote w:id="24">
    <w:p w14:paraId="6D8DE132" w14:textId="77777777" w:rsidR="00FD715C" w:rsidRPr="002C6F75" w:rsidRDefault="00FD715C" w:rsidP="00EE4F9A">
      <w:pPr>
        <w:pStyle w:val="FootnoteText"/>
        <w:rPr>
          <w:sz w:val="20"/>
        </w:rPr>
      </w:pPr>
      <w:r w:rsidRPr="002C6F75">
        <w:rPr>
          <w:rStyle w:val="FootnoteReference"/>
          <w:sz w:val="20"/>
        </w:rPr>
        <w:footnoteRef/>
      </w:r>
      <w:r w:rsidRPr="002C6F75">
        <w:rPr>
          <w:sz w:val="20"/>
        </w:rPr>
        <w:t xml:space="preserve"> Office of the Mayor, supra note </w:t>
      </w:r>
      <w:r w:rsidRPr="002C6F75">
        <w:rPr>
          <w:sz w:val="20"/>
        </w:rPr>
        <w:fldChar w:fldCharType="begin"/>
      </w:r>
      <w:r w:rsidRPr="002C6F75">
        <w:rPr>
          <w:sz w:val="20"/>
        </w:rPr>
        <w:instrText xml:space="preserve"> NOTEREF _Ref64473087 \h </w:instrText>
      </w:r>
      <w:r>
        <w:rPr>
          <w:sz w:val="20"/>
        </w:rPr>
        <w:instrText xml:space="preserve"> \* MERGEFORMAT </w:instrText>
      </w:r>
      <w:r w:rsidRPr="002C6F75">
        <w:rPr>
          <w:sz w:val="20"/>
        </w:rPr>
      </w:r>
      <w:r w:rsidRPr="002C6F75">
        <w:rPr>
          <w:sz w:val="20"/>
        </w:rPr>
        <w:fldChar w:fldCharType="separate"/>
      </w:r>
      <w:r w:rsidRPr="002C6F75">
        <w:rPr>
          <w:sz w:val="20"/>
        </w:rPr>
        <w:t>47</w:t>
      </w:r>
      <w:r w:rsidRPr="002C6F75">
        <w:rPr>
          <w:sz w:val="20"/>
        </w:rPr>
        <w:fldChar w:fldCharType="end"/>
      </w:r>
      <w:r w:rsidRPr="002C6F75">
        <w:rPr>
          <w:sz w:val="20"/>
        </w:rPr>
        <w:t xml:space="preserve">. </w:t>
      </w:r>
    </w:p>
  </w:footnote>
  <w:footnote w:id="25">
    <w:p w14:paraId="77052050" w14:textId="77777777" w:rsidR="00FD715C" w:rsidRPr="002C6F75" w:rsidRDefault="00FD715C" w:rsidP="00EE4F9A">
      <w:pPr>
        <w:pStyle w:val="FootnoteText"/>
        <w:rPr>
          <w:sz w:val="20"/>
        </w:rPr>
      </w:pPr>
      <w:r w:rsidRPr="002C6F75">
        <w:rPr>
          <w:rStyle w:val="FootnoteReference"/>
          <w:sz w:val="20"/>
        </w:rPr>
        <w:footnoteRef/>
      </w:r>
      <w:r w:rsidRPr="002C6F75">
        <w:rPr>
          <w:sz w:val="20"/>
        </w:rPr>
        <w:t xml:space="preserve"> Mayor’s Office of ThriveNYC, supra note </w:t>
      </w:r>
      <w:r w:rsidRPr="002C6F75">
        <w:rPr>
          <w:sz w:val="20"/>
        </w:rPr>
        <w:fldChar w:fldCharType="begin"/>
      </w:r>
      <w:r w:rsidRPr="002C6F75">
        <w:rPr>
          <w:sz w:val="20"/>
        </w:rPr>
        <w:instrText xml:space="preserve"> NOTEREF _Ref64474408 \h </w:instrText>
      </w:r>
      <w:r>
        <w:rPr>
          <w:sz w:val="20"/>
        </w:rPr>
        <w:instrText xml:space="preserve"> \* MERGEFORMAT </w:instrText>
      </w:r>
      <w:r w:rsidRPr="002C6F75">
        <w:rPr>
          <w:sz w:val="20"/>
        </w:rPr>
      </w:r>
      <w:r w:rsidRPr="002C6F75">
        <w:rPr>
          <w:sz w:val="20"/>
        </w:rPr>
        <w:fldChar w:fldCharType="separate"/>
      </w:r>
      <w:r w:rsidRPr="002C6F75">
        <w:rPr>
          <w:sz w:val="20"/>
        </w:rPr>
        <w:t>49</w:t>
      </w:r>
      <w:r w:rsidRPr="002C6F75">
        <w:rPr>
          <w:sz w:val="20"/>
        </w:rPr>
        <w:fldChar w:fldCharType="end"/>
      </w:r>
      <w:r w:rsidRPr="002C6F75">
        <w:rPr>
          <w:sz w:val="20"/>
        </w:rPr>
        <w:t>, at 92.</w:t>
      </w:r>
    </w:p>
  </w:footnote>
  <w:footnote w:id="26">
    <w:p w14:paraId="1AB5A5A9" w14:textId="77777777" w:rsidR="00FD715C" w:rsidRPr="002C6F75" w:rsidRDefault="00FD715C" w:rsidP="00EE4F9A">
      <w:pPr>
        <w:pStyle w:val="FootnoteText"/>
        <w:rPr>
          <w:sz w:val="20"/>
        </w:rPr>
      </w:pPr>
      <w:r w:rsidRPr="002C6F75">
        <w:rPr>
          <w:rStyle w:val="FootnoteReference"/>
          <w:sz w:val="20"/>
        </w:rPr>
        <w:footnoteRef/>
      </w:r>
      <w:r w:rsidRPr="002C6F75">
        <w:rPr>
          <w:sz w:val="20"/>
        </w:rPr>
        <w:t xml:space="preserve"> Mayor’s Office of ThriveNYC, “Co-Response Teams”, November 10, 2019, Available at: </w:t>
      </w:r>
      <w:hyperlink r:id="rId11" w:history="1">
        <w:r w:rsidRPr="002C6F75">
          <w:rPr>
            <w:rStyle w:val="Hyperlink"/>
            <w:sz w:val="20"/>
          </w:rPr>
          <w:t>https://thrivenyc.cityofnewyork.us/program/co-response-teams</w:t>
        </w:r>
      </w:hyperlink>
      <w:r w:rsidRPr="002C6F75">
        <w:rPr>
          <w:sz w:val="20"/>
        </w:rPr>
        <w:t>.</w:t>
      </w:r>
    </w:p>
  </w:footnote>
  <w:footnote w:id="27">
    <w:p w14:paraId="45A0FCF7" w14:textId="77777777" w:rsidR="00FD715C" w:rsidRPr="002C6F75" w:rsidRDefault="00FD715C" w:rsidP="00EE4F9A">
      <w:pPr>
        <w:pStyle w:val="FootnoteText"/>
        <w:rPr>
          <w:sz w:val="20"/>
        </w:rPr>
      </w:pPr>
      <w:r w:rsidRPr="002C6F75">
        <w:rPr>
          <w:rStyle w:val="FootnoteReference"/>
          <w:sz w:val="20"/>
        </w:rPr>
        <w:footnoteRef/>
      </w:r>
      <w:r w:rsidRPr="002C6F75">
        <w:rPr>
          <w:sz w:val="20"/>
        </w:rPr>
        <w:t xml:space="preserve"> Mayor’s Office of ThriveNYC, supra note </w:t>
      </w:r>
      <w:r w:rsidRPr="002C6F75">
        <w:rPr>
          <w:sz w:val="20"/>
        </w:rPr>
        <w:fldChar w:fldCharType="begin"/>
      </w:r>
      <w:r w:rsidRPr="002C6F75">
        <w:rPr>
          <w:sz w:val="20"/>
        </w:rPr>
        <w:instrText xml:space="preserve"> NOTEREF _Ref64474408 \h </w:instrText>
      </w:r>
      <w:r>
        <w:rPr>
          <w:sz w:val="20"/>
        </w:rPr>
        <w:instrText xml:space="preserve"> \* MERGEFORMAT </w:instrText>
      </w:r>
      <w:r w:rsidRPr="002C6F75">
        <w:rPr>
          <w:sz w:val="20"/>
        </w:rPr>
      </w:r>
      <w:r w:rsidRPr="002C6F75">
        <w:rPr>
          <w:sz w:val="20"/>
        </w:rPr>
        <w:fldChar w:fldCharType="separate"/>
      </w:r>
      <w:r w:rsidRPr="002C6F75">
        <w:rPr>
          <w:sz w:val="20"/>
        </w:rPr>
        <w:t>49</w:t>
      </w:r>
      <w:r w:rsidRPr="002C6F75">
        <w:rPr>
          <w:sz w:val="20"/>
        </w:rPr>
        <w:fldChar w:fldCharType="end"/>
      </w:r>
      <w:r w:rsidRPr="002C6F75">
        <w:rPr>
          <w:sz w:val="20"/>
        </w:rPr>
        <w:t>, at 93.</w:t>
      </w:r>
    </w:p>
  </w:footnote>
  <w:footnote w:id="28">
    <w:p w14:paraId="4C156EE4" w14:textId="77777777" w:rsidR="00FD715C" w:rsidRPr="002C6F75" w:rsidRDefault="00FD715C" w:rsidP="00EE4F9A">
      <w:pPr>
        <w:pStyle w:val="FootnoteText"/>
        <w:rPr>
          <w:sz w:val="20"/>
        </w:rPr>
      </w:pPr>
      <w:r w:rsidRPr="002C6F75">
        <w:rPr>
          <w:rStyle w:val="FootnoteReference"/>
          <w:sz w:val="20"/>
        </w:rPr>
        <w:footnoteRef/>
      </w:r>
      <w:r w:rsidRPr="002C6F75">
        <w:rPr>
          <w:sz w:val="20"/>
        </w:rPr>
        <w:t xml:space="preserve"> Mayor’s Office of ThriveNYC, supra note </w:t>
      </w:r>
      <w:r w:rsidRPr="002C6F75">
        <w:rPr>
          <w:sz w:val="20"/>
        </w:rPr>
        <w:fldChar w:fldCharType="begin"/>
      </w:r>
      <w:r w:rsidRPr="002C6F75">
        <w:rPr>
          <w:sz w:val="20"/>
        </w:rPr>
        <w:instrText xml:space="preserve"> NOTEREF _Ref64473295 \h </w:instrText>
      </w:r>
      <w:r>
        <w:rPr>
          <w:sz w:val="20"/>
        </w:rPr>
        <w:instrText xml:space="preserve"> \* MERGEFORMAT </w:instrText>
      </w:r>
      <w:r w:rsidRPr="002C6F75">
        <w:rPr>
          <w:sz w:val="20"/>
        </w:rPr>
      </w:r>
      <w:r w:rsidRPr="002C6F75">
        <w:rPr>
          <w:sz w:val="20"/>
        </w:rPr>
        <w:fldChar w:fldCharType="separate"/>
      </w:r>
      <w:r w:rsidRPr="002C6F75">
        <w:rPr>
          <w:sz w:val="20"/>
        </w:rPr>
        <w:t>60</w:t>
      </w:r>
      <w:r w:rsidRPr="002C6F75">
        <w:rPr>
          <w:sz w:val="20"/>
        </w:rPr>
        <w:fldChar w:fldCharType="end"/>
      </w:r>
      <w:r w:rsidRPr="002C6F75">
        <w:rPr>
          <w:sz w:val="20"/>
        </w:rPr>
        <w:t>.</w:t>
      </w:r>
    </w:p>
  </w:footnote>
  <w:footnote w:id="29">
    <w:p w14:paraId="6D4BEE87" w14:textId="77777777" w:rsidR="00FD715C" w:rsidRPr="002C6F75" w:rsidRDefault="00FD715C" w:rsidP="00EE4F9A">
      <w:pPr>
        <w:pStyle w:val="FootnoteText"/>
        <w:rPr>
          <w:sz w:val="20"/>
        </w:rPr>
      </w:pPr>
      <w:r w:rsidRPr="002C6F75">
        <w:rPr>
          <w:rStyle w:val="FootnoteReference"/>
          <w:sz w:val="20"/>
        </w:rPr>
        <w:footnoteRef/>
      </w:r>
      <w:r w:rsidRPr="002C6F75">
        <w:rPr>
          <w:i/>
          <w:sz w:val="20"/>
        </w:rPr>
        <w:t>Id</w:t>
      </w:r>
      <w:r w:rsidRPr="002C6F75">
        <w:rPr>
          <w:sz w:val="20"/>
        </w:rPr>
        <w:t>.</w:t>
      </w:r>
    </w:p>
  </w:footnote>
  <w:footnote w:id="30">
    <w:p w14:paraId="150A98BF" w14:textId="77777777" w:rsidR="00FD715C" w:rsidRPr="002C6F75" w:rsidRDefault="00FD715C" w:rsidP="00EE4F9A">
      <w:pPr>
        <w:pStyle w:val="FootnoteText"/>
        <w:rPr>
          <w:sz w:val="20"/>
        </w:rPr>
      </w:pPr>
      <w:r w:rsidRPr="002C6F75">
        <w:rPr>
          <w:rStyle w:val="FootnoteReference"/>
          <w:sz w:val="20"/>
        </w:rPr>
        <w:footnoteRef/>
      </w:r>
      <w:r w:rsidRPr="002C6F75">
        <w:rPr>
          <w:sz w:val="20"/>
        </w:rPr>
        <w:t xml:space="preserve"> Mayor’s Office of ThriveNYC, supra note </w:t>
      </w:r>
      <w:r w:rsidRPr="002C6F75">
        <w:rPr>
          <w:sz w:val="20"/>
        </w:rPr>
        <w:fldChar w:fldCharType="begin"/>
      </w:r>
      <w:r w:rsidRPr="002C6F75">
        <w:rPr>
          <w:sz w:val="20"/>
        </w:rPr>
        <w:instrText xml:space="preserve"> NOTEREF _Ref64474408 \h </w:instrText>
      </w:r>
      <w:r>
        <w:rPr>
          <w:sz w:val="20"/>
        </w:rPr>
        <w:instrText xml:space="preserve"> \* MERGEFORMAT </w:instrText>
      </w:r>
      <w:r w:rsidRPr="002C6F75">
        <w:rPr>
          <w:sz w:val="20"/>
        </w:rPr>
      </w:r>
      <w:r w:rsidRPr="002C6F75">
        <w:rPr>
          <w:sz w:val="20"/>
        </w:rPr>
        <w:fldChar w:fldCharType="separate"/>
      </w:r>
      <w:r w:rsidRPr="002C6F75">
        <w:rPr>
          <w:sz w:val="20"/>
        </w:rPr>
        <w:t>49</w:t>
      </w:r>
      <w:r w:rsidRPr="002C6F75">
        <w:rPr>
          <w:sz w:val="20"/>
        </w:rPr>
        <w:fldChar w:fldCharType="end"/>
      </w:r>
      <w:r w:rsidRPr="002C6F75">
        <w:rPr>
          <w:sz w:val="20"/>
        </w:rPr>
        <w:t>, at 94.</w:t>
      </w:r>
    </w:p>
  </w:footnote>
  <w:footnote w:id="31">
    <w:p w14:paraId="529299D9" w14:textId="77777777" w:rsidR="00FD715C" w:rsidRPr="00296996" w:rsidRDefault="00FD715C" w:rsidP="00EE4F9A">
      <w:pPr>
        <w:pStyle w:val="FootnoteText"/>
        <w:rPr>
          <w:sz w:val="20"/>
        </w:rPr>
      </w:pPr>
      <w:r w:rsidRPr="00296996">
        <w:rPr>
          <w:rStyle w:val="FootnoteReference"/>
          <w:sz w:val="20"/>
        </w:rPr>
        <w:footnoteRef/>
      </w:r>
      <w:r w:rsidRPr="00296996">
        <w:rPr>
          <w:sz w:val="20"/>
        </w:rPr>
        <w:t xml:space="preserve"> </w:t>
      </w:r>
      <w:r w:rsidRPr="00296996">
        <w:rPr>
          <w:i/>
          <w:sz w:val="20"/>
        </w:rPr>
        <w:t>Id.</w:t>
      </w:r>
      <w:r w:rsidRPr="00296996">
        <w:rPr>
          <w:sz w:val="20"/>
        </w:rPr>
        <w:t xml:space="preserve"> at 92.</w:t>
      </w:r>
    </w:p>
  </w:footnote>
  <w:footnote w:id="32">
    <w:p w14:paraId="5D24F817" w14:textId="77777777" w:rsidR="00FD715C" w:rsidRPr="00296996" w:rsidRDefault="00FD715C" w:rsidP="00EE4F9A">
      <w:pPr>
        <w:pStyle w:val="FootnoteText"/>
        <w:rPr>
          <w:sz w:val="20"/>
        </w:rPr>
      </w:pPr>
      <w:r w:rsidRPr="00296996">
        <w:rPr>
          <w:rStyle w:val="FootnoteReference"/>
          <w:sz w:val="20"/>
        </w:rPr>
        <w:footnoteRef/>
      </w:r>
      <w:r w:rsidRPr="00296996">
        <w:rPr>
          <w:sz w:val="20"/>
        </w:rPr>
        <w:t xml:space="preserve"> Mayor’s Office of ThriveNYC, “Intensive Mobile Treatment (IMT) Teams”, last accessed February 17, 2021, Available at: </w:t>
      </w:r>
      <w:hyperlink r:id="rId12" w:history="1">
        <w:r w:rsidRPr="00296996">
          <w:rPr>
            <w:rStyle w:val="Hyperlink"/>
            <w:sz w:val="20"/>
          </w:rPr>
          <w:t>https://thrivenyc.cityofnewyork.us/programs</w:t>
        </w:r>
      </w:hyperlink>
      <w:r w:rsidRPr="00296996">
        <w:rPr>
          <w:sz w:val="20"/>
        </w:rPr>
        <w:t xml:space="preserve"> (follow “Programs” hyperlink, then follow “Intensive Mobile Treatment (IMT) Teams” hyperlink).</w:t>
      </w:r>
    </w:p>
  </w:footnote>
  <w:footnote w:id="33">
    <w:p w14:paraId="6E4E7786" w14:textId="77777777" w:rsidR="00FD715C" w:rsidRPr="00296996" w:rsidRDefault="00FD715C" w:rsidP="00EE4F9A">
      <w:pPr>
        <w:pStyle w:val="FootnoteText"/>
        <w:rPr>
          <w:sz w:val="20"/>
        </w:rPr>
      </w:pPr>
      <w:r w:rsidRPr="00296996">
        <w:rPr>
          <w:rStyle w:val="FootnoteReference"/>
          <w:sz w:val="20"/>
        </w:rPr>
        <w:footnoteRef/>
      </w:r>
      <w:r w:rsidRPr="00296996">
        <w:rPr>
          <w:sz w:val="20"/>
        </w:rPr>
        <w:t xml:space="preserve"> Mayor’s Office of ThriveNYC, supra note </w:t>
      </w:r>
      <w:r w:rsidRPr="00296996">
        <w:rPr>
          <w:sz w:val="20"/>
        </w:rPr>
        <w:fldChar w:fldCharType="begin"/>
      </w:r>
      <w:r w:rsidRPr="00296996">
        <w:rPr>
          <w:sz w:val="20"/>
        </w:rPr>
        <w:instrText xml:space="preserve"> NOTEREF _Ref64474408 \h </w:instrText>
      </w:r>
      <w:r>
        <w:rPr>
          <w:sz w:val="20"/>
        </w:rPr>
        <w:instrText xml:space="preserve"> \* MERGEFORMAT </w:instrText>
      </w:r>
      <w:r w:rsidRPr="00296996">
        <w:rPr>
          <w:sz w:val="20"/>
        </w:rPr>
      </w:r>
      <w:r w:rsidRPr="00296996">
        <w:rPr>
          <w:sz w:val="20"/>
        </w:rPr>
        <w:fldChar w:fldCharType="separate"/>
      </w:r>
      <w:r w:rsidRPr="00296996">
        <w:rPr>
          <w:sz w:val="20"/>
        </w:rPr>
        <w:t>49</w:t>
      </w:r>
      <w:r w:rsidRPr="00296996">
        <w:rPr>
          <w:sz w:val="20"/>
        </w:rPr>
        <w:fldChar w:fldCharType="end"/>
      </w:r>
      <w:r w:rsidRPr="00296996">
        <w:rPr>
          <w:sz w:val="20"/>
        </w:rPr>
        <w:t>, at 87.</w:t>
      </w:r>
    </w:p>
  </w:footnote>
  <w:footnote w:id="34">
    <w:p w14:paraId="534C4278" w14:textId="77777777" w:rsidR="00FD715C" w:rsidRPr="00296996" w:rsidRDefault="00FD715C" w:rsidP="00EE4F9A">
      <w:pPr>
        <w:pStyle w:val="FootnoteText"/>
        <w:rPr>
          <w:sz w:val="20"/>
        </w:rPr>
      </w:pPr>
      <w:r w:rsidRPr="00296996">
        <w:rPr>
          <w:rStyle w:val="FootnoteReference"/>
          <w:sz w:val="20"/>
        </w:rPr>
        <w:footnoteRef/>
      </w:r>
      <w:r w:rsidRPr="00296996">
        <w:rPr>
          <w:sz w:val="20"/>
        </w:rPr>
        <w:t xml:space="preserve"> </w:t>
      </w:r>
      <w:r w:rsidRPr="00296996">
        <w:rPr>
          <w:i/>
          <w:sz w:val="20"/>
        </w:rPr>
        <w:t>Id.</w:t>
      </w:r>
      <w:r w:rsidRPr="00296996">
        <w:rPr>
          <w:sz w:val="20"/>
        </w:rPr>
        <w:t xml:space="preserve"> at 87.</w:t>
      </w:r>
    </w:p>
  </w:footnote>
  <w:footnote w:id="35">
    <w:p w14:paraId="2F9ED9ED" w14:textId="77777777" w:rsidR="00FD715C" w:rsidRPr="00296996" w:rsidRDefault="00FD715C" w:rsidP="00EE4F9A">
      <w:pPr>
        <w:pStyle w:val="FootnoteText"/>
        <w:rPr>
          <w:sz w:val="20"/>
        </w:rPr>
      </w:pPr>
      <w:r w:rsidRPr="00296996">
        <w:rPr>
          <w:rStyle w:val="FootnoteReference"/>
          <w:sz w:val="20"/>
        </w:rPr>
        <w:footnoteRef/>
      </w:r>
      <w:r w:rsidRPr="00296996">
        <w:rPr>
          <w:sz w:val="20"/>
        </w:rPr>
        <w:t xml:space="preserve"> </w:t>
      </w:r>
      <w:r w:rsidRPr="00296996">
        <w:rPr>
          <w:i/>
          <w:sz w:val="20"/>
        </w:rPr>
        <w:t>Id.</w:t>
      </w:r>
      <w:r w:rsidRPr="00296996">
        <w:rPr>
          <w:sz w:val="20"/>
        </w:rPr>
        <w:t xml:space="preserve"> at 86.</w:t>
      </w:r>
    </w:p>
  </w:footnote>
  <w:footnote w:id="36">
    <w:p w14:paraId="7C1B14E3" w14:textId="77777777" w:rsidR="00FD715C" w:rsidRPr="00296996" w:rsidRDefault="00FD715C" w:rsidP="00EE4F9A">
      <w:pPr>
        <w:pStyle w:val="FootnoteText"/>
        <w:rPr>
          <w:sz w:val="20"/>
        </w:rPr>
      </w:pPr>
      <w:r w:rsidRPr="00296996">
        <w:rPr>
          <w:rStyle w:val="FootnoteReference"/>
          <w:sz w:val="20"/>
        </w:rPr>
        <w:footnoteRef/>
      </w:r>
      <w:r w:rsidRPr="00296996">
        <w:rPr>
          <w:sz w:val="20"/>
        </w:rPr>
        <w:t xml:space="preserve"> NYC Well, “Get Help Now”, last accessed February 17, 2021, Available at: </w:t>
      </w:r>
      <w:hyperlink r:id="rId13" w:history="1">
        <w:r w:rsidRPr="00296996">
          <w:rPr>
            <w:rStyle w:val="Hyperlink"/>
            <w:sz w:val="20"/>
          </w:rPr>
          <w:t>https://nycwell.cityofnewyork.us/en/get-help-now/</w:t>
        </w:r>
      </w:hyperlink>
      <w:r w:rsidRPr="00296996">
        <w:rPr>
          <w:sz w:val="20"/>
        </w:rPr>
        <w:t>.</w:t>
      </w:r>
    </w:p>
  </w:footnote>
  <w:footnote w:id="37">
    <w:p w14:paraId="35FD46B8" w14:textId="77777777" w:rsidR="00FD715C" w:rsidRPr="00296996" w:rsidRDefault="00FD715C" w:rsidP="00EE4F9A">
      <w:pPr>
        <w:pStyle w:val="FootnoteText"/>
        <w:rPr>
          <w:sz w:val="20"/>
        </w:rPr>
      </w:pPr>
      <w:r w:rsidRPr="00296996">
        <w:rPr>
          <w:rStyle w:val="FootnoteReference"/>
          <w:sz w:val="20"/>
        </w:rPr>
        <w:footnoteRef/>
      </w:r>
      <w:r w:rsidRPr="00296996">
        <w:rPr>
          <w:sz w:val="20"/>
        </w:rPr>
        <w:t xml:space="preserve"> Mayor’s Office of ThriveNYC, supra note </w:t>
      </w:r>
      <w:r w:rsidRPr="00296996">
        <w:rPr>
          <w:sz w:val="20"/>
        </w:rPr>
        <w:fldChar w:fldCharType="begin"/>
      </w:r>
      <w:r w:rsidRPr="00296996">
        <w:rPr>
          <w:sz w:val="20"/>
        </w:rPr>
        <w:instrText xml:space="preserve"> NOTEREF _Ref64474408 \h </w:instrText>
      </w:r>
      <w:r>
        <w:rPr>
          <w:sz w:val="20"/>
        </w:rPr>
        <w:instrText xml:space="preserve"> \* MERGEFORMAT </w:instrText>
      </w:r>
      <w:r w:rsidRPr="00296996">
        <w:rPr>
          <w:sz w:val="20"/>
        </w:rPr>
      </w:r>
      <w:r w:rsidRPr="00296996">
        <w:rPr>
          <w:sz w:val="20"/>
        </w:rPr>
        <w:fldChar w:fldCharType="separate"/>
      </w:r>
      <w:r w:rsidRPr="00296996">
        <w:rPr>
          <w:sz w:val="20"/>
        </w:rPr>
        <w:t>49</w:t>
      </w:r>
      <w:r w:rsidRPr="00296996">
        <w:rPr>
          <w:sz w:val="20"/>
        </w:rPr>
        <w:fldChar w:fldCharType="end"/>
      </w:r>
      <w:r w:rsidRPr="00296996">
        <w:rPr>
          <w:sz w:val="20"/>
        </w:rPr>
        <w:t>, at 51.</w:t>
      </w:r>
    </w:p>
  </w:footnote>
  <w:footnote w:id="38">
    <w:p w14:paraId="508EDD3B" w14:textId="77777777" w:rsidR="00FD715C" w:rsidRPr="0064405E" w:rsidRDefault="00FD715C" w:rsidP="00EE4F9A">
      <w:pPr>
        <w:pStyle w:val="FootnoteText"/>
        <w:rPr>
          <w:sz w:val="20"/>
        </w:rPr>
      </w:pPr>
      <w:r w:rsidRPr="0064405E">
        <w:rPr>
          <w:rStyle w:val="FootnoteReference"/>
          <w:sz w:val="20"/>
        </w:rPr>
        <w:footnoteRef/>
      </w:r>
      <w:r w:rsidRPr="0064405E">
        <w:rPr>
          <w:sz w:val="20"/>
        </w:rPr>
        <w:t xml:space="preserve"> </w:t>
      </w:r>
      <w:r w:rsidRPr="0064405E">
        <w:rPr>
          <w:i/>
          <w:sz w:val="20"/>
        </w:rPr>
        <w:t>Id.</w:t>
      </w:r>
    </w:p>
  </w:footnote>
  <w:footnote w:id="39">
    <w:p w14:paraId="13C9F8DA" w14:textId="77777777" w:rsidR="00FD715C" w:rsidRPr="0064405E" w:rsidRDefault="00FD715C" w:rsidP="00EE4F9A">
      <w:pPr>
        <w:pStyle w:val="FootnoteText"/>
        <w:rPr>
          <w:sz w:val="20"/>
        </w:rPr>
      </w:pPr>
      <w:r w:rsidRPr="0064405E">
        <w:rPr>
          <w:rStyle w:val="FootnoteReference"/>
          <w:sz w:val="20"/>
        </w:rPr>
        <w:footnoteRef/>
      </w:r>
      <w:r w:rsidRPr="0064405E">
        <w:rPr>
          <w:sz w:val="20"/>
        </w:rPr>
        <w:t xml:space="preserve"> </w:t>
      </w:r>
      <w:r w:rsidRPr="0064405E">
        <w:rPr>
          <w:i/>
          <w:sz w:val="20"/>
        </w:rPr>
        <w:t>Id.</w:t>
      </w:r>
      <w:r w:rsidRPr="0064405E">
        <w:rPr>
          <w:sz w:val="20"/>
        </w:rPr>
        <w:t xml:space="preserve"> at 51.</w:t>
      </w:r>
    </w:p>
  </w:footnote>
  <w:footnote w:id="40">
    <w:p w14:paraId="465C838F" w14:textId="77777777" w:rsidR="00FD715C" w:rsidRPr="0064405E" w:rsidRDefault="00FD715C" w:rsidP="00EE4F9A">
      <w:pPr>
        <w:pStyle w:val="FootnoteText"/>
        <w:rPr>
          <w:sz w:val="20"/>
        </w:rPr>
      </w:pPr>
      <w:r w:rsidRPr="0064405E">
        <w:rPr>
          <w:rStyle w:val="FootnoteReference"/>
          <w:sz w:val="20"/>
        </w:rPr>
        <w:footnoteRef/>
      </w:r>
      <w:r w:rsidRPr="0064405E">
        <w:rPr>
          <w:sz w:val="20"/>
        </w:rPr>
        <w:t xml:space="preserve"> </w:t>
      </w:r>
      <w:r w:rsidRPr="0064405E">
        <w:rPr>
          <w:i/>
          <w:sz w:val="20"/>
        </w:rPr>
        <w:t>Id.</w:t>
      </w:r>
      <w:r w:rsidRPr="0064405E">
        <w:rPr>
          <w:sz w:val="20"/>
        </w:rPr>
        <w:t xml:space="preserve"> at 34.</w:t>
      </w:r>
    </w:p>
  </w:footnote>
  <w:footnote w:id="41">
    <w:p w14:paraId="662FDFE9" w14:textId="77777777" w:rsidR="00FD715C" w:rsidRPr="0064405E" w:rsidRDefault="00FD715C" w:rsidP="00EE4F9A">
      <w:pPr>
        <w:pStyle w:val="FootnoteText"/>
        <w:rPr>
          <w:sz w:val="20"/>
        </w:rPr>
      </w:pPr>
      <w:r w:rsidRPr="0064405E">
        <w:rPr>
          <w:rStyle w:val="FootnoteReference"/>
          <w:sz w:val="20"/>
        </w:rPr>
        <w:footnoteRef/>
      </w:r>
      <w:r w:rsidRPr="0064405E">
        <w:rPr>
          <w:sz w:val="20"/>
        </w:rPr>
        <w:t xml:space="preserve"> </w:t>
      </w:r>
      <w:r w:rsidRPr="0064405E">
        <w:rPr>
          <w:i/>
          <w:sz w:val="20"/>
        </w:rPr>
        <w:t>Id.</w:t>
      </w:r>
    </w:p>
  </w:footnote>
  <w:footnote w:id="42">
    <w:p w14:paraId="55ADDB1D" w14:textId="77777777" w:rsidR="00FD715C" w:rsidRPr="0064405E" w:rsidRDefault="00FD715C" w:rsidP="00EE4F9A">
      <w:pPr>
        <w:pStyle w:val="FootnoteText"/>
        <w:rPr>
          <w:b/>
          <w:bCs/>
          <w:sz w:val="20"/>
        </w:rPr>
      </w:pPr>
      <w:r w:rsidRPr="0064405E">
        <w:rPr>
          <w:rStyle w:val="FootnoteReference"/>
          <w:sz w:val="20"/>
        </w:rPr>
        <w:footnoteRef/>
      </w:r>
      <w:r w:rsidRPr="0064405E">
        <w:rPr>
          <w:sz w:val="20"/>
        </w:rPr>
        <w:t xml:space="preserve"> New York City Department of Health and Mental Hygiene, “</w:t>
      </w:r>
      <w:r w:rsidRPr="0064405E">
        <w:rPr>
          <w:bCs/>
          <w:sz w:val="20"/>
        </w:rPr>
        <w:t xml:space="preserve">Crisis Services/Mental Health: Mobile Crisis Teams”, last accessed February, 17, 2021, Available at: </w:t>
      </w:r>
      <w:hyperlink r:id="rId14" w:history="1">
        <w:r w:rsidRPr="0064405E">
          <w:rPr>
            <w:rStyle w:val="Hyperlink"/>
            <w:sz w:val="20"/>
          </w:rPr>
          <w:t>https://www1.nyc.gov/site/doh/health/health-topics/crisis-emergency-services-mobile-crisis-teams.page</w:t>
        </w:r>
      </w:hyperlink>
      <w:r w:rsidRPr="0064405E">
        <w:rPr>
          <w:sz w:val="20"/>
        </w:rPr>
        <w:t>.</w:t>
      </w:r>
    </w:p>
  </w:footnote>
  <w:footnote w:id="43">
    <w:p w14:paraId="09BBCFD7" w14:textId="77777777" w:rsidR="00FD715C" w:rsidRPr="0064405E" w:rsidRDefault="00FD715C" w:rsidP="00EE4F9A">
      <w:pPr>
        <w:pStyle w:val="FootnoteText"/>
        <w:rPr>
          <w:sz w:val="20"/>
        </w:rPr>
      </w:pPr>
      <w:r w:rsidRPr="0064405E">
        <w:rPr>
          <w:rStyle w:val="FootnoteReference"/>
          <w:sz w:val="20"/>
        </w:rPr>
        <w:footnoteRef/>
      </w:r>
      <w:r w:rsidRPr="0064405E">
        <w:rPr>
          <w:sz w:val="20"/>
        </w:rPr>
        <w:t xml:space="preserve"> </w:t>
      </w:r>
      <w:r w:rsidRPr="0064405E">
        <w:rPr>
          <w:i/>
          <w:sz w:val="20"/>
        </w:rPr>
        <w:t>Id.</w:t>
      </w:r>
    </w:p>
  </w:footnote>
  <w:footnote w:id="44">
    <w:p w14:paraId="05211897" w14:textId="77777777" w:rsidR="00FD715C" w:rsidRPr="0064405E" w:rsidRDefault="00FD715C" w:rsidP="00EE4F9A">
      <w:pPr>
        <w:pStyle w:val="FootnoteText"/>
        <w:rPr>
          <w:i/>
          <w:sz w:val="20"/>
        </w:rPr>
      </w:pPr>
      <w:r w:rsidRPr="0064405E">
        <w:rPr>
          <w:rStyle w:val="FootnoteReference"/>
          <w:sz w:val="20"/>
        </w:rPr>
        <w:footnoteRef/>
      </w:r>
      <w:r w:rsidRPr="0064405E">
        <w:rPr>
          <w:sz w:val="20"/>
        </w:rPr>
        <w:t xml:space="preserve"> </w:t>
      </w:r>
      <w:r w:rsidRPr="0064405E">
        <w:rPr>
          <w:i/>
          <w:sz w:val="20"/>
        </w:rPr>
        <w:t>Id.</w:t>
      </w:r>
    </w:p>
  </w:footnote>
  <w:footnote w:id="45">
    <w:p w14:paraId="61B91625" w14:textId="77777777" w:rsidR="00FD715C" w:rsidRPr="0064405E" w:rsidRDefault="00FD715C" w:rsidP="00EE4F9A">
      <w:pPr>
        <w:pStyle w:val="FootnoteText"/>
        <w:rPr>
          <w:sz w:val="20"/>
        </w:rPr>
      </w:pPr>
      <w:r w:rsidRPr="0064405E">
        <w:rPr>
          <w:rStyle w:val="FootnoteReference"/>
          <w:sz w:val="20"/>
        </w:rPr>
        <w:footnoteRef/>
      </w:r>
      <w:r w:rsidRPr="0064405E">
        <w:rPr>
          <w:sz w:val="20"/>
        </w:rPr>
        <w:t xml:space="preserve"> </w:t>
      </w:r>
      <w:r w:rsidRPr="0064405E">
        <w:rPr>
          <w:i/>
          <w:sz w:val="20"/>
        </w:rPr>
        <w:t>Id.</w:t>
      </w:r>
    </w:p>
  </w:footnote>
  <w:footnote w:id="46">
    <w:p w14:paraId="1493799D" w14:textId="77777777" w:rsidR="00FD715C" w:rsidRPr="007B6BBF" w:rsidRDefault="00FD715C" w:rsidP="00EE4F9A">
      <w:pPr>
        <w:pStyle w:val="FootnoteText"/>
        <w:rPr>
          <w:b/>
          <w:bCs/>
        </w:rPr>
      </w:pPr>
      <w:r w:rsidRPr="0064405E">
        <w:rPr>
          <w:rStyle w:val="FootnoteReference"/>
          <w:sz w:val="20"/>
        </w:rPr>
        <w:footnoteRef/>
      </w:r>
      <w:r w:rsidRPr="0064405E">
        <w:rPr>
          <w:sz w:val="20"/>
        </w:rPr>
        <w:t xml:space="preserve"> Caroline Lewis, “</w:t>
      </w:r>
      <w:r w:rsidRPr="0064405E">
        <w:rPr>
          <w:bCs/>
          <w:sz w:val="20"/>
        </w:rPr>
        <w:t>When New Yorkers Report A Mental Health Crisis, Who Should Respond?”, September 18, 2019, Available at:</w:t>
      </w:r>
      <w:r w:rsidRPr="0064405E">
        <w:rPr>
          <w:sz w:val="20"/>
        </w:rPr>
        <w:t xml:space="preserve"> </w:t>
      </w:r>
      <w:hyperlink r:id="rId15" w:history="1">
        <w:r w:rsidRPr="0064405E">
          <w:rPr>
            <w:rStyle w:val="Hyperlink"/>
            <w:sz w:val="20"/>
          </w:rPr>
          <w:t>https://gothamist.com/news/when-new-yorkers-report-mental-health-crisis-who-should-respond</w:t>
        </w:r>
      </w:hyperlink>
      <w:r w:rsidRPr="0064405E">
        <w:rPr>
          <w:sz w:val="20"/>
        </w:rPr>
        <w:t>.</w:t>
      </w:r>
    </w:p>
  </w:footnote>
  <w:footnote w:id="47">
    <w:p w14:paraId="78AD2C49" w14:textId="77777777" w:rsidR="00FD715C" w:rsidRPr="0064405E" w:rsidRDefault="00FD715C" w:rsidP="00EE4F9A">
      <w:pPr>
        <w:pStyle w:val="FootnoteText"/>
        <w:rPr>
          <w:sz w:val="20"/>
        </w:rPr>
      </w:pPr>
      <w:r w:rsidRPr="0064405E">
        <w:rPr>
          <w:rStyle w:val="FootnoteReference"/>
          <w:sz w:val="20"/>
        </w:rPr>
        <w:footnoteRef/>
      </w:r>
      <w:r w:rsidRPr="0064405E">
        <w:rPr>
          <w:sz w:val="20"/>
        </w:rPr>
        <w:t xml:space="preserve"> New York City Department of Health and Mental Hygiene, supra note </w:t>
      </w:r>
      <w:r w:rsidRPr="0064405E">
        <w:rPr>
          <w:sz w:val="20"/>
        </w:rPr>
        <w:fldChar w:fldCharType="begin"/>
      </w:r>
      <w:r w:rsidRPr="0064405E">
        <w:rPr>
          <w:sz w:val="20"/>
        </w:rPr>
        <w:instrText xml:space="preserve"> NOTEREF _Ref64476004 \h </w:instrText>
      </w:r>
      <w:r>
        <w:rPr>
          <w:sz w:val="20"/>
        </w:rPr>
        <w:instrText xml:space="preserve"> \* MERGEFORMAT </w:instrText>
      </w:r>
      <w:r w:rsidRPr="0064405E">
        <w:rPr>
          <w:sz w:val="20"/>
        </w:rPr>
      </w:r>
      <w:r w:rsidRPr="0064405E">
        <w:rPr>
          <w:sz w:val="20"/>
        </w:rPr>
        <w:fldChar w:fldCharType="separate"/>
      </w:r>
      <w:r w:rsidRPr="0064405E">
        <w:rPr>
          <w:sz w:val="20"/>
        </w:rPr>
        <w:t>76</w:t>
      </w:r>
      <w:r w:rsidRPr="0064405E">
        <w:rPr>
          <w:sz w:val="20"/>
        </w:rPr>
        <w:fldChar w:fldCharType="end"/>
      </w:r>
      <w:r w:rsidRPr="0064405E">
        <w:rPr>
          <w:sz w:val="20"/>
        </w:rPr>
        <w:t>.</w:t>
      </w:r>
    </w:p>
  </w:footnote>
  <w:footnote w:id="48">
    <w:p w14:paraId="2688EBD3" w14:textId="77777777" w:rsidR="00FD715C" w:rsidRPr="0064405E" w:rsidRDefault="00FD715C" w:rsidP="00EE4F9A">
      <w:pPr>
        <w:pStyle w:val="FootnoteText"/>
        <w:rPr>
          <w:sz w:val="20"/>
        </w:rPr>
      </w:pPr>
      <w:r w:rsidRPr="0064405E">
        <w:rPr>
          <w:rStyle w:val="FootnoteReference"/>
          <w:sz w:val="20"/>
        </w:rPr>
        <w:footnoteRef/>
      </w:r>
      <w:r w:rsidRPr="0064405E">
        <w:rPr>
          <w:sz w:val="20"/>
        </w:rPr>
        <w:t xml:space="preserve"> </w:t>
      </w:r>
      <w:r w:rsidRPr="0064405E">
        <w:rPr>
          <w:i/>
          <w:sz w:val="20"/>
        </w:rPr>
        <w:t>Id.</w:t>
      </w:r>
    </w:p>
  </w:footnote>
  <w:footnote w:id="49">
    <w:p w14:paraId="6DCBC881" w14:textId="77777777" w:rsidR="00FD715C" w:rsidRPr="0064405E" w:rsidRDefault="00FD715C" w:rsidP="00EE4F9A">
      <w:pPr>
        <w:pStyle w:val="FootnoteText"/>
        <w:rPr>
          <w:sz w:val="20"/>
        </w:rPr>
      </w:pPr>
      <w:r w:rsidRPr="0064405E">
        <w:rPr>
          <w:rStyle w:val="FootnoteReference"/>
          <w:sz w:val="20"/>
        </w:rPr>
        <w:footnoteRef/>
      </w:r>
      <w:r w:rsidRPr="0064405E">
        <w:rPr>
          <w:sz w:val="20"/>
        </w:rPr>
        <w:t xml:space="preserve"> Lewis, supra note </w:t>
      </w:r>
      <w:r w:rsidRPr="0064405E">
        <w:rPr>
          <w:sz w:val="20"/>
        </w:rPr>
        <w:fldChar w:fldCharType="begin"/>
      </w:r>
      <w:r w:rsidRPr="0064405E">
        <w:rPr>
          <w:sz w:val="20"/>
        </w:rPr>
        <w:instrText xml:space="preserve"> NOTEREF _Ref64476049 \h </w:instrText>
      </w:r>
      <w:r>
        <w:rPr>
          <w:sz w:val="20"/>
        </w:rPr>
        <w:instrText xml:space="preserve"> \* MERGEFORMAT </w:instrText>
      </w:r>
      <w:r w:rsidRPr="0064405E">
        <w:rPr>
          <w:sz w:val="20"/>
        </w:rPr>
      </w:r>
      <w:r w:rsidRPr="0064405E">
        <w:rPr>
          <w:sz w:val="20"/>
        </w:rPr>
        <w:fldChar w:fldCharType="separate"/>
      </w:r>
      <w:r w:rsidRPr="0064405E">
        <w:rPr>
          <w:sz w:val="20"/>
        </w:rPr>
        <w:t>80</w:t>
      </w:r>
      <w:r w:rsidRPr="0064405E">
        <w:rPr>
          <w:sz w:val="20"/>
        </w:rPr>
        <w:fldChar w:fldCharType="end"/>
      </w:r>
      <w:r w:rsidRPr="0064405E">
        <w:rPr>
          <w:sz w:val="20"/>
        </w:rPr>
        <w:t>.</w:t>
      </w:r>
    </w:p>
  </w:footnote>
  <w:footnote w:id="50">
    <w:p w14:paraId="3DD7E850" w14:textId="77777777" w:rsidR="00FD715C" w:rsidRPr="0064405E" w:rsidRDefault="00FD715C" w:rsidP="00EE4F9A">
      <w:pPr>
        <w:pStyle w:val="FootnoteText"/>
        <w:rPr>
          <w:sz w:val="20"/>
        </w:rPr>
      </w:pPr>
      <w:r w:rsidRPr="0064405E">
        <w:rPr>
          <w:rStyle w:val="FootnoteReference"/>
          <w:sz w:val="20"/>
        </w:rPr>
        <w:footnoteRef/>
      </w:r>
      <w:r w:rsidRPr="0064405E">
        <w:rPr>
          <w:sz w:val="20"/>
        </w:rPr>
        <w:t xml:space="preserve"> NYC Well, “Mobile Crisis Team Referral”, last accessed February 17, 2021, Available at: </w:t>
      </w:r>
      <w:hyperlink r:id="rId16" w:history="1">
        <w:r w:rsidRPr="0064405E">
          <w:rPr>
            <w:rStyle w:val="Hyperlink"/>
            <w:sz w:val="20"/>
          </w:rPr>
          <w:t>https://nycwell.demo.mhaofnyc.org/en/providers/mct-referral/</w:t>
        </w:r>
      </w:hyperlink>
      <w:r w:rsidRPr="0064405E">
        <w:rPr>
          <w:sz w:val="20"/>
        </w:rPr>
        <w:t>.</w:t>
      </w:r>
    </w:p>
  </w:footnote>
  <w:footnote w:id="51">
    <w:p w14:paraId="1EF80AD3" w14:textId="77777777" w:rsidR="00FD715C" w:rsidRPr="0064405E" w:rsidRDefault="00FD715C" w:rsidP="00EE4F9A">
      <w:pPr>
        <w:pStyle w:val="FootnoteText"/>
        <w:rPr>
          <w:sz w:val="20"/>
        </w:rPr>
      </w:pPr>
      <w:r w:rsidRPr="0064405E">
        <w:rPr>
          <w:rStyle w:val="FootnoteReference"/>
          <w:sz w:val="20"/>
        </w:rPr>
        <w:footnoteRef/>
      </w:r>
      <w:r w:rsidRPr="0064405E">
        <w:rPr>
          <w:sz w:val="20"/>
        </w:rPr>
        <w:t xml:space="preserve"> Lewis, supra note </w:t>
      </w:r>
      <w:r w:rsidRPr="0064405E">
        <w:rPr>
          <w:sz w:val="20"/>
        </w:rPr>
        <w:fldChar w:fldCharType="begin"/>
      </w:r>
      <w:r w:rsidRPr="0064405E">
        <w:rPr>
          <w:sz w:val="20"/>
        </w:rPr>
        <w:instrText xml:space="preserve"> NOTEREF _Ref64476049 \h </w:instrText>
      </w:r>
      <w:r>
        <w:rPr>
          <w:sz w:val="20"/>
        </w:rPr>
        <w:instrText xml:space="preserve"> \* MERGEFORMAT </w:instrText>
      </w:r>
      <w:r w:rsidRPr="0064405E">
        <w:rPr>
          <w:sz w:val="20"/>
        </w:rPr>
      </w:r>
      <w:r w:rsidRPr="0064405E">
        <w:rPr>
          <w:sz w:val="20"/>
        </w:rPr>
        <w:fldChar w:fldCharType="separate"/>
      </w:r>
      <w:r w:rsidRPr="0064405E">
        <w:rPr>
          <w:sz w:val="20"/>
        </w:rPr>
        <w:t>80</w:t>
      </w:r>
      <w:r w:rsidRPr="0064405E">
        <w:rPr>
          <w:sz w:val="20"/>
        </w:rPr>
        <w:fldChar w:fldCharType="end"/>
      </w:r>
      <w:r w:rsidRPr="0064405E">
        <w:rPr>
          <w:sz w:val="20"/>
        </w:rPr>
        <w:t>.</w:t>
      </w:r>
    </w:p>
  </w:footnote>
  <w:footnote w:id="52">
    <w:p w14:paraId="2CC3F840" w14:textId="77777777" w:rsidR="00FD715C" w:rsidRPr="0064405E" w:rsidRDefault="00FD715C" w:rsidP="00EE4F9A">
      <w:pPr>
        <w:pStyle w:val="FootnoteText"/>
        <w:rPr>
          <w:sz w:val="20"/>
        </w:rPr>
      </w:pPr>
      <w:r w:rsidRPr="0064405E">
        <w:rPr>
          <w:rStyle w:val="FootnoteReference"/>
          <w:sz w:val="20"/>
        </w:rPr>
        <w:footnoteRef/>
      </w:r>
      <w:r w:rsidRPr="0064405E">
        <w:rPr>
          <w:i/>
          <w:sz w:val="20"/>
        </w:rPr>
        <w:t xml:space="preserve"> Id.</w:t>
      </w:r>
    </w:p>
  </w:footnote>
  <w:footnote w:id="53">
    <w:p w14:paraId="7517808B" w14:textId="77777777" w:rsidR="00FD715C" w:rsidRPr="0064405E" w:rsidRDefault="00FD715C" w:rsidP="00EE4F9A">
      <w:pPr>
        <w:pStyle w:val="FootnoteText"/>
        <w:rPr>
          <w:sz w:val="20"/>
        </w:rPr>
      </w:pPr>
      <w:r w:rsidRPr="0064405E">
        <w:rPr>
          <w:rStyle w:val="FootnoteReference"/>
          <w:sz w:val="20"/>
        </w:rPr>
        <w:footnoteRef/>
      </w:r>
      <w:r w:rsidRPr="0064405E">
        <w:rPr>
          <w:sz w:val="20"/>
        </w:rPr>
        <w:t xml:space="preserve"> </w:t>
      </w:r>
      <w:r w:rsidRPr="0064405E">
        <w:rPr>
          <w:i/>
          <w:sz w:val="20"/>
        </w:rPr>
        <w:t>Id.</w:t>
      </w:r>
    </w:p>
  </w:footnote>
  <w:footnote w:id="54">
    <w:p w14:paraId="21AB57C6" w14:textId="77777777" w:rsidR="00FD715C" w:rsidRPr="0064405E" w:rsidRDefault="00FD715C" w:rsidP="00EE4F9A">
      <w:pPr>
        <w:pStyle w:val="FootnoteText"/>
        <w:rPr>
          <w:sz w:val="20"/>
        </w:rPr>
      </w:pPr>
      <w:r w:rsidRPr="0064405E">
        <w:rPr>
          <w:rStyle w:val="FootnoteReference"/>
          <w:sz w:val="20"/>
        </w:rPr>
        <w:footnoteRef/>
      </w:r>
      <w:r w:rsidRPr="0064405E">
        <w:rPr>
          <w:sz w:val="20"/>
        </w:rPr>
        <w:t xml:space="preserve"> </w:t>
      </w:r>
      <w:r w:rsidRPr="0064405E">
        <w:rPr>
          <w:i/>
          <w:sz w:val="20"/>
        </w:rPr>
        <w:t>Id.</w:t>
      </w:r>
    </w:p>
  </w:footnote>
  <w:footnote w:id="55">
    <w:p w14:paraId="45530366" w14:textId="77777777" w:rsidR="00FD715C" w:rsidRPr="0064405E" w:rsidRDefault="00FD715C" w:rsidP="00EE4F9A">
      <w:pPr>
        <w:pStyle w:val="FootnoteText"/>
        <w:rPr>
          <w:sz w:val="20"/>
        </w:rPr>
      </w:pPr>
      <w:r w:rsidRPr="0064405E">
        <w:rPr>
          <w:rStyle w:val="FootnoteReference"/>
          <w:sz w:val="20"/>
        </w:rPr>
        <w:footnoteRef/>
      </w:r>
      <w:r w:rsidRPr="0064405E">
        <w:rPr>
          <w:sz w:val="20"/>
        </w:rPr>
        <w:t xml:space="preserve"> </w:t>
      </w:r>
      <w:r w:rsidRPr="0064405E">
        <w:rPr>
          <w:i/>
          <w:sz w:val="20"/>
        </w:rPr>
        <w:t>Id.</w:t>
      </w:r>
    </w:p>
  </w:footnote>
  <w:footnote w:id="56">
    <w:p w14:paraId="1CB629F0" w14:textId="77777777" w:rsidR="00FD715C" w:rsidRPr="00683A06" w:rsidRDefault="00FD715C" w:rsidP="00EE4F9A">
      <w:pPr>
        <w:pStyle w:val="FootnoteText"/>
        <w:rPr>
          <w:b/>
          <w:bCs/>
          <w:sz w:val="20"/>
        </w:rPr>
      </w:pPr>
      <w:r w:rsidRPr="00683A06">
        <w:rPr>
          <w:rStyle w:val="FootnoteReference"/>
          <w:sz w:val="20"/>
        </w:rPr>
        <w:footnoteRef/>
      </w:r>
      <w:r w:rsidRPr="00683A06">
        <w:rPr>
          <w:sz w:val="20"/>
        </w:rPr>
        <w:t xml:space="preserve"> Office of the Mayor, “</w:t>
      </w:r>
      <w:r w:rsidRPr="00683A06">
        <w:rPr>
          <w:bCs/>
          <w:sz w:val="20"/>
        </w:rPr>
        <w:t>Mayor de Blasio, First Lady McCray and City Council Members Announce $37 Million Annual Investment in New Strategies to Address Serious Mental Illness”, October, 21, 2019, Available at:</w:t>
      </w:r>
      <w:r w:rsidRPr="00683A06">
        <w:rPr>
          <w:b/>
          <w:bCs/>
          <w:sz w:val="20"/>
        </w:rPr>
        <w:t xml:space="preserve"> </w:t>
      </w:r>
      <w:hyperlink r:id="rId17" w:history="1">
        <w:r w:rsidRPr="00683A06">
          <w:rPr>
            <w:rStyle w:val="Hyperlink"/>
            <w:sz w:val="20"/>
          </w:rPr>
          <w:t>https://www1.nyc.gov/office-of-the-mayor/news/496-19/mayor-de-blasio-first-lady-mccray-city-council-members-37-million-annual-investment</w:t>
        </w:r>
      </w:hyperlink>
      <w:r w:rsidRPr="00683A06">
        <w:rPr>
          <w:sz w:val="20"/>
        </w:rPr>
        <w:t>.</w:t>
      </w:r>
    </w:p>
  </w:footnote>
  <w:footnote w:id="57">
    <w:p w14:paraId="1373936A" w14:textId="77777777" w:rsidR="00FD715C" w:rsidRPr="00683A06" w:rsidRDefault="00FD715C" w:rsidP="00EE4F9A">
      <w:pPr>
        <w:pStyle w:val="FootnoteText"/>
        <w:rPr>
          <w:sz w:val="20"/>
        </w:rPr>
      </w:pPr>
      <w:r w:rsidRPr="00683A06">
        <w:rPr>
          <w:rStyle w:val="FootnoteReference"/>
          <w:sz w:val="20"/>
        </w:rPr>
        <w:footnoteRef/>
      </w:r>
      <w:r w:rsidRPr="00683A06">
        <w:rPr>
          <w:sz w:val="20"/>
        </w:rPr>
        <w:t xml:space="preserve"> </w:t>
      </w:r>
      <w:r w:rsidRPr="00683A06">
        <w:rPr>
          <w:i/>
          <w:sz w:val="20"/>
        </w:rPr>
        <w:t>Id.</w:t>
      </w:r>
    </w:p>
  </w:footnote>
  <w:footnote w:id="58">
    <w:p w14:paraId="53EAF7F6" w14:textId="77777777" w:rsidR="00FD715C" w:rsidRPr="00683A06" w:rsidRDefault="00FD715C" w:rsidP="00EE4F9A">
      <w:pPr>
        <w:pStyle w:val="FootnoteText"/>
        <w:rPr>
          <w:sz w:val="20"/>
        </w:rPr>
      </w:pPr>
      <w:r w:rsidRPr="00683A06">
        <w:rPr>
          <w:rStyle w:val="FootnoteReference"/>
          <w:sz w:val="20"/>
        </w:rPr>
        <w:footnoteRef/>
      </w:r>
      <w:r w:rsidRPr="00683A06">
        <w:rPr>
          <w:sz w:val="20"/>
        </w:rPr>
        <w:t xml:space="preserve"> CCIT-NYC, “Our Proposal”, last accessed February, 17, 2021, Available at: </w:t>
      </w:r>
      <w:hyperlink r:id="rId18" w:history="1">
        <w:r w:rsidRPr="00683A06">
          <w:rPr>
            <w:rStyle w:val="Hyperlink"/>
            <w:sz w:val="20"/>
          </w:rPr>
          <w:t>http://www.ccitnyc.org/who-we-are/our-proposal/</w:t>
        </w:r>
      </w:hyperlink>
      <w:r w:rsidRPr="00683A06">
        <w:rPr>
          <w:sz w:val="20"/>
        </w:rPr>
        <w:t>.</w:t>
      </w:r>
    </w:p>
  </w:footnote>
  <w:footnote w:id="59">
    <w:p w14:paraId="783789E1" w14:textId="77777777" w:rsidR="00FD715C" w:rsidRPr="00683A06" w:rsidRDefault="00FD715C" w:rsidP="00EE4F9A">
      <w:pPr>
        <w:pStyle w:val="FootnoteText"/>
        <w:rPr>
          <w:sz w:val="20"/>
        </w:rPr>
      </w:pPr>
      <w:r w:rsidRPr="00683A06">
        <w:rPr>
          <w:rStyle w:val="FootnoteReference"/>
          <w:sz w:val="20"/>
        </w:rPr>
        <w:footnoteRef/>
      </w:r>
      <w:r w:rsidRPr="00683A06">
        <w:rPr>
          <w:sz w:val="20"/>
        </w:rPr>
        <w:t xml:space="preserve"> Truman Stephens, “De Blasio’s Promised ‘Comprehensive Strategy’ for City Response to People in Mental Health Crisis is Well Behind Schedule”, August 23, 2019, Available at: </w:t>
      </w:r>
      <w:hyperlink r:id="rId19" w:history="1">
        <w:r w:rsidRPr="00683A06">
          <w:rPr>
            <w:rStyle w:val="Hyperlink"/>
            <w:sz w:val="20"/>
          </w:rPr>
          <w:t>https://www.gothamgazette.com/city/8754-de-blasio-s-promised-comprehensive-strategy-for-city-response-to-people-in-mental-health-crisis-is-well-behind-schedule</w:t>
        </w:r>
      </w:hyperlink>
      <w:r w:rsidRPr="00683A06">
        <w:rPr>
          <w:sz w:val="20"/>
        </w:rPr>
        <w:t>.</w:t>
      </w:r>
    </w:p>
  </w:footnote>
  <w:footnote w:id="60">
    <w:p w14:paraId="05B18410" w14:textId="77777777" w:rsidR="00FD715C" w:rsidRPr="00683A06" w:rsidRDefault="00FD715C" w:rsidP="00EE4F9A">
      <w:pPr>
        <w:pStyle w:val="FootnoteText"/>
        <w:rPr>
          <w:sz w:val="20"/>
        </w:rPr>
      </w:pPr>
      <w:r w:rsidRPr="00683A06">
        <w:rPr>
          <w:rStyle w:val="FootnoteReference"/>
          <w:sz w:val="20"/>
        </w:rPr>
        <w:footnoteRef/>
      </w:r>
      <w:r w:rsidRPr="00683A06">
        <w:rPr>
          <w:sz w:val="20"/>
        </w:rPr>
        <w:t xml:space="preserve"> Office of the Mayor, supra note </w:t>
      </w:r>
      <w:r w:rsidRPr="00683A06">
        <w:rPr>
          <w:sz w:val="20"/>
        </w:rPr>
        <w:fldChar w:fldCharType="begin"/>
      </w:r>
      <w:r w:rsidRPr="00683A06">
        <w:rPr>
          <w:sz w:val="20"/>
        </w:rPr>
        <w:instrText xml:space="preserve"> NOTEREF _Ref64473087 \h </w:instrText>
      </w:r>
      <w:r>
        <w:rPr>
          <w:sz w:val="20"/>
        </w:rPr>
        <w:instrText xml:space="preserve"> \* MERGEFORMAT </w:instrText>
      </w:r>
      <w:r w:rsidRPr="00683A06">
        <w:rPr>
          <w:sz w:val="20"/>
        </w:rPr>
      </w:r>
      <w:r w:rsidRPr="00683A06">
        <w:rPr>
          <w:sz w:val="20"/>
        </w:rPr>
        <w:fldChar w:fldCharType="separate"/>
      </w:r>
      <w:r w:rsidRPr="00683A06">
        <w:rPr>
          <w:sz w:val="20"/>
        </w:rPr>
        <w:t>47</w:t>
      </w:r>
      <w:r w:rsidRPr="00683A06">
        <w:rPr>
          <w:sz w:val="20"/>
        </w:rPr>
        <w:fldChar w:fldCharType="end"/>
      </w:r>
      <w:r w:rsidRPr="00683A06">
        <w:rPr>
          <w:sz w:val="20"/>
        </w:rPr>
        <w:t>.</w:t>
      </w:r>
    </w:p>
  </w:footnote>
  <w:footnote w:id="61">
    <w:p w14:paraId="06240F17" w14:textId="77777777" w:rsidR="00FD715C" w:rsidRPr="00683A06" w:rsidRDefault="00FD715C" w:rsidP="00EE4F9A">
      <w:pPr>
        <w:pStyle w:val="FootnoteText"/>
        <w:rPr>
          <w:i/>
          <w:sz w:val="20"/>
        </w:rPr>
      </w:pPr>
      <w:r w:rsidRPr="00683A06">
        <w:rPr>
          <w:rStyle w:val="FootnoteReference"/>
          <w:sz w:val="20"/>
        </w:rPr>
        <w:footnoteRef/>
      </w:r>
      <w:r w:rsidRPr="00683A06">
        <w:rPr>
          <w:sz w:val="20"/>
        </w:rPr>
        <w:t xml:space="preserve"> </w:t>
      </w:r>
      <w:r w:rsidRPr="00683A06">
        <w:rPr>
          <w:i/>
          <w:sz w:val="20"/>
        </w:rPr>
        <w:t>Id.</w:t>
      </w:r>
    </w:p>
  </w:footnote>
  <w:footnote w:id="62">
    <w:p w14:paraId="30639E74" w14:textId="77777777" w:rsidR="00FD715C" w:rsidRPr="00683A06" w:rsidRDefault="00FD715C" w:rsidP="00EE4F9A">
      <w:pPr>
        <w:pStyle w:val="FootnoteText"/>
        <w:rPr>
          <w:sz w:val="20"/>
        </w:rPr>
      </w:pPr>
      <w:r w:rsidRPr="00683A06">
        <w:rPr>
          <w:rStyle w:val="FootnoteReference"/>
          <w:sz w:val="20"/>
        </w:rPr>
        <w:footnoteRef/>
      </w:r>
      <w:r w:rsidRPr="00683A06">
        <w:rPr>
          <w:sz w:val="20"/>
        </w:rPr>
        <w:t xml:space="preserve"> </w:t>
      </w:r>
      <w:r w:rsidRPr="00683A06">
        <w:rPr>
          <w:i/>
          <w:sz w:val="20"/>
        </w:rPr>
        <w:t>Id.</w:t>
      </w:r>
    </w:p>
  </w:footnote>
  <w:footnote w:id="63">
    <w:p w14:paraId="78C28B59" w14:textId="77777777" w:rsidR="00FD715C" w:rsidRPr="00683A06" w:rsidRDefault="00FD715C" w:rsidP="00EE4F9A">
      <w:pPr>
        <w:pStyle w:val="FootnoteText"/>
        <w:rPr>
          <w:sz w:val="20"/>
        </w:rPr>
      </w:pPr>
      <w:r w:rsidRPr="00683A06">
        <w:rPr>
          <w:rStyle w:val="FootnoteReference"/>
          <w:sz w:val="20"/>
        </w:rPr>
        <w:footnoteRef/>
      </w:r>
      <w:r w:rsidRPr="00683A06">
        <w:rPr>
          <w:sz w:val="20"/>
        </w:rPr>
        <w:t xml:space="preserve"> </w:t>
      </w:r>
      <w:r w:rsidRPr="00683A06">
        <w:rPr>
          <w:i/>
          <w:sz w:val="20"/>
        </w:rPr>
        <w:t>Id.</w:t>
      </w:r>
    </w:p>
  </w:footnote>
  <w:footnote w:id="64">
    <w:p w14:paraId="5A68D2E9" w14:textId="77777777" w:rsidR="00FD715C" w:rsidRDefault="00FD715C" w:rsidP="00EE4F9A">
      <w:pPr>
        <w:pStyle w:val="FootnoteText"/>
      </w:pPr>
      <w:r w:rsidRPr="00683A06">
        <w:rPr>
          <w:rStyle w:val="FootnoteReference"/>
          <w:sz w:val="20"/>
        </w:rPr>
        <w:footnoteRef/>
      </w:r>
      <w:r w:rsidRPr="00683A06">
        <w:rPr>
          <w:sz w:val="20"/>
        </w:rPr>
        <w:t xml:space="preserve"> </w:t>
      </w:r>
      <w:r w:rsidRPr="00683A06">
        <w:rPr>
          <w:i/>
          <w:sz w:val="20"/>
        </w:rPr>
        <w:t>Id.</w:t>
      </w:r>
    </w:p>
  </w:footnote>
  <w:footnote w:id="65">
    <w:p w14:paraId="02701EF9" w14:textId="77777777" w:rsidR="00FD715C" w:rsidRPr="00BA2F14" w:rsidRDefault="00FD715C" w:rsidP="00EE4F9A">
      <w:pPr>
        <w:pStyle w:val="FootnoteText"/>
        <w:rPr>
          <w:sz w:val="20"/>
        </w:rPr>
      </w:pPr>
      <w:r w:rsidRPr="00BA2F14">
        <w:rPr>
          <w:rStyle w:val="FootnoteReference"/>
          <w:sz w:val="20"/>
        </w:rPr>
        <w:footnoteRef/>
      </w:r>
      <w:r w:rsidRPr="00BA2F14">
        <w:rPr>
          <w:sz w:val="20"/>
        </w:rPr>
        <w:t xml:space="preserve"> </w:t>
      </w:r>
      <w:r w:rsidRPr="00BA2F14">
        <w:rPr>
          <w:i/>
          <w:sz w:val="20"/>
        </w:rPr>
        <w:t>Id.</w:t>
      </w:r>
    </w:p>
  </w:footnote>
  <w:footnote w:id="66">
    <w:p w14:paraId="2260E045" w14:textId="77777777" w:rsidR="00FD715C" w:rsidRPr="00BA2F14" w:rsidRDefault="00FD715C">
      <w:pPr>
        <w:pStyle w:val="FootnoteText"/>
        <w:rPr>
          <w:sz w:val="20"/>
        </w:rPr>
      </w:pPr>
      <w:r w:rsidRPr="00BA2F14">
        <w:rPr>
          <w:rStyle w:val="FootnoteReference"/>
          <w:sz w:val="20"/>
        </w:rPr>
        <w:footnoteRef/>
      </w:r>
      <w:r w:rsidRPr="00BA2F14">
        <w:rPr>
          <w:sz w:val="20"/>
        </w:rPr>
        <w:t xml:space="preserve"> See, e.g., “</w:t>
      </w:r>
      <w:r w:rsidRPr="00BA2F14">
        <w:rPr>
          <w:bCs/>
          <w:spacing w:val="-1"/>
          <w:sz w:val="20"/>
        </w:rPr>
        <w:t xml:space="preserve">Mental Health and Police Violence: How Crisis Intervention Teams are Failing,” NPR, </w:t>
      </w:r>
      <w:r w:rsidRPr="00BA2F14">
        <w:rPr>
          <w:rStyle w:val="Date1"/>
          <w:sz w:val="20"/>
          <w:bdr w:val="none" w:sz="0" w:space="0" w:color="auto" w:frame="1"/>
        </w:rPr>
        <w:t xml:space="preserve">Sept. 18, 2020, available at </w:t>
      </w:r>
      <w:hyperlink r:id="rId20" w:history="1">
        <w:r w:rsidRPr="00BA2F14">
          <w:rPr>
            <w:rStyle w:val="Hyperlink"/>
            <w:sz w:val="20"/>
            <w:bdr w:val="none" w:sz="0" w:space="0" w:color="auto" w:frame="1"/>
          </w:rPr>
          <w:t>https://www.npr.org/2020/09/18/913229469/mental-health-and-police-violence-how-crisis-intervention-teams-are-failing</w:t>
        </w:r>
      </w:hyperlink>
      <w:r w:rsidRPr="00BA2F14">
        <w:rPr>
          <w:rStyle w:val="Date1"/>
          <w:color w:val="767676"/>
          <w:sz w:val="20"/>
          <w:bdr w:val="none" w:sz="0" w:space="0" w:color="auto" w:frame="1"/>
        </w:rPr>
        <w:t xml:space="preserve">. </w:t>
      </w:r>
      <w:r w:rsidRPr="00BA2F14">
        <w:rPr>
          <w:sz w:val="20"/>
        </w:rPr>
        <w:t>It is important to note that “EDP” is a term that has been used for many years by NYPD, and has been widely criticized. The use of the term “EDP” by police underlines the inappropriateness of having a non-behavioral health police response to mental health emergencies.</w:t>
      </w:r>
    </w:p>
  </w:footnote>
  <w:footnote w:id="67">
    <w:p w14:paraId="7988782E" w14:textId="77777777" w:rsidR="00FD715C" w:rsidRPr="00BA2F14" w:rsidRDefault="00FD715C">
      <w:pPr>
        <w:pStyle w:val="FootnoteText"/>
        <w:rPr>
          <w:sz w:val="20"/>
        </w:rPr>
      </w:pPr>
      <w:r w:rsidRPr="00BA2F14">
        <w:rPr>
          <w:rStyle w:val="FootnoteReference"/>
          <w:sz w:val="20"/>
        </w:rPr>
        <w:footnoteRef/>
      </w:r>
      <w:r w:rsidRPr="00BA2F14">
        <w:rPr>
          <w:sz w:val="20"/>
        </w:rPr>
        <w:t xml:space="preserve"> “The NYPD’s Mental Illness Response Breakdown,” The City, Mar. 21, 2019, available at </w:t>
      </w:r>
      <w:hyperlink r:id="rId21" w:history="1">
        <w:r w:rsidRPr="00BA2F14">
          <w:rPr>
            <w:rStyle w:val="Hyperlink"/>
            <w:sz w:val="20"/>
          </w:rPr>
          <w:t>https://www.thecity.nyc/special-report/2019/3/21/21211184/the-nypd-s-mental-illness-response-breakdown</w:t>
        </w:r>
      </w:hyperlink>
      <w:r w:rsidRPr="00BA2F14">
        <w:rPr>
          <w:sz w:val="20"/>
        </w:rPr>
        <w:t>.</w:t>
      </w:r>
    </w:p>
  </w:footnote>
  <w:footnote w:id="68">
    <w:p w14:paraId="037767A3" w14:textId="77777777" w:rsidR="00FD715C" w:rsidRPr="00BA2F14" w:rsidRDefault="00FD715C" w:rsidP="0017172A">
      <w:pPr>
        <w:pStyle w:val="FootnoteText"/>
        <w:rPr>
          <w:sz w:val="20"/>
        </w:rPr>
      </w:pPr>
      <w:r w:rsidRPr="00BA2F14">
        <w:rPr>
          <w:rStyle w:val="FootnoteReference"/>
          <w:sz w:val="20"/>
        </w:rPr>
        <w:footnoteRef/>
      </w:r>
      <w:r w:rsidRPr="00BA2F14">
        <w:rPr>
          <w:sz w:val="20"/>
        </w:rPr>
        <w:t xml:space="preserve"> </w:t>
      </w:r>
      <w:r w:rsidRPr="00BA2F14">
        <w:rPr>
          <w:i/>
          <w:sz w:val="20"/>
        </w:rPr>
        <w:t>Id</w:t>
      </w:r>
      <w:r w:rsidRPr="00BA2F14">
        <w:rPr>
          <w:sz w:val="20"/>
        </w:rPr>
        <w:t>.</w:t>
      </w:r>
    </w:p>
  </w:footnote>
  <w:footnote w:id="69">
    <w:p w14:paraId="16CF937C" w14:textId="77777777" w:rsidR="00FD715C" w:rsidRPr="00BA2F14" w:rsidRDefault="00FD715C">
      <w:pPr>
        <w:pStyle w:val="FootnoteText"/>
        <w:rPr>
          <w:sz w:val="20"/>
        </w:rPr>
      </w:pPr>
      <w:r w:rsidRPr="00BA2F14">
        <w:rPr>
          <w:rStyle w:val="FootnoteReference"/>
          <w:sz w:val="20"/>
        </w:rPr>
        <w:footnoteRef/>
      </w:r>
      <w:r w:rsidRPr="00BA2F14">
        <w:rPr>
          <w:sz w:val="20"/>
        </w:rPr>
        <w:t xml:space="preserve"> “</w:t>
      </w:r>
      <w:r w:rsidRPr="00BA2F14">
        <w:rPr>
          <w:bCs/>
          <w:spacing w:val="-1"/>
          <w:sz w:val="20"/>
        </w:rPr>
        <w:t xml:space="preserve">Mental Health and Police Violence: How Crisis Intervention Teams are Failing,” NPR, </w:t>
      </w:r>
      <w:r w:rsidRPr="00BA2F14">
        <w:rPr>
          <w:rStyle w:val="Date1"/>
          <w:sz w:val="20"/>
          <w:bdr w:val="none" w:sz="0" w:space="0" w:color="auto" w:frame="1"/>
        </w:rPr>
        <w:t xml:space="preserve">Sept. 18, 2020, available at </w:t>
      </w:r>
      <w:hyperlink r:id="rId22" w:history="1">
        <w:r w:rsidRPr="00BA2F14">
          <w:rPr>
            <w:rStyle w:val="Hyperlink"/>
            <w:sz w:val="20"/>
            <w:bdr w:val="none" w:sz="0" w:space="0" w:color="auto" w:frame="1"/>
          </w:rPr>
          <w:t>https://www.npr.org/2020/09/18/913229469/mental-health-and-police-violence-how-crisis-intervention-teams-are-failing</w:t>
        </w:r>
      </w:hyperlink>
      <w:r w:rsidRPr="00BA2F14">
        <w:rPr>
          <w:rStyle w:val="Date1"/>
          <w:color w:val="767676"/>
          <w:sz w:val="20"/>
          <w:bdr w:val="none" w:sz="0" w:space="0" w:color="auto" w:frame="1"/>
        </w:rPr>
        <w:t>.</w:t>
      </w:r>
    </w:p>
  </w:footnote>
  <w:footnote w:id="70">
    <w:p w14:paraId="3459C986" w14:textId="77777777" w:rsidR="00FD715C" w:rsidRPr="00BA2F14" w:rsidRDefault="00FD715C">
      <w:pPr>
        <w:pStyle w:val="FootnoteText"/>
        <w:rPr>
          <w:sz w:val="20"/>
        </w:rPr>
      </w:pPr>
      <w:r w:rsidRPr="00BA2F14">
        <w:rPr>
          <w:rStyle w:val="FootnoteReference"/>
          <w:sz w:val="20"/>
        </w:rPr>
        <w:footnoteRef/>
      </w:r>
      <w:r w:rsidRPr="00BA2F14">
        <w:rPr>
          <w:sz w:val="20"/>
        </w:rPr>
        <w:t xml:space="preserve"> </w:t>
      </w:r>
      <w:r w:rsidRPr="00BA2F14">
        <w:rPr>
          <w:i/>
          <w:sz w:val="20"/>
        </w:rPr>
        <w:t>Id</w:t>
      </w:r>
      <w:r w:rsidRPr="00BA2F14">
        <w:rPr>
          <w:sz w:val="20"/>
        </w:rPr>
        <w:t>.</w:t>
      </w:r>
    </w:p>
  </w:footnote>
  <w:footnote w:id="71">
    <w:p w14:paraId="7394EC79" w14:textId="77777777" w:rsidR="00FD715C" w:rsidRPr="00BA2F14" w:rsidRDefault="00FD715C">
      <w:pPr>
        <w:pStyle w:val="FootnoteText"/>
        <w:rPr>
          <w:sz w:val="20"/>
        </w:rPr>
      </w:pPr>
      <w:r w:rsidRPr="00BA2F14">
        <w:rPr>
          <w:rStyle w:val="FootnoteReference"/>
          <w:sz w:val="20"/>
        </w:rPr>
        <w:footnoteRef/>
      </w:r>
      <w:r w:rsidRPr="00BA2F14">
        <w:rPr>
          <w:sz w:val="20"/>
        </w:rPr>
        <w:t xml:space="preserve"> “The NYPD’s Mental Illness Response Breakdown,” The City, Mar. 21, 2019, available at </w:t>
      </w:r>
      <w:hyperlink r:id="rId23" w:history="1">
        <w:r w:rsidRPr="00BA2F14">
          <w:rPr>
            <w:rStyle w:val="Hyperlink"/>
            <w:sz w:val="20"/>
          </w:rPr>
          <w:t>https://www.thecity.nyc/special-report/2019/3/21/21211184/the-nypd-s-mental-illness-response-breakdown</w:t>
        </w:r>
      </w:hyperlink>
      <w:r w:rsidRPr="00BA2F14">
        <w:rPr>
          <w:sz w:val="20"/>
        </w:rPr>
        <w:t>.</w:t>
      </w:r>
    </w:p>
  </w:footnote>
  <w:footnote w:id="72">
    <w:p w14:paraId="3340D325" w14:textId="77777777" w:rsidR="00FD715C" w:rsidRPr="00BA2F14" w:rsidRDefault="00FD715C">
      <w:pPr>
        <w:pStyle w:val="FootnoteText"/>
        <w:rPr>
          <w:sz w:val="20"/>
        </w:rPr>
      </w:pPr>
      <w:r w:rsidRPr="00BA2F14">
        <w:rPr>
          <w:rStyle w:val="FootnoteReference"/>
          <w:sz w:val="20"/>
        </w:rPr>
        <w:footnoteRef/>
      </w:r>
      <w:r w:rsidRPr="00BA2F14">
        <w:rPr>
          <w:sz w:val="20"/>
        </w:rPr>
        <w:t xml:space="preserve"> See, e.g., “Cops shouldn't be first at scene in mental health crises. NYC pilot program needed nationwide,” USA Today, Dec. 2, 2020, available at </w:t>
      </w:r>
      <w:hyperlink r:id="rId24" w:history="1">
        <w:r w:rsidRPr="00BA2F14">
          <w:rPr>
            <w:rStyle w:val="Hyperlink"/>
            <w:sz w:val="20"/>
          </w:rPr>
          <w:t>https://www.usatoday.com/story/opinion/policing/2020/12/02/cops-shouldnt-first-mental-health-call-ny-program-needed-nationwide-column/6422931002/</w:t>
        </w:r>
      </w:hyperlink>
      <w:r w:rsidRPr="00BA2F14">
        <w:rPr>
          <w:sz w:val="20"/>
        </w:rPr>
        <w:t xml:space="preserve">. </w:t>
      </w:r>
    </w:p>
  </w:footnote>
  <w:footnote w:id="73">
    <w:p w14:paraId="58F10F93" w14:textId="77777777" w:rsidR="00FD715C" w:rsidRPr="00BA2F14" w:rsidRDefault="00FD715C">
      <w:pPr>
        <w:pStyle w:val="FootnoteText"/>
        <w:rPr>
          <w:sz w:val="20"/>
        </w:rPr>
      </w:pPr>
      <w:r w:rsidRPr="00BA2F14">
        <w:rPr>
          <w:rStyle w:val="FootnoteReference"/>
          <w:sz w:val="20"/>
        </w:rPr>
        <w:footnoteRef/>
      </w:r>
      <w:r w:rsidRPr="00BA2F14">
        <w:rPr>
          <w:sz w:val="20"/>
        </w:rPr>
        <w:t xml:space="preserve"> Id.</w:t>
      </w:r>
    </w:p>
  </w:footnote>
  <w:footnote w:id="74">
    <w:p w14:paraId="32EF7224" w14:textId="77777777" w:rsidR="00FD715C" w:rsidRPr="00BA2F14" w:rsidRDefault="00FD715C">
      <w:pPr>
        <w:pStyle w:val="FootnoteText"/>
        <w:rPr>
          <w:sz w:val="20"/>
        </w:rPr>
      </w:pPr>
      <w:r w:rsidRPr="00BA2F14">
        <w:rPr>
          <w:rStyle w:val="FootnoteReference"/>
          <w:sz w:val="20"/>
        </w:rPr>
        <w:footnoteRef/>
      </w:r>
      <w:r w:rsidRPr="00BA2F14">
        <w:rPr>
          <w:sz w:val="20"/>
        </w:rPr>
        <w:t xml:space="preserve"> Id. See also, “The NYPD’s Mental Illness Response Breakdown,” The City, Mar. 21, 2019, available at </w:t>
      </w:r>
      <w:hyperlink r:id="rId25" w:history="1">
        <w:r w:rsidRPr="00BA2F14">
          <w:rPr>
            <w:rStyle w:val="Hyperlink"/>
            <w:sz w:val="20"/>
          </w:rPr>
          <w:t>https://www.thecity.nyc/special-report/2019/3/21/21211184/the-nypd-s-mental-illness-response-breakdown</w:t>
        </w:r>
      </w:hyperlink>
      <w:r w:rsidRPr="00BA2F14">
        <w:rPr>
          <w:sz w:val="20"/>
        </w:rPr>
        <w:t>.</w:t>
      </w:r>
    </w:p>
  </w:footnote>
  <w:footnote w:id="75">
    <w:p w14:paraId="26FA8C99" w14:textId="77777777" w:rsidR="00FD715C" w:rsidRPr="00BA2F14" w:rsidRDefault="00FD715C">
      <w:pPr>
        <w:pStyle w:val="FootnoteText"/>
        <w:rPr>
          <w:sz w:val="20"/>
        </w:rPr>
      </w:pPr>
      <w:r w:rsidRPr="00BA2F14">
        <w:rPr>
          <w:rStyle w:val="FootnoteReference"/>
          <w:sz w:val="20"/>
        </w:rPr>
        <w:footnoteRef/>
      </w:r>
      <w:r w:rsidRPr="00BA2F14">
        <w:rPr>
          <w:sz w:val="20"/>
        </w:rPr>
        <w:t xml:space="preserve"> “The NYPD’s Mental Illness Response Breakdown,” The City, Mar. 21, 2019, available at </w:t>
      </w:r>
      <w:hyperlink r:id="rId26" w:history="1">
        <w:r w:rsidRPr="00BA2F14">
          <w:rPr>
            <w:rStyle w:val="Hyperlink"/>
            <w:sz w:val="20"/>
          </w:rPr>
          <w:t>https://www.thecity.nyc/special-report/2019/3/21/21211184/the-nypd-s-mental-illness-response-breakdown</w:t>
        </w:r>
      </w:hyperlink>
      <w:r w:rsidRPr="00BA2F14">
        <w:rPr>
          <w:sz w:val="20"/>
        </w:rPr>
        <w:t>.</w:t>
      </w:r>
    </w:p>
  </w:footnote>
  <w:footnote w:id="76">
    <w:p w14:paraId="74F081ED" w14:textId="77777777" w:rsidR="00FD715C" w:rsidRPr="006B5404" w:rsidRDefault="00FD715C">
      <w:pPr>
        <w:pStyle w:val="FootnoteText"/>
        <w:rPr>
          <w:sz w:val="20"/>
        </w:rPr>
      </w:pPr>
      <w:r w:rsidRPr="006B5404">
        <w:rPr>
          <w:rStyle w:val="FootnoteReference"/>
          <w:sz w:val="20"/>
        </w:rPr>
        <w:footnoteRef/>
      </w:r>
      <w:r w:rsidRPr="006B5404">
        <w:rPr>
          <w:sz w:val="20"/>
        </w:rPr>
        <w:t xml:space="preserve"> </w:t>
      </w:r>
      <w:r w:rsidRPr="006B5404">
        <w:rPr>
          <w:i/>
          <w:sz w:val="20"/>
        </w:rPr>
        <w:t>Id</w:t>
      </w:r>
      <w:r w:rsidRPr="006B5404">
        <w:rPr>
          <w:sz w:val="20"/>
        </w:rPr>
        <w:t>.</w:t>
      </w:r>
    </w:p>
  </w:footnote>
  <w:footnote w:id="77">
    <w:p w14:paraId="49B551B7" w14:textId="77777777" w:rsidR="00FD715C" w:rsidRPr="006B5404" w:rsidRDefault="00FD715C">
      <w:pPr>
        <w:pStyle w:val="FootnoteText"/>
        <w:rPr>
          <w:sz w:val="20"/>
        </w:rPr>
      </w:pPr>
      <w:r w:rsidRPr="006B5404">
        <w:rPr>
          <w:rStyle w:val="FootnoteReference"/>
          <w:sz w:val="20"/>
        </w:rPr>
        <w:footnoteRef/>
      </w:r>
      <w:r w:rsidRPr="006B5404">
        <w:rPr>
          <w:sz w:val="20"/>
        </w:rPr>
        <w:t xml:space="preserve"> </w:t>
      </w:r>
      <w:r w:rsidRPr="006B5404">
        <w:rPr>
          <w:i/>
          <w:sz w:val="20"/>
        </w:rPr>
        <w:t>Id</w:t>
      </w:r>
      <w:r w:rsidRPr="006B5404">
        <w:rPr>
          <w:sz w:val="20"/>
        </w:rPr>
        <w:t>.</w:t>
      </w:r>
    </w:p>
  </w:footnote>
  <w:footnote w:id="78">
    <w:p w14:paraId="4C0CB39E" w14:textId="77777777" w:rsidR="00FD715C" w:rsidRPr="006B5404" w:rsidRDefault="00FD715C">
      <w:pPr>
        <w:pStyle w:val="FootnoteText"/>
        <w:rPr>
          <w:sz w:val="20"/>
        </w:rPr>
      </w:pPr>
      <w:r w:rsidRPr="006B5404">
        <w:rPr>
          <w:rStyle w:val="FootnoteReference"/>
          <w:sz w:val="20"/>
        </w:rPr>
        <w:footnoteRef/>
      </w:r>
      <w:r w:rsidRPr="006B5404">
        <w:rPr>
          <w:sz w:val="20"/>
        </w:rPr>
        <w:t xml:space="preserve"> </w:t>
      </w:r>
      <w:r w:rsidRPr="006B5404">
        <w:rPr>
          <w:i/>
          <w:sz w:val="20"/>
        </w:rPr>
        <w:t>Id</w:t>
      </w:r>
      <w:r w:rsidRPr="006B5404">
        <w:rPr>
          <w:sz w:val="20"/>
        </w:rPr>
        <w:t>.</w:t>
      </w:r>
    </w:p>
  </w:footnote>
  <w:footnote w:id="79">
    <w:p w14:paraId="11997C37" w14:textId="18CF7DAF" w:rsidR="007E290C" w:rsidRPr="006B5404" w:rsidRDefault="007E290C" w:rsidP="00AB2BAD">
      <w:pPr>
        <w:rPr>
          <w:sz w:val="20"/>
          <w:szCs w:val="20"/>
        </w:rPr>
      </w:pPr>
      <w:r w:rsidRPr="006B5404">
        <w:rPr>
          <w:rStyle w:val="FootnoteReference"/>
          <w:sz w:val="20"/>
          <w:szCs w:val="20"/>
        </w:rPr>
        <w:footnoteRef/>
      </w:r>
      <w:r w:rsidRPr="006B5404">
        <w:rPr>
          <w:sz w:val="20"/>
          <w:szCs w:val="20"/>
        </w:rPr>
        <w:t xml:space="preserve"> See generally, </w:t>
      </w:r>
      <w:r w:rsidRPr="006B5404">
        <w:rPr>
          <w:i/>
          <w:sz w:val="20"/>
          <w:szCs w:val="20"/>
        </w:rPr>
        <w:t>id</w:t>
      </w:r>
      <w:r w:rsidRPr="006B5404">
        <w:rPr>
          <w:sz w:val="20"/>
          <w:szCs w:val="20"/>
        </w:rPr>
        <w:t>; see also, “</w:t>
      </w:r>
      <w:r w:rsidRPr="006B5404">
        <w:rPr>
          <w:sz w:val="20"/>
          <w:szCs w:val="20"/>
          <w:shd w:val="clear" w:color="auto" w:fill="FFFFFF"/>
        </w:rPr>
        <w:t xml:space="preserve">For Black Western New Yorkers, a Mental Health Call to Police Can End in Violence,” Spectrum News, Sept. 23, 2020, available at </w:t>
      </w:r>
      <w:hyperlink r:id="rId27" w:history="1">
        <w:r w:rsidRPr="006B5404">
          <w:rPr>
            <w:rStyle w:val="Hyperlink"/>
            <w:sz w:val="20"/>
            <w:szCs w:val="20"/>
            <w:shd w:val="clear" w:color="auto" w:fill="FFFFFF"/>
          </w:rPr>
          <w:t>https://spectrumlocalnews.com/nys/buffalo/wny-mental-health/2020/09/23/mental-health-musings--for-black-western-new-yorkers--a-mental-health-call-to-police-can-end-in-violence-</w:t>
        </w:r>
      </w:hyperlink>
      <w:r w:rsidR="00AB2BAD" w:rsidRPr="006B5404">
        <w:rPr>
          <w:sz w:val="20"/>
          <w:szCs w:val="20"/>
          <w:shd w:val="clear" w:color="auto" w:fill="FFFFFF"/>
        </w:rPr>
        <w:t>.</w:t>
      </w:r>
    </w:p>
  </w:footnote>
  <w:footnote w:id="80">
    <w:p w14:paraId="0F8E3869" w14:textId="25273ACE" w:rsidR="00AB2BAD" w:rsidRPr="006B5404" w:rsidRDefault="00AB2BAD">
      <w:pPr>
        <w:pStyle w:val="FootnoteText"/>
        <w:rPr>
          <w:sz w:val="20"/>
        </w:rPr>
      </w:pPr>
      <w:r w:rsidRPr="006B5404">
        <w:rPr>
          <w:rStyle w:val="FootnoteReference"/>
          <w:sz w:val="20"/>
        </w:rPr>
        <w:footnoteRef/>
      </w:r>
      <w:r w:rsidRPr="006B5404">
        <w:rPr>
          <w:sz w:val="20"/>
        </w:rPr>
        <w:t xml:space="preserve"> “The NYPD’s Mental Illness Response Breakdown,” The City, Mar. 21, 2019, available at </w:t>
      </w:r>
      <w:hyperlink r:id="rId28" w:history="1">
        <w:r w:rsidRPr="006B5404">
          <w:rPr>
            <w:rStyle w:val="Hyperlink"/>
            <w:sz w:val="20"/>
          </w:rPr>
          <w:t>https://www.thecity.nyc/special-report/2019/3/21/21211184/the-nypd-s-mental-illness-response-breakdown</w:t>
        </w:r>
      </w:hyperlink>
      <w:r w:rsidR="006B5404" w:rsidRPr="006B5404">
        <w:rPr>
          <w:rStyle w:val="Hyperlink"/>
          <w:sz w:val="20"/>
        </w:rPr>
        <w:t>.</w:t>
      </w:r>
    </w:p>
  </w:footnote>
  <w:footnote w:id="81">
    <w:p w14:paraId="49CE5270" w14:textId="5618A643" w:rsidR="00BB3B44" w:rsidRPr="006B5404" w:rsidRDefault="00BB3B44" w:rsidP="00BB3B44">
      <w:pPr>
        <w:pStyle w:val="FootnoteText"/>
        <w:rPr>
          <w:sz w:val="20"/>
        </w:rPr>
      </w:pPr>
      <w:r w:rsidRPr="006B5404">
        <w:rPr>
          <w:rStyle w:val="FootnoteReference"/>
          <w:sz w:val="20"/>
        </w:rPr>
        <w:footnoteRef/>
      </w:r>
      <w:r w:rsidRPr="006B5404">
        <w:rPr>
          <w:sz w:val="20"/>
        </w:rPr>
        <w:t xml:space="preserve"> See, e.g., “</w:t>
      </w:r>
      <w:r w:rsidRPr="006B5404">
        <w:rPr>
          <w:bCs/>
          <w:color w:val="000000"/>
          <w:sz w:val="20"/>
        </w:rPr>
        <w:t xml:space="preserve">Blacks account for nearly half of all NYC arrests 6 years after end of stop-and-frisk: NYPD data,” ABC News, June 30, 2020, available at </w:t>
      </w:r>
      <w:hyperlink r:id="rId29" w:history="1">
        <w:r w:rsidRPr="006B5404">
          <w:rPr>
            <w:rStyle w:val="Hyperlink"/>
            <w:sz w:val="20"/>
          </w:rPr>
          <w:t>https://abcnews.go.com/US/blacks-account-half-nyc-arrests-years-end-stop/story?id=71412485</w:t>
        </w:r>
      </w:hyperlink>
      <w:r w:rsidRPr="006B5404">
        <w:rPr>
          <w:bCs/>
          <w:color w:val="000000"/>
          <w:sz w:val="20"/>
        </w:rPr>
        <w:t xml:space="preserve">. </w:t>
      </w:r>
    </w:p>
  </w:footnote>
  <w:footnote w:id="82">
    <w:p w14:paraId="31399251" w14:textId="15CB189E" w:rsidR="006B5404" w:rsidRDefault="006B5404">
      <w:pPr>
        <w:pStyle w:val="FootnoteText"/>
      </w:pPr>
      <w:r w:rsidRPr="006B5404">
        <w:rPr>
          <w:rStyle w:val="FootnoteReference"/>
          <w:sz w:val="20"/>
        </w:rPr>
        <w:footnoteRef/>
      </w:r>
      <w:r w:rsidRPr="006B5404">
        <w:rPr>
          <w:sz w:val="20"/>
        </w:rPr>
        <w:t xml:space="preserve"> “The NYPD’s Mental Illness Response Breakdown,” The City, Mar. 21, 2019, available at </w:t>
      </w:r>
      <w:hyperlink r:id="rId30" w:history="1">
        <w:r w:rsidRPr="006B5404">
          <w:rPr>
            <w:rStyle w:val="Hyperlink"/>
            <w:sz w:val="20"/>
          </w:rPr>
          <w:t>https://www.thecity.nyc/special-report/2019/3/21/21211184/the-nypd-s-mental-illness-response-breakdown</w:t>
        </w:r>
      </w:hyperlink>
      <w:r w:rsidRPr="006B5404">
        <w:rPr>
          <w:rStyle w:val="Hyperlink"/>
          <w:sz w:val="20"/>
        </w:rPr>
        <w:t>.</w:t>
      </w:r>
    </w:p>
  </w:footnote>
  <w:footnote w:id="83">
    <w:p w14:paraId="0840A90E" w14:textId="63CF85C8" w:rsidR="006B5404" w:rsidRPr="00253141" w:rsidRDefault="006B5404">
      <w:pPr>
        <w:pStyle w:val="FootnoteText"/>
        <w:rPr>
          <w:sz w:val="20"/>
        </w:rPr>
      </w:pPr>
      <w:r w:rsidRPr="00253141">
        <w:rPr>
          <w:rStyle w:val="FootnoteReference"/>
          <w:sz w:val="20"/>
        </w:rPr>
        <w:footnoteRef/>
      </w:r>
      <w:r w:rsidRPr="00253141">
        <w:rPr>
          <w:sz w:val="20"/>
        </w:rPr>
        <w:t xml:space="preserve"> </w:t>
      </w:r>
      <w:r w:rsidRPr="00253141">
        <w:rPr>
          <w:i/>
          <w:sz w:val="20"/>
        </w:rPr>
        <w:t>Id</w:t>
      </w:r>
      <w:r w:rsidRPr="00253141">
        <w:rPr>
          <w:sz w:val="20"/>
        </w:rPr>
        <w:t>.</w:t>
      </w:r>
    </w:p>
  </w:footnote>
  <w:footnote w:id="84">
    <w:p w14:paraId="51E439F1" w14:textId="17399221" w:rsidR="006B5404" w:rsidRPr="00253141" w:rsidRDefault="006B5404">
      <w:pPr>
        <w:pStyle w:val="FootnoteText"/>
        <w:rPr>
          <w:sz w:val="20"/>
        </w:rPr>
      </w:pPr>
      <w:r w:rsidRPr="00253141">
        <w:rPr>
          <w:rStyle w:val="FootnoteReference"/>
          <w:sz w:val="20"/>
        </w:rPr>
        <w:footnoteRef/>
      </w:r>
      <w:r w:rsidRPr="00253141">
        <w:rPr>
          <w:sz w:val="20"/>
        </w:rPr>
        <w:t xml:space="preserve"> See, e.g., “</w:t>
      </w:r>
      <w:r w:rsidRPr="00253141">
        <w:rPr>
          <w:sz w:val="20"/>
          <w:shd w:val="clear" w:color="auto" w:fill="FFFFFF"/>
        </w:rPr>
        <w:t xml:space="preserve">For Black Western New Yorkers, a Mental Health Call to Police Can End in Violence,” Spectrum News, Sept. 23, 2020, available at </w:t>
      </w:r>
      <w:hyperlink r:id="rId31" w:history="1">
        <w:r w:rsidRPr="00253141">
          <w:rPr>
            <w:rStyle w:val="Hyperlink"/>
            <w:sz w:val="20"/>
            <w:shd w:val="clear" w:color="auto" w:fill="FFFFFF"/>
          </w:rPr>
          <w:t>https://spectrumlocalnews.com/nys/buffalo/wny-mental-health/2020/09/23/mental-health-musings--for-black-western-new-yorkers--a-mental-health-call-to-police-can-end-in-violence-</w:t>
        </w:r>
      </w:hyperlink>
      <w:r w:rsidRPr="00253141">
        <w:rPr>
          <w:bCs/>
          <w:color w:val="000000"/>
          <w:sz w:val="20"/>
        </w:rPr>
        <w:t>.</w:t>
      </w:r>
    </w:p>
  </w:footnote>
  <w:footnote w:id="85">
    <w:p w14:paraId="57A70EE4" w14:textId="72C92B0B" w:rsidR="006B5404" w:rsidRPr="00253141" w:rsidRDefault="006B5404">
      <w:pPr>
        <w:pStyle w:val="FootnoteText"/>
        <w:rPr>
          <w:sz w:val="20"/>
        </w:rPr>
      </w:pPr>
      <w:r w:rsidRPr="00253141">
        <w:rPr>
          <w:rStyle w:val="FootnoteReference"/>
          <w:sz w:val="20"/>
        </w:rPr>
        <w:footnoteRef/>
      </w:r>
      <w:r w:rsidRPr="00253141">
        <w:rPr>
          <w:sz w:val="20"/>
        </w:rPr>
        <w:t xml:space="preserve"> </w:t>
      </w:r>
      <w:r w:rsidRPr="00253141">
        <w:rPr>
          <w:i/>
          <w:sz w:val="20"/>
        </w:rPr>
        <w:t>Id</w:t>
      </w:r>
      <w:r w:rsidRPr="00253141">
        <w:rPr>
          <w:sz w:val="20"/>
        </w:rPr>
        <w:t>.</w:t>
      </w:r>
    </w:p>
  </w:footnote>
  <w:footnote w:id="86">
    <w:p w14:paraId="2842BFCE" w14:textId="0573BD84" w:rsidR="00E7050F" w:rsidRPr="00253141" w:rsidRDefault="00E7050F">
      <w:pPr>
        <w:pStyle w:val="FootnoteText"/>
        <w:rPr>
          <w:sz w:val="20"/>
        </w:rPr>
      </w:pPr>
      <w:r w:rsidRPr="00253141">
        <w:rPr>
          <w:rStyle w:val="FootnoteReference"/>
          <w:sz w:val="20"/>
        </w:rPr>
        <w:footnoteRef/>
      </w:r>
      <w:r w:rsidRPr="00253141">
        <w:rPr>
          <w:sz w:val="20"/>
        </w:rPr>
        <w:t xml:space="preserve"> </w:t>
      </w:r>
      <w:r w:rsidRPr="00253141">
        <w:rPr>
          <w:i/>
          <w:sz w:val="20"/>
        </w:rPr>
        <w:t>Id</w:t>
      </w:r>
      <w:r w:rsidRPr="00253141">
        <w:rPr>
          <w:sz w:val="20"/>
        </w:rPr>
        <w:t>.</w:t>
      </w:r>
    </w:p>
  </w:footnote>
  <w:footnote w:id="87">
    <w:p w14:paraId="7B931B50" w14:textId="4460D21E" w:rsidR="00253141" w:rsidRPr="00253141" w:rsidRDefault="00253141">
      <w:pPr>
        <w:pStyle w:val="FootnoteText"/>
        <w:rPr>
          <w:sz w:val="20"/>
        </w:rPr>
      </w:pPr>
      <w:r w:rsidRPr="00253141">
        <w:rPr>
          <w:rStyle w:val="FootnoteReference"/>
          <w:sz w:val="20"/>
        </w:rPr>
        <w:footnoteRef/>
      </w:r>
      <w:r w:rsidRPr="00253141">
        <w:rPr>
          <w:sz w:val="20"/>
        </w:rPr>
        <w:t xml:space="preserve"> </w:t>
      </w:r>
      <w:r w:rsidRPr="00253141">
        <w:rPr>
          <w:i/>
          <w:sz w:val="20"/>
        </w:rPr>
        <w:t>See, e.g.</w:t>
      </w:r>
      <w:r w:rsidRPr="00253141">
        <w:rPr>
          <w:sz w:val="20"/>
        </w:rPr>
        <w:t xml:space="preserve">, </w:t>
      </w:r>
      <w:r w:rsidRPr="00253141">
        <w:rPr>
          <w:kern w:val="36"/>
          <w:sz w:val="20"/>
        </w:rPr>
        <w:t>“</w:t>
      </w:r>
      <w:r w:rsidRPr="00BF63E0">
        <w:rPr>
          <w:kern w:val="36"/>
          <w:sz w:val="20"/>
        </w:rPr>
        <w:t>Biden wants to fix racial inequality. Mental health access</w:t>
      </w:r>
      <w:r w:rsidRPr="00253141">
        <w:rPr>
          <w:kern w:val="36"/>
          <w:sz w:val="20"/>
        </w:rPr>
        <w:t xml:space="preserve"> is an important place to start,” </w:t>
      </w:r>
      <w:r w:rsidRPr="00253141">
        <w:rPr>
          <w:spacing w:val="-7"/>
          <w:sz w:val="20"/>
          <w:shd w:val="clear" w:color="auto" w:fill="FFFFFF"/>
        </w:rPr>
        <w:t xml:space="preserve">NBC News, Feb. 17, 2021, available at </w:t>
      </w:r>
      <w:hyperlink r:id="rId32" w:history="1">
        <w:r w:rsidRPr="00253141">
          <w:rPr>
            <w:rStyle w:val="Hyperlink"/>
            <w:spacing w:val="-7"/>
            <w:sz w:val="20"/>
            <w:shd w:val="clear" w:color="auto" w:fill="FFFFFF"/>
          </w:rPr>
          <w:t>https://www.nbcnews.com/think/opinion/biden-wants-fix-racial-inequality-mental-health-access-important-place-ncna1257376</w:t>
        </w:r>
      </w:hyperlink>
      <w:r>
        <w:rPr>
          <w:spacing w:val="-7"/>
          <w:sz w:val="20"/>
          <w:shd w:val="clear" w:color="auto" w:fill="FFFFFF"/>
        </w:rPr>
        <w:t>.</w:t>
      </w:r>
    </w:p>
  </w:footnote>
  <w:footnote w:id="88">
    <w:p w14:paraId="1F74B8C2" w14:textId="354DAE7F" w:rsidR="00997D8D" w:rsidRPr="006A034A" w:rsidRDefault="00997D8D">
      <w:pPr>
        <w:pStyle w:val="FootnoteText"/>
        <w:rPr>
          <w:sz w:val="20"/>
        </w:rPr>
      </w:pPr>
      <w:r w:rsidRPr="006A034A">
        <w:rPr>
          <w:rStyle w:val="FootnoteReference"/>
          <w:sz w:val="20"/>
        </w:rPr>
        <w:footnoteRef/>
      </w:r>
      <w:r w:rsidRPr="006A034A">
        <w:rPr>
          <w:sz w:val="20"/>
        </w:rPr>
        <w:t xml:space="preserve"> </w:t>
      </w:r>
      <w:r w:rsidRPr="006A034A">
        <w:rPr>
          <w:i/>
          <w:sz w:val="20"/>
        </w:rPr>
        <w:t>Id</w:t>
      </w:r>
      <w:r w:rsidRPr="006A034A">
        <w:rPr>
          <w:sz w:val="20"/>
        </w:rPr>
        <w:t>.</w:t>
      </w:r>
    </w:p>
  </w:footnote>
  <w:footnote w:id="89">
    <w:p w14:paraId="19A000B0" w14:textId="7423171B" w:rsidR="00997D8D" w:rsidRPr="006A034A" w:rsidRDefault="00997D8D">
      <w:pPr>
        <w:pStyle w:val="FootnoteText"/>
        <w:rPr>
          <w:sz w:val="20"/>
        </w:rPr>
      </w:pPr>
      <w:r w:rsidRPr="006A034A">
        <w:rPr>
          <w:rStyle w:val="FootnoteReference"/>
          <w:sz w:val="20"/>
        </w:rPr>
        <w:footnoteRef/>
      </w:r>
      <w:r w:rsidRPr="006A034A">
        <w:rPr>
          <w:sz w:val="20"/>
        </w:rPr>
        <w:t xml:space="preserve"> </w:t>
      </w:r>
      <w:r w:rsidRPr="006A034A">
        <w:rPr>
          <w:i/>
          <w:sz w:val="20"/>
        </w:rPr>
        <w:t>Id</w:t>
      </w:r>
      <w:r w:rsidRPr="006A034A">
        <w:rPr>
          <w:sz w:val="20"/>
        </w:rPr>
        <w:t>.</w:t>
      </w:r>
    </w:p>
  </w:footnote>
  <w:footnote w:id="90">
    <w:p w14:paraId="7492E399" w14:textId="44A7D156" w:rsidR="00997D8D" w:rsidRPr="006A034A" w:rsidRDefault="00997D8D">
      <w:pPr>
        <w:pStyle w:val="FootnoteText"/>
        <w:rPr>
          <w:sz w:val="20"/>
        </w:rPr>
      </w:pPr>
      <w:r w:rsidRPr="006A034A">
        <w:rPr>
          <w:rStyle w:val="FootnoteReference"/>
          <w:sz w:val="20"/>
        </w:rPr>
        <w:footnoteRef/>
      </w:r>
      <w:r w:rsidRPr="006A034A">
        <w:rPr>
          <w:sz w:val="20"/>
        </w:rPr>
        <w:t xml:space="preserve"> </w:t>
      </w:r>
      <w:r w:rsidRPr="006A034A">
        <w:rPr>
          <w:i/>
          <w:sz w:val="20"/>
        </w:rPr>
        <w:t>Id</w:t>
      </w:r>
      <w:r w:rsidRPr="006A034A">
        <w:rPr>
          <w:sz w:val="20"/>
        </w:rPr>
        <w:t>.</w:t>
      </w:r>
    </w:p>
  </w:footnote>
  <w:footnote w:id="91">
    <w:p w14:paraId="629852F2" w14:textId="06C2ADFF" w:rsidR="001D6432" w:rsidRPr="006A034A" w:rsidRDefault="001D6432">
      <w:pPr>
        <w:pStyle w:val="FootnoteText"/>
        <w:rPr>
          <w:sz w:val="20"/>
        </w:rPr>
      </w:pPr>
      <w:r w:rsidRPr="006A034A">
        <w:rPr>
          <w:rStyle w:val="FootnoteReference"/>
          <w:sz w:val="20"/>
        </w:rPr>
        <w:footnoteRef/>
      </w:r>
      <w:r w:rsidRPr="006A034A">
        <w:rPr>
          <w:sz w:val="20"/>
        </w:rPr>
        <w:t xml:space="preserve"> </w:t>
      </w:r>
      <w:r w:rsidRPr="006A034A">
        <w:rPr>
          <w:i/>
          <w:sz w:val="20"/>
        </w:rPr>
        <w:t>Id</w:t>
      </w:r>
      <w:r w:rsidRPr="006A034A">
        <w:rPr>
          <w:sz w:val="20"/>
        </w:rPr>
        <w:t>.</w:t>
      </w:r>
    </w:p>
  </w:footnote>
  <w:footnote w:id="92">
    <w:p w14:paraId="15B422D8" w14:textId="52FA8FD2" w:rsidR="001D6432" w:rsidRPr="006A034A" w:rsidRDefault="001D6432">
      <w:pPr>
        <w:pStyle w:val="FootnoteText"/>
        <w:rPr>
          <w:sz w:val="20"/>
        </w:rPr>
      </w:pPr>
      <w:r w:rsidRPr="006A034A">
        <w:rPr>
          <w:rStyle w:val="FootnoteReference"/>
          <w:sz w:val="20"/>
        </w:rPr>
        <w:footnoteRef/>
      </w:r>
      <w:r w:rsidRPr="006A034A">
        <w:rPr>
          <w:sz w:val="20"/>
        </w:rPr>
        <w:t xml:space="preserve"> </w:t>
      </w:r>
      <w:r w:rsidRPr="006A034A">
        <w:rPr>
          <w:i/>
          <w:sz w:val="20"/>
        </w:rPr>
        <w:t>Id</w:t>
      </w:r>
      <w:r w:rsidRPr="006A034A">
        <w:rPr>
          <w:sz w:val="20"/>
        </w:rPr>
        <w:t>.</w:t>
      </w:r>
    </w:p>
  </w:footnote>
  <w:footnote w:id="93">
    <w:p w14:paraId="7F954A8B" w14:textId="77777777" w:rsidR="001D6432" w:rsidRPr="006A034A" w:rsidRDefault="001D6432" w:rsidP="001D6432">
      <w:pPr>
        <w:pStyle w:val="FootnoteText"/>
        <w:rPr>
          <w:sz w:val="20"/>
        </w:rPr>
      </w:pPr>
      <w:r w:rsidRPr="006A034A">
        <w:rPr>
          <w:rStyle w:val="FootnoteReference"/>
          <w:sz w:val="20"/>
        </w:rPr>
        <w:footnoteRef/>
      </w:r>
      <w:r w:rsidRPr="006A034A">
        <w:rPr>
          <w:sz w:val="20"/>
        </w:rPr>
        <w:t xml:space="preserve"> </w:t>
      </w:r>
      <w:r w:rsidRPr="006A034A">
        <w:rPr>
          <w:i/>
          <w:sz w:val="20"/>
        </w:rPr>
        <w:t>Id</w:t>
      </w:r>
      <w:r w:rsidRPr="006A034A">
        <w:rPr>
          <w:sz w:val="20"/>
        </w:rPr>
        <w:t>.</w:t>
      </w:r>
    </w:p>
  </w:footnote>
  <w:footnote w:id="94">
    <w:p w14:paraId="28FCA940" w14:textId="09414DF4" w:rsidR="001D6432" w:rsidRPr="006A034A" w:rsidRDefault="001D6432">
      <w:pPr>
        <w:pStyle w:val="FootnoteText"/>
        <w:rPr>
          <w:sz w:val="20"/>
        </w:rPr>
      </w:pPr>
      <w:r w:rsidRPr="006A034A">
        <w:rPr>
          <w:rStyle w:val="FootnoteReference"/>
          <w:sz w:val="20"/>
        </w:rPr>
        <w:footnoteRef/>
      </w:r>
      <w:r w:rsidRPr="006A034A">
        <w:rPr>
          <w:sz w:val="20"/>
        </w:rPr>
        <w:t xml:space="preserve"> </w:t>
      </w:r>
      <w:r w:rsidRPr="006A034A">
        <w:rPr>
          <w:i/>
          <w:sz w:val="20"/>
        </w:rPr>
        <w:t>Id</w:t>
      </w:r>
      <w:r w:rsidRPr="006A034A">
        <w:rPr>
          <w:sz w:val="20"/>
        </w:rPr>
        <w:t>.</w:t>
      </w:r>
    </w:p>
  </w:footnote>
  <w:footnote w:id="95">
    <w:p w14:paraId="7545B5E3" w14:textId="665CD584" w:rsidR="001D6432" w:rsidRPr="006A034A" w:rsidRDefault="001D6432">
      <w:pPr>
        <w:pStyle w:val="FootnoteText"/>
        <w:rPr>
          <w:sz w:val="20"/>
        </w:rPr>
      </w:pPr>
      <w:r w:rsidRPr="006A034A">
        <w:rPr>
          <w:rStyle w:val="FootnoteReference"/>
          <w:sz w:val="20"/>
        </w:rPr>
        <w:footnoteRef/>
      </w:r>
      <w:r w:rsidRPr="006A034A">
        <w:rPr>
          <w:sz w:val="20"/>
        </w:rPr>
        <w:t xml:space="preserve"> </w:t>
      </w:r>
      <w:r w:rsidRPr="006A034A">
        <w:rPr>
          <w:i/>
          <w:sz w:val="20"/>
        </w:rPr>
        <w:t>Id</w:t>
      </w:r>
      <w:r w:rsidRPr="006A034A">
        <w:rPr>
          <w:sz w:val="20"/>
        </w:rPr>
        <w:t>.</w:t>
      </w:r>
    </w:p>
  </w:footnote>
  <w:footnote w:id="96">
    <w:p w14:paraId="5CF2E14E" w14:textId="4E16633B" w:rsidR="001D6432" w:rsidRPr="006A034A" w:rsidRDefault="001D6432">
      <w:pPr>
        <w:pStyle w:val="FootnoteText"/>
        <w:rPr>
          <w:sz w:val="20"/>
        </w:rPr>
      </w:pPr>
      <w:r w:rsidRPr="006A034A">
        <w:rPr>
          <w:rStyle w:val="FootnoteReference"/>
          <w:sz w:val="20"/>
        </w:rPr>
        <w:footnoteRef/>
      </w:r>
      <w:r w:rsidRPr="006A034A">
        <w:rPr>
          <w:sz w:val="20"/>
        </w:rPr>
        <w:t xml:space="preserve"> </w:t>
      </w:r>
      <w:r w:rsidRPr="006A034A">
        <w:rPr>
          <w:i/>
          <w:sz w:val="20"/>
        </w:rPr>
        <w:t>Id</w:t>
      </w:r>
      <w:r w:rsidRPr="006A034A">
        <w:rPr>
          <w:sz w:val="20"/>
        </w:rPr>
        <w:t>.</w:t>
      </w:r>
    </w:p>
  </w:footnote>
  <w:footnote w:id="97">
    <w:p w14:paraId="601062D7" w14:textId="77FC11CA" w:rsidR="006A034A" w:rsidRPr="006A034A" w:rsidRDefault="006A034A">
      <w:pPr>
        <w:pStyle w:val="FootnoteText"/>
        <w:rPr>
          <w:sz w:val="20"/>
        </w:rPr>
      </w:pPr>
      <w:r w:rsidRPr="006A034A">
        <w:rPr>
          <w:rStyle w:val="FootnoteReference"/>
          <w:sz w:val="20"/>
        </w:rPr>
        <w:footnoteRef/>
      </w:r>
      <w:r w:rsidRPr="006A034A">
        <w:rPr>
          <w:sz w:val="20"/>
        </w:rPr>
        <w:t xml:space="preserve"> See, e.g., </w:t>
      </w:r>
      <w:r w:rsidRPr="006A034A">
        <w:rPr>
          <w:i/>
          <w:sz w:val="20"/>
        </w:rPr>
        <w:t>id</w:t>
      </w:r>
      <w:r w:rsidRPr="006A034A">
        <w:rPr>
          <w:sz w:val="20"/>
        </w:rPr>
        <w:t>.</w:t>
      </w:r>
    </w:p>
  </w:footnote>
  <w:footnote w:id="98">
    <w:p w14:paraId="1E53A1F2" w14:textId="77777777" w:rsidR="00FD715C" w:rsidRPr="00BA2F14" w:rsidRDefault="00FD715C" w:rsidP="00683A06">
      <w:pPr>
        <w:pStyle w:val="FootnoteText"/>
        <w:rPr>
          <w:sz w:val="20"/>
        </w:rPr>
      </w:pPr>
      <w:r w:rsidRPr="006A034A">
        <w:rPr>
          <w:rStyle w:val="FootnoteReference"/>
          <w:sz w:val="20"/>
        </w:rPr>
        <w:footnoteRef/>
      </w:r>
      <w:r w:rsidRPr="006A034A">
        <w:rPr>
          <w:sz w:val="20"/>
        </w:rPr>
        <w:t xml:space="preserve"> “What is CAHOOTS”, White Bird Clinic, October 29, 2020, Available at: </w:t>
      </w:r>
      <w:hyperlink r:id="rId33" w:history="1">
        <w:r w:rsidRPr="006A034A">
          <w:rPr>
            <w:rStyle w:val="Hyperlink"/>
            <w:sz w:val="20"/>
          </w:rPr>
          <w:t>https://whitebirdclinic.org/what-is-cahoots/</w:t>
        </w:r>
      </w:hyperlink>
      <w:r w:rsidRPr="006A034A">
        <w:rPr>
          <w:sz w:val="20"/>
        </w:rPr>
        <w:t>.</w:t>
      </w:r>
    </w:p>
  </w:footnote>
  <w:footnote w:id="99">
    <w:p w14:paraId="097889D3" w14:textId="77777777" w:rsidR="00FD715C" w:rsidRPr="00BA2F14" w:rsidRDefault="00FD715C" w:rsidP="00683A06">
      <w:pPr>
        <w:pStyle w:val="FootnoteText"/>
        <w:rPr>
          <w:sz w:val="20"/>
        </w:rPr>
      </w:pPr>
      <w:r w:rsidRPr="00BA2F14">
        <w:rPr>
          <w:rStyle w:val="FootnoteReference"/>
          <w:sz w:val="20"/>
        </w:rPr>
        <w:footnoteRef/>
      </w:r>
      <w:r w:rsidRPr="00BA2F14">
        <w:rPr>
          <w:sz w:val="20"/>
        </w:rPr>
        <w:t xml:space="preserve"> “About Us”, White Bird Clinic, last accessed on February 16, 2021, Available at: </w:t>
      </w:r>
      <w:hyperlink r:id="rId34" w:history="1">
        <w:r w:rsidRPr="00BA2F14">
          <w:rPr>
            <w:rStyle w:val="Hyperlink"/>
            <w:sz w:val="20"/>
          </w:rPr>
          <w:t>https://whitebirdclinic.org/about/</w:t>
        </w:r>
      </w:hyperlink>
      <w:r w:rsidRPr="00BA2F14">
        <w:rPr>
          <w:sz w:val="20"/>
        </w:rPr>
        <w:t>.</w:t>
      </w:r>
    </w:p>
  </w:footnote>
  <w:footnote w:id="100">
    <w:p w14:paraId="704C0D03" w14:textId="77777777" w:rsidR="00FD715C" w:rsidRPr="00BA2F14" w:rsidRDefault="00FD715C" w:rsidP="00683A06">
      <w:pPr>
        <w:pStyle w:val="FootnoteText"/>
        <w:rPr>
          <w:sz w:val="20"/>
        </w:rPr>
      </w:pPr>
      <w:r w:rsidRPr="00BA2F14">
        <w:rPr>
          <w:rStyle w:val="FootnoteReference"/>
          <w:sz w:val="20"/>
        </w:rPr>
        <w:footnoteRef/>
      </w:r>
      <w:r w:rsidRPr="00BA2F14">
        <w:rPr>
          <w:sz w:val="20"/>
        </w:rPr>
        <w:t xml:space="preserve"> Ben Adam Climer and Brenton Gicker, “CAHOOTS: A Model for Prehospital Mental Health Crisis Intervention”, </w:t>
      </w:r>
      <w:r w:rsidRPr="00BA2F14">
        <w:rPr>
          <w:iCs/>
          <w:sz w:val="20"/>
        </w:rPr>
        <w:t xml:space="preserve">Psychiatric Times, January 6, 2021, Available at: </w:t>
      </w:r>
      <w:hyperlink r:id="rId35" w:history="1">
        <w:r w:rsidRPr="00BA2F14">
          <w:rPr>
            <w:rStyle w:val="Hyperlink"/>
            <w:iCs/>
            <w:sz w:val="20"/>
          </w:rPr>
          <w:t>https://whitebirdclinic.org/category/programs/cahoots/</w:t>
        </w:r>
      </w:hyperlink>
      <w:r w:rsidRPr="00BA2F14">
        <w:rPr>
          <w:iCs/>
          <w:sz w:val="20"/>
        </w:rPr>
        <w:t>.</w:t>
      </w:r>
    </w:p>
  </w:footnote>
  <w:footnote w:id="101">
    <w:p w14:paraId="309C101F" w14:textId="77777777" w:rsidR="00FD715C" w:rsidRPr="00BA2F14" w:rsidRDefault="00FD715C" w:rsidP="00683A06">
      <w:pPr>
        <w:pStyle w:val="FootnoteText"/>
        <w:rPr>
          <w:sz w:val="20"/>
        </w:rPr>
      </w:pPr>
      <w:r w:rsidRPr="00BA2F14">
        <w:rPr>
          <w:rStyle w:val="FootnoteReference"/>
          <w:sz w:val="20"/>
        </w:rPr>
        <w:footnoteRef/>
      </w:r>
      <w:r w:rsidRPr="00BA2F14">
        <w:rPr>
          <w:sz w:val="20"/>
        </w:rPr>
        <w:t xml:space="preserve"> </w:t>
      </w:r>
      <w:r w:rsidRPr="00BA2F14">
        <w:rPr>
          <w:i/>
          <w:sz w:val="20"/>
        </w:rPr>
        <w:t>Id.</w:t>
      </w:r>
    </w:p>
  </w:footnote>
  <w:footnote w:id="102">
    <w:p w14:paraId="6E233B9E" w14:textId="77777777" w:rsidR="00FD715C" w:rsidRPr="00683A06" w:rsidRDefault="00FD715C" w:rsidP="00683A06">
      <w:pPr>
        <w:pStyle w:val="FootnoteText"/>
        <w:rPr>
          <w:sz w:val="20"/>
        </w:rPr>
      </w:pPr>
      <w:r w:rsidRPr="00683A06">
        <w:rPr>
          <w:rStyle w:val="FootnoteReference"/>
          <w:sz w:val="20"/>
        </w:rPr>
        <w:footnoteRef/>
      </w:r>
      <w:r w:rsidRPr="00683A06">
        <w:rPr>
          <w:sz w:val="20"/>
        </w:rPr>
        <w:t xml:space="preserve">  White Bird Clinic, supra note </w:t>
      </w:r>
      <w:r w:rsidRPr="00683A06">
        <w:rPr>
          <w:sz w:val="20"/>
        </w:rPr>
        <w:fldChar w:fldCharType="begin"/>
      </w:r>
      <w:r w:rsidRPr="00683A06">
        <w:rPr>
          <w:sz w:val="20"/>
        </w:rPr>
        <w:instrText xml:space="preserve"> NOTEREF _Ref64470745 \h </w:instrText>
      </w:r>
      <w:r>
        <w:rPr>
          <w:sz w:val="20"/>
        </w:rPr>
        <w:instrText xml:space="preserve"> \* MERGEFORMAT </w:instrText>
      </w:r>
      <w:r w:rsidRPr="00683A06">
        <w:rPr>
          <w:sz w:val="20"/>
        </w:rPr>
      </w:r>
      <w:r w:rsidRPr="00683A06">
        <w:rPr>
          <w:sz w:val="20"/>
        </w:rPr>
        <w:fldChar w:fldCharType="separate"/>
      </w:r>
      <w:r w:rsidRPr="00683A06">
        <w:rPr>
          <w:sz w:val="20"/>
        </w:rPr>
        <w:t>1</w:t>
      </w:r>
      <w:r w:rsidRPr="00683A06">
        <w:rPr>
          <w:sz w:val="20"/>
        </w:rPr>
        <w:fldChar w:fldCharType="end"/>
      </w:r>
      <w:r w:rsidRPr="00683A06">
        <w:rPr>
          <w:sz w:val="20"/>
        </w:rPr>
        <w:t>.</w:t>
      </w:r>
    </w:p>
  </w:footnote>
  <w:footnote w:id="103">
    <w:p w14:paraId="58B30BBE" w14:textId="77777777" w:rsidR="00FD715C" w:rsidRPr="00683A06" w:rsidRDefault="00FD715C" w:rsidP="00683A06">
      <w:pPr>
        <w:pStyle w:val="FootnoteText"/>
        <w:rPr>
          <w:sz w:val="20"/>
        </w:rPr>
      </w:pPr>
      <w:r w:rsidRPr="00683A06">
        <w:rPr>
          <w:rStyle w:val="FootnoteReference"/>
          <w:sz w:val="20"/>
        </w:rPr>
        <w:footnoteRef/>
      </w:r>
      <w:r w:rsidRPr="00683A06">
        <w:rPr>
          <w:sz w:val="20"/>
        </w:rPr>
        <w:t xml:space="preserve"> “CAHOOTS FAQ”, White Bird Clinic, last accessed on February 16, 2021, Available at: </w:t>
      </w:r>
      <w:hyperlink r:id="rId36" w:history="1">
        <w:r w:rsidRPr="00683A06">
          <w:rPr>
            <w:rStyle w:val="Hyperlink"/>
            <w:sz w:val="20"/>
          </w:rPr>
          <w:t>https://whitebirdclinic.org/cahoots-faq/</w:t>
        </w:r>
      </w:hyperlink>
      <w:r w:rsidRPr="00683A06">
        <w:rPr>
          <w:sz w:val="20"/>
        </w:rPr>
        <w:t>.</w:t>
      </w:r>
    </w:p>
  </w:footnote>
  <w:footnote w:id="104">
    <w:p w14:paraId="67D64EDD" w14:textId="77777777" w:rsidR="00FD715C" w:rsidRPr="006A4ACE" w:rsidRDefault="00FD715C" w:rsidP="00683A06">
      <w:pPr>
        <w:pStyle w:val="FootnoteText"/>
        <w:rPr>
          <w:b/>
          <w:bCs/>
          <w:sz w:val="20"/>
        </w:rPr>
      </w:pPr>
      <w:r w:rsidRPr="006A4ACE">
        <w:rPr>
          <w:rStyle w:val="FootnoteReference"/>
          <w:sz w:val="20"/>
        </w:rPr>
        <w:footnoteRef/>
      </w:r>
      <w:r w:rsidRPr="006A4ACE">
        <w:rPr>
          <w:sz w:val="20"/>
        </w:rPr>
        <w:t xml:space="preserve"> Scottie Andrew, “</w:t>
      </w:r>
      <w:r w:rsidRPr="006A4ACE">
        <w:rPr>
          <w:bCs/>
          <w:sz w:val="20"/>
        </w:rPr>
        <w:t xml:space="preserve">This town of 170,000 replaced some cops with medics and mental health workers. It's worked for over 30 years”, CNN, July 5, 2020, Available at: </w:t>
      </w:r>
      <w:hyperlink r:id="rId37" w:history="1">
        <w:r w:rsidRPr="006A4ACE">
          <w:rPr>
            <w:rStyle w:val="Hyperlink"/>
            <w:sz w:val="20"/>
          </w:rPr>
          <w:t>https://www.cnn.com/2020/07/05/us/cahoots-replace-police-mental-health-trnd/index.html</w:t>
        </w:r>
      </w:hyperlink>
      <w:r w:rsidRPr="006A4ACE">
        <w:rPr>
          <w:sz w:val="20"/>
        </w:rPr>
        <w:t>.</w:t>
      </w:r>
    </w:p>
  </w:footnote>
  <w:footnote w:id="105">
    <w:p w14:paraId="239C6222" w14:textId="77777777" w:rsidR="00FD715C" w:rsidRPr="006A4ACE" w:rsidRDefault="00FD715C" w:rsidP="00683A06">
      <w:pPr>
        <w:pStyle w:val="FootnoteText"/>
        <w:rPr>
          <w:sz w:val="20"/>
        </w:rPr>
      </w:pPr>
      <w:r w:rsidRPr="006A4ACE">
        <w:rPr>
          <w:rStyle w:val="FootnoteReference"/>
          <w:sz w:val="20"/>
        </w:rPr>
        <w:footnoteRef/>
      </w:r>
      <w:r w:rsidRPr="006A4ACE">
        <w:rPr>
          <w:sz w:val="20"/>
        </w:rPr>
        <w:t xml:space="preserve"> </w:t>
      </w:r>
      <w:r w:rsidRPr="006A4ACE">
        <w:rPr>
          <w:i/>
          <w:sz w:val="20"/>
        </w:rPr>
        <w:t>Id.</w:t>
      </w:r>
    </w:p>
  </w:footnote>
  <w:footnote w:id="106">
    <w:p w14:paraId="416D70C4" w14:textId="77777777" w:rsidR="00FD715C" w:rsidRPr="006A4ACE" w:rsidRDefault="00FD715C" w:rsidP="00683A06">
      <w:pPr>
        <w:pStyle w:val="FootnoteText"/>
        <w:rPr>
          <w:sz w:val="20"/>
        </w:rPr>
      </w:pPr>
      <w:r w:rsidRPr="006A4ACE">
        <w:rPr>
          <w:rStyle w:val="FootnoteReference"/>
          <w:sz w:val="20"/>
        </w:rPr>
        <w:footnoteRef/>
      </w:r>
      <w:r w:rsidRPr="006A4ACE">
        <w:rPr>
          <w:sz w:val="20"/>
        </w:rPr>
        <w:t xml:space="preserve"> </w:t>
      </w:r>
      <w:r w:rsidRPr="006A4ACE">
        <w:rPr>
          <w:i/>
          <w:sz w:val="20"/>
        </w:rPr>
        <w:t>Id.</w:t>
      </w:r>
    </w:p>
  </w:footnote>
  <w:footnote w:id="107">
    <w:p w14:paraId="1E8BF4CF" w14:textId="77777777" w:rsidR="00FD715C" w:rsidRPr="006A4ACE" w:rsidRDefault="00FD715C" w:rsidP="00683A06">
      <w:pPr>
        <w:pStyle w:val="FootnoteText"/>
        <w:rPr>
          <w:sz w:val="20"/>
        </w:rPr>
      </w:pPr>
      <w:r w:rsidRPr="006A4ACE">
        <w:rPr>
          <w:rStyle w:val="FootnoteReference"/>
          <w:sz w:val="20"/>
        </w:rPr>
        <w:footnoteRef/>
      </w:r>
      <w:r w:rsidRPr="006A4ACE">
        <w:rPr>
          <w:sz w:val="20"/>
        </w:rPr>
        <w:t xml:space="preserve"> White Bird Clinic, supra note </w:t>
      </w:r>
      <w:r w:rsidRPr="006A4ACE">
        <w:rPr>
          <w:sz w:val="20"/>
        </w:rPr>
        <w:fldChar w:fldCharType="begin"/>
      </w:r>
      <w:r w:rsidRPr="006A4ACE">
        <w:rPr>
          <w:sz w:val="20"/>
        </w:rPr>
        <w:instrText xml:space="preserve"> NOTEREF _Ref64470836 \h </w:instrText>
      </w:r>
      <w:r>
        <w:rPr>
          <w:sz w:val="20"/>
        </w:rPr>
        <w:instrText xml:space="preserve"> \* MERGEFORMAT </w:instrText>
      </w:r>
      <w:r w:rsidRPr="006A4ACE">
        <w:rPr>
          <w:sz w:val="20"/>
        </w:rPr>
      </w:r>
      <w:r w:rsidRPr="006A4ACE">
        <w:rPr>
          <w:sz w:val="20"/>
        </w:rPr>
        <w:fldChar w:fldCharType="separate"/>
      </w:r>
      <w:r w:rsidRPr="006A4ACE">
        <w:rPr>
          <w:sz w:val="20"/>
        </w:rPr>
        <w:t>6</w:t>
      </w:r>
      <w:r w:rsidRPr="006A4ACE">
        <w:rPr>
          <w:sz w:val="20"/>
        </w:rPr>
        <w:fldChar w:fldCharType="end"/>
      </w:r>
      <w:r w:rsidRPr="006A4ACE">
        <w:rPr>
          <w:sz w:val="20"/>
        </w:rPr>
        <w:t>.</w:t>
      </w:r>
    </w:p>
  </w:footnote>
  <w:footnote w:id="108">
    <w:p w14:paraId="7A3B685C" w14:textId="77777777" w:rsidR="00FD715C" w:rsidRPr="006A4ACE" w:rsidRDefault="00FD715C" w:rsidP="00683A06">
      <w:pPr>
        <w:pStyle w:val="FootnoteText"/>
        <w:rPr>
          <w:sz w:val="20"/>
        </w:rPr>
      </w:pPr>
      <w:r w:rsidRPr="006A4ACE">
        <w:rPr>
          <w:rStyle w:val="FootnoteReference"/>
          <w:sz w:val="20"/>
        </w:rPr>
        <w:footnoteRef/>
      </w:r>
      <w:r w:rsidRPr="006A4ACE">
        <w:rPr>
          <w:sz w:val="20"/>
        </w:rPr>
        <w:t xml:space="preserve"> White Bird Clinic, supra note </w:t>
      </w:r>
      <w:r w:rsidRPr="006A4ACE">
        <w:rPr>
          <w:sz w:val="20"/>
        </w:rPr>
        <w:fldChar w:fldCharType="begin"/>
      </w:r>
      <w:r w:rsidRPr="006A4ACE">
        <w:rPr>
          <w:sz w:val="20"/>
        </w:rPr>
        <w:instrText xml:space="preserve"> NOTEREF _Ref64470745 \h </w:instrText>
      </w:r>
      <w:r>
        <w:rPr>
          <w:sz w:val="20"/>
        </w:rPr>
        <w:instrText xml:space="preserve"> \* MERGEFORMAT </w:instrText>
      </w:r>
      <w:r w:rsidRPr="006A4ACE">
        <w:rPr>
          <w:sz w:val="20"/>
        </w:rPr>
      </w:r>
      <w:r w:rsidRPr="006A4ACE">
        <w:rPr>
          <w:sz w:val="20"/>
        </w:rPr>
        <w:fldChar w:fldCharType="separate"/>
      </w:r>
      <w:r w:rsidRPr="006A4ACE">
        <w:rPr>
          <w:sz w:val="20"/>
        </w:rPr>
        <w:t>1</w:t>
      </w:r>
      <w:r w:rsidRPr="006A4ACE">
        <w:rPr>
          <w:sz w:val="20"/>
        </w:rPr>
        <w:fldChar w:fldCharType="end"/>
      </w:r>
      <w:r w:rsidRPr="006A4ACE">
        <w:rPr>
          <w:sz w:val="20"/>
        </w:rPr>
        <w:t>.</w:t>
      </w:r>
    </w:p>
  </w:footnote>
  <w:footnote w:id="109">
    <w:p w14:paraId="541F9658" w14:textId="77777777" w:rsidR="00FD715C" w:rsidRPr="006A4ACE" w:rsidRDefault="00FD715C" w:rsidP="00683A06">
      <w:pPr>
        <w:pStyle w:val="FootnoteText"/>
        <w:rPr>
          <w:i/>
          <w:sz w:val="20"/>
        </w:rPr>
      </w:pPr>
      <w:r w:rsidRPr="006A4ACE">
        <w:rPr>
          <w:rStyle w:val="FootnoteReference"/>
          <w:sz w:val="20"/>
        </w:rPr>
        <w:footnoteRef/>
      </w:r>
      <w:r w:rsidRPr="006A4ACE">
        <w:rPr>
          <w:sz w:val="20"/>
        </w:rPr>
        <w:t xml:space="preserve"> </w:t>
      </w:r>
      <w:r w:rsidRPr="006A4ACE">
        <w:rPr>
          <w:i/>
          <w:sz w:val="20"/>
        </w:rPr>
        <w:t>Id.</w:t>
      </w:r>
    </w:p>
  </w:footnote>
  <w:footnote w:id="110">
    <w:p w14:paraId="5AD790CC" w14:textId="77777777" w:rsidR="00FD715C" w:rsidRPr="006A4ACE" w:rsidRDefault="00FD715C" w:rsidP="00683A06">
      <w:pPr>
        <w:pStyle w:val="FootnoteText"/>
        <w:rPr>
          <w:sz w:val="20"/>
        </w:rPr>
      </w:pPr>
      <w:r w:rsidRPr="006A4ACE">
        <w:rPr>
          <w:rStyle w:val="FootnoteReference"/>
          <w:sz w:val="20"/>
        </w:rPr>
        <w:footnoteRef/>
      </w:r>
      <w:r w:rsidRPr="006A4ACE">
        <w:rPr>
          <w:sz w:val="20"/>
        </w:rPr>
        <w:t xml:space="preserve"> </w:t>
      </w:r>
      <w:r w:rsidRPr="006A4ACE">
        <w:rPr>
          <w:i/>
          <w:sz w:val="20"/>
        </w:rPr>
        <w:t>Id.</w:t>
      </w:r>
    </w:p>
  </w:footnote>
  <w:footnote w:id="111">
    <w:p w14:paraId="1ADAD25B" w14:textId="77777777" w:rsidR="00FD715C" w:rsidRPr="006A4ACE" w:rsidRDefault="00FD715C" w:rsidP="00683A06">
      <w:pPr>
        <w:pStyle w:val="FootnoteText"/>
        <w:rPr>
          <w:sz w:val="20"/>
        </w:rPr>
      </w:pPr>
      <w:r w:rsidRPr="006A4ACE">
        <w:rPr>
          <w:rStyle w:val="FootnoteReference"/>
          <w:sz w:val="20"/>
        </w:rPr>
        <w:footnoteRef/>
      </w:r>
      <w:r w:rsidRPr="006A4ACE">
        <w:rPr>
          <w:sz w:val="20"/>
        </w:rPr>
        <w:t xml:space="preserve"> Jackson Beck, Melissa Reuland, &amp; Leah Pope, “CASE STUDY: CAHOOTS”, Vera Institute of Justice, November, 2020, Available at: </w:t>
      </w:r>
      <w:hyperlink r:id="rId38" w:history="1">
        <w:r w:rsidRPr="006A4ACE">
          <w:rPr>
            <w:rStyle w:val="Hyperlink"/>
            <w:sz w:val="20"/>
          </w:rPr>
          <w:t>https://www.vera.org/behavioral-health-crisis-alternatives/cahoots</w:t>
        </w:r>
      </w:hyperlink>
      <w:r w:rsidRPr="006A4ACE">
        <w:rPr>
          <w:sz w:val="20"/>
        </w:rPr>
        <w:t>.</w:t>
      </w:r>
    </w:p>
  </w:footnote>
  <w:footnote w:id="112">
    <w:p w14:paraId="57C4A448" w14:textId="77777777" w:rsidR="00FD715C" w:rsidRPr="006A4ACE" w:rsidRDefault="00FD715C" w:rsidP="00683A06">
      <w:pPr>
        <w:pStyle w:val="FootnoteText"/>
        <w:rPr>
          <w:sz w:val="20"/>
        </w:rPr>
      </w:pPr>
      <w:r w:rsidRPr="006A4ACE">
        <w:rPr>
          <w:rStyle w:val="FootnoteReference"/>
          <w:sz w:val="20"/>
        </w:rPr>
        <w:footnoteRef/>
      </w:r>
      <w:r w:rsidRPr="006A4ACE">
        <w:rPr>
          <w:sz w:val="20"/>
        </w:rPr>
        <w:t xml:space="preserve"> </w:t>
      </w:r>
      <w:r w:rsidRPr="006A4ACE">
        <w:rPr>
          <w:i/>
          <w:sz w:val="20"/>
        </w:rPr>
        <w:t>Id.</w:t>
      </w:r>
    </w:p>
  </w:footnote>
  <w:footnote w:id="113">
    <w:p w14:paraId="2DDF32FA" w14:textId="77777777" w:rsidR="00FD715C" w:rsidRPr="006A4ACE" w:rsidRDefault="00FD715C" w:rsidP="00683A06">
      <w:pPr>
        <w:pStyle w:val="FootnoteText"/>
        <w:rPr>
          <w:sz w:val="20"/>
        </w:rPr>
      </w:pPr>
      <w:r w:rsidRPr="006A4ACE">
        <w:rPr>
          <w:rStyle w:val="FootnoteReference"/>
          <w:sz w:val="20"/>
        </w:rPr>
        <w:footnoteRef/>
      </w:r>
      <w:r w:rsidRPr="006A4ACE">
        <w:rPr>
          <w:sz w:val="20"/>
        </w:rPr>
        <w:t xml:space="preserve"> Climer, supra note </w:t>
      </w:r>
      <w:r w:rsidRPr="006A4ACE">
        <w:rPr>
          <w:sz w:val="20"/>
        </w:rPr>
        <w:fldChar w:fldCharType="begin"/>
      </w:r>
      <w:r w:rsidRPr="006A4ACE">
        <w:rPr>
          <w:sz w:val="20"/>
        </w:rPr>
        <w:instrText xml:space="preserve"> NOTEREF _Ref64470928 \h  \* MERGEFORMAT </w:instrText>
      </w:r>
      <w:r w:rsidRPr="006A4ACE">
        <w:rPr>
          <w:sz w:val="20"/>
        </w:rPr>
      </w:r>
      <w:r w:rsidRPr="006A4ACE">
        <w:rPr>
          <w:sz w:val="20"/>
        </w:rPr>
        <w:fldChar w:fldCharType="separate"/>
      </w:r>
      <w:r w:rsidRPr="006A4ACE">
        <w:rPr>
          <w:sz w:val="20"/>
        </w:rPr>
        <w:t>3</w:t>
      </w:r>
      <w:r w:rsidRPr="006A4ACE">
        <w:rPr>
          <w:sz w:val="20"/>
        </w:rPr>
        <w:fldChar w:fldCharType="end"/>
      </w:r>
      <w:r w:rsidRPr="006A4ACE">
        <w:rPr>
          <w:sz w:val="20"/>
        </w:rPr>
        <w:t>.</w:t>
      </w:r>
    </w:p>
  </w:footnote>
  <w:footnote w:id="114">
    <w:p w14:paraId="66B36BF9" w14:textId="77777777" w:rsidR="00FD715C" w:rsidRPr="006A4ACE" w:rsidRDefault="00FD715C" w:rsidP="00683A06">
      <w:pPr>
        <w:pStyle w:val="FootnoteText"/>
        <w:rPr>
          <w:sz w:val="20"/>
        </w:rPr>
      </w:pPr>
      <w:r w:rsidRPr="006A4ACE">
        <w:rPr>
          <w:rStyle w:val="FootnoteReference"/>
          <w:sz w:val="20"/>
        </w:rPr>
        <w:footnoteRef/>
      </w:r>
      <w:r w:rsidRPr="006A4ACE">
        <w:rPr>
          <w:sz w:val="20"/>
        </w:rPr>
        <w:t xml:space="preserve"> </w:t>
      </w:r>
      <w:r w:rsidRPr="006A4ACE">
        <w:rPr>
          <w:i/>
          <w:sz w:val="20"/>
        </w:rPr>
        <w:t>Id.</w:t>
      </w:r>
    </w:p>
  </w:footnote>
  <w:footnote w:id="115">
    <w:p w14:paraId="0C42106B" w14:textId="77777777" w:rsidR="00FD715C" w:rsidRDefault="00FD715C" w:rsidP="00683A06">
      <w:pPr>
        <w:pStyle w:val="FootnoteText"/>
      </w:pPr>
      <w:r w:rsidRPr="006A4ACE">
        <w:rPr>
          <w:rStyle w:val="FootnoteReference"/>
          <w:sz w:val="20"/>
        </w:rPr>
        <w:footnoteRef/>
      </w:r>
      <w:r w:rsidRPr="006A4ACE">
        <w:rPr>
          <w:sz w:val="20"/>
        </w:rPr>
        <w:t xml:space="preserve"> </w:t>
      </w:r>
      <w:r w:rsidRPr="006A4ACE">
        <w:rPr>
          <w:i/>
          <w:sz w:val="20"/>
        </w:rPr>
        <w:t>Id.</w:t>
      </w:r>
    </w:p>
  </w:footnote>
  <w:footnote w:id="116">
    <w:p w14:paraId="5D7C8DFE" w14:textId="77777777" w:rsidR="00FD715C" w:rsidRPr="006A4ACE" w:rsidRDefault="00FD715C" w:rsidP="00683A06">
      <w:pPr>
        <w:pStyle w:val="FootnoteText"/>
        <w:rPr>
          <w:sz w:val="20"/>
        </w:rPr>
      </w:pPr>
      <w:r w:rsidRPr="006A4ACE">
        <w:rPr>
          <w:rStyle w:val="FootnoteReference"/>
          <w:sz w:val="20"/>
        </w:rPr>
        <w:footnoteRef/>
      </w:r>
      <w:r w:rsidRPr="006A4ACE">
        <w:rPr>
          <w:sz w:val="20"/>
        </w:rPr>
        <w:t xml:space="preserve"> White Bird Clinic, supra note </w:t>
      </w:r>
      <w:r w:rsidRPr="006A4ACE">
        <w:rPr>
          <w:sz w:val="20"/>
        </w:rPr>
        <w:fldChar w:fldCharType="begin"/>
      </w:r>
      <w:r w:rsidRPr="006A4ACE">
        <w:rPr>
          <w:sz w:val="20"/>
        </w:rPr>
        <w:instrText xml:space="preserve"> NOTEREF _Ref64470745 \h </w:instrText>
      </w:r>
      <w:r>
        <w:rPr>
          <w:sz w:val="20"/>
        </w:rPr>
        <w:instrText xml:space="preserve"> \* MERGEFORMAT </w:instrText>
      </w:r>
      <w:r w:rsidRPr="006A4ACE">
        <w:rPr>
          <w:sz w:val="20"/>
        </w:rPr>
      </w:r>
      <w:r w:rsidRPr="006A4ACE">
        <w:rPr>
          <w:sz w:val="20"/>
        </w:rPr>
        <w:fldChar w:fldCharType="separate"/>
      </w:r>
      <w:r w:rsidRPr="006A4ACE">
        <w:rPr>
          <w:sz w:val="20"/>
        </w:rPr>
        <w:t>1</w:t>
      </w:r>
      <w:r w:rsidRPr="006A4ACE">
        <w:rPr>
          <w:sz w:val="20"/>
        </w:rPr>
        <w:fldChar w:fldCharType="end"/>
      </w:r>
      <w:r w:rsidRPr="006A4ACE">
        <w:rPr>
          <w:sz w:val="20"/>
        </w:rPr>
        <w:t>.</w:t>
      </w:r>
    </w:p>
  </w:footnote>
  <w:footnote w:id="117">
    <w:p w14:paraId="0E604129" w14:textId="77777777" w:rsidR="00FD715C" w:rsidRPr="006A4ACE" w:rsidRDefault="00FD715C" w:rsidP="00683A06">
      <w:pPr>
        <w:pStyle w:val="FootnoteText"/>
        <w:rPr>
          <w:sz w:val="20"/>
        </w:rPr>
      </w:pPr>
      <w:r w:rsidRPr="006A4ACE">
        <w:rPr>
          <w:rStyle w:val="FootnoteReference"/>
          <w:sz w:val="20"/>
        </w:rPr>
        <w:footnoteRef/>
      </w:r>
      <w:r w:rsidRPr="006A4ACE">
        <w:rPr>
          <w:sz w:val="20"/>
        </w:rPr>
        <w:t xml:space="preserve"> </w:t>
      </w:r>
      <w:r w:rsidRPr="006A4ACE">
        <w:rPr>
          <w:i/>
          <w:sz w:val="20"/>
        </w:rPr>
        <w:t>Id.</w:t>
      </w:r>
    </w:p>
  </w:footnote>
  <w:footnote w:id="118">
    <w:p w14:paraId="1DB08D5A" w14:textId="77777777" w:rsidR="00FD715C" w:rsidRPr="006A4ACE" w:rsidRDefault="00FD715C" w:rsidP="00683A06">
      <w:pPr>
        <w:pStyle w:val="FootnoteText"/>
        <w:rPr>
          <w:sz w:val="20"/>
        </w:rPr>
      </w:pPr>
      <w:r w:rsidRPr="006A4ACE">
        <w:rPr>
          <w:rStyle w:val="FootnoteReference"/>
          <w:sz w:val="20"/>
        </w:rPr>
        <w:footnoteRef/>
      </w:r>
      <w:r w:rsidRPr="006A4ACE">
        <w:rPr>
          <w:sz w:val="20"/>
        </w:rPr>
        <w:t xml:space="preserve"> Andrew, supra note </w:t>
      </w:r>
      <w:r w:rsidRPr="006A4ACE">
        <w:rPr>
          <w:sz w:val="20"/>
        </w:rPr>
        <w:fldChar w:fldCharType="begin"/>
      </w:r>
      <w:r w:rsidRPr="006A4ACE">
        <w:rPr>
          <w:sz w:val="20"/>
        </w:rPr>
        <w:instrText xml:space="preserve"> NOTEREF _Ref64470969 \h </w:instrText>
      </w:r>
      <w:r>
        <w:rPr>
          <w:sz w:val="20"/>
        </w:rPr>
        <w:instrText xml:space="preserve"> \* MERGEFORMAT </w:instrText>
      </w:r>
      <w:r w:rsidRPr="006A4ACE">
        <w:rPr>
          <w:sz w:val="20"/>
        </w:rPr>
      </w:r>
      <w:r w:rsidRPr="006A4ACE">
        <w:rPr>
          <w:sz w:val="20"/>
        </w:rPr>
        <w:fldChar w:fldCharType="separate"/>
      </w:r>
      <w:r w:rsidRPr="006A4ACE">
        <w:rPr>
          <w:sz w:val="20"/>
        </w:rPr>
        <w:t>7</w:t>
      </w:r>
      <w:r w:rsidRPr="006A4ACE">
        <w:rPr>
          <w:sz w:val="20"/>
        </w:rPr>
        <w:fldChar w:fldCharType="end"/>
      </w:r>
      <w:r w:rsidRPr="006A4ACE">
        <w:rPr>
          <w:sz w:val="20"/>
        </w:rPr>
        <w:t>.</w:t>
      </w:r>
    </w:p>
  </w:footnote>
  <w:footnote w:id="119">
    <w:p w14:paraId="192B65CD" w14:textId="77777777" w:rsidR="00FD715C" w:rsidRPr="006A4ACE" w:rsidRDefault="00FD715C" w:rsidP="00683A06">
      <w:pPr>
        <w:pStyle w:val="FootnoteText"/>
        <w:rPr>
          <w:sz w:val="20"/>
        </w:rPr>
      </w:pPr>
      <w:r w:rsidRPr="006A4ACE">
        <w:rPr>
          <w:rStyle w:val="FootnoteReference"/>
          <w:sz w:val="20"/>
        </w:rPr>
        <w:footnoteRef/>
      </w:r>
      <w:r w:rsidRPr="006A4ACE">
        <w:rPr>
          <w:sz w:val="20"/>
        </w:rPr>
        <w:t xml:space="preserve"> Olympia Police Department “Crisis Response &amp; Peer Navigators”, October 28, 2020, Available at: </w:t>
      </w:r>
      <w:hyperlink r:id="rId39" w:history="1">
        <w:r w:rsidRPr="006A4ACE">
          <w:rPr>
            <w:rStyle w:val="Hyperlink"/>
            <w:sz w:val="20"/>
          </w:rPr>
          <w:t>https://olympiawa.gov/city-services/police-department/Crisis-Response-Peer-Navigator.aspx</w:t>
        </w:r>
      </w:hyperlink>
      <w:r w:rsidRPr="006A4ACE">
        <w:rPr>
          <w:sz w:val="20"/>
        </w:rPr>
        <w:t>.</w:t>
      </w:r>
    </w:p>
  </w:footnote>
  <w:footnote w:id="120">
    <w:p w14:paraId="30ED347A" w14:textId="77777777" w:rsidR="00FD715C" w:rsidRPr="006A4ACE" w:rsidRDefault="00FD715C" w:rsidP="00683A06">
      <w:pPr>
        <w:pStyle w:val="FootnoteText"/>
        <w:rPr>
          <w:i/>
          <w:sz w:val="20"/>
        </w:rPr>
      </w:pPr>
      <w:r w:rsidRPr="006A4ACE">
        <w:rPr>
          <w:rStyle w:val="FootnoteReference"/>
          <w:sz w:val="20"/>
        </w:rPr>
        <w:footnoteRef/>
      </w:r>
      <w:r w:rsidRPr="006A4ACE">
        <w:rPr>
          <w:sz w:val="20"/>
        </w:rPr>
        <w:t xml:space="preserve"> </w:t>
      </w:r>
      <w:r w:rsidRPr="006A4ACE">
        <w:rPr>
          <w:i/>
          <w:sz w:val="20"/>
        </w:rPr>
        <w:t>Id.</w:t>
      </w:r>
    </w:p>
  </w:footnote>
  <w:footnote w:id="121">
    <w:p w14:paraId="1702FF58" w14:textId="77777777" w:rsidR="00FD715C" w:rsidRPr="006A4ACE" w:rsidRDefault="00FD715C" w:rsidP="00683A06">
      <w:pPr>
        <w:pStyle w:val="FootnoteText"/>
        <w:rPr>
          <w:i/>
          <w:sz w:val="20"/>
        </w:rPr>
      </w:pPr>
      <w:r w:rsidRPr="006A4ACE">
        <w:rPr>
          <w:rStyle w:val="FootnoteReference"/>
          <w:sz w:val="20"/>
        </w:rPr>
        <w:footnoteRef/>
      </w:r>
      <w:r w:rsidRPr="006A4ACE">
        <w:rPr>
          <w:sz w:val="20"/>
        </w:rPr>
        <w:t xml:space="preserve"> </w:t>
      </w:r>
      <w:r w:rsidRPr="006A4ACE">
        <w:rPr>
          <w:i/>
          <w:sz w:val="20"/>
        </w:rPr>
        <w:t>Id.</w:t>
      </w:r>
    </w:p>
  </w:footnote>
  <w:footnote w:id="122">
    <w:p w14:paraId="690A9055" w14:textId="77777777" w:rsidR="00FD715C" w:rsidRPr="006A4ACE" w:rsidRDefault="00FD715C" w:rsidP="00683A06">
      <w:pPr>
        <w:pStyle w:val="FootnoteText"/>
        <w:rPr>
          <w:sz w:val="20"/>
        </w:rPr>
      </w:pPr>
      <w:r w:rsidRPr="006A4ACE">
        <w:rPr>
          <w:rStyle w:val="FootnoteReference"/>
          <w:sz w:val="20"/>
        </w:rPr>
        <w:footnoteRef/>
      </w:r>
      <w:r w:rsidRPr="006A4ACE">
        <w:rPr>
          <w:sz w:val="20"/>
        </w:rPr>
        <w:t xml:space="preserve"> </w:t>
      </w:r>
      <w:r w:rsidRPr="006A4ACE">
        <w:rPr>
          <w:i/>
          <w:sz w:val="20"/>
        </w:rPr>
        <w:t>Id.</w:t>
      </w:r>
    </w:p>
  </w:footnote>
  <w:footnote w:id="123">
    <w:p w14:paraId="55500404" w14:textId="77777777" w:rsidR="00FD715C" w:rsidRPr="006A4ACE" w:rsidRDefault="00FD715C" w:rsidP="00683A06">
      <w:pPr>
        <w:pStyle w:val="FootnoteText"/>
        <w:rPr>
          <w:sz w:val="20"/>
        </w:rPr>
      </w:pPr>
      <w:r w:rsidRPr="006A4ACE">
        <w:rPr>
          <w:rStyle w:val="FootnoteReference"/>
          <w:sz w:val="20"/>
        </w:rPr>
        <w:footnoteRef/>
      </w:r>
      <w:r w:rsidRPr="006A4ACE">
        <w:rPr>
          <w:sz w:val="20"/>
        </w:rPr>
        <w:t xml:space="preserve"> Jackson Beck, Melissa Reuland, &amp; Leah Pope, “CASE STUDY: CRU and Familiar Faces”, Vera Institute of Justice, November, 2020, Available at: </w:t>
      </w:r>
      <w:hyperlink r:id="rId40" w:history="1">
        <w:r w:rsidRPr="006A4ACE">
          <w:rPr>
            <w:rStyle w:val="Hyperlink"/>
            <w:sz w:val="20"/>
          </w:rPr>
          <w:t>https://www.vera.org/behavioral-health-crisis-alternatives/cru-and-familiar-faces</w:t>
        </w:r>
      </w:hyperlink>
      <w:r w:rsidRPr="006A4ACE">
        <w:rPr>
          <w:sz w:val="20"/>
        </w:rPr>
        <w:t>.</w:t>
      </w:r>
    </w:p>
  </w:footnote>
  <w:footnote w:id="124">
    <w:p w14:paraId="79B6DFF2" w14:textId="77777777" w:rsidR="00FD715C" w:rsidRPr="006A4ACE" w:rsidRDefault="00FD715C" w:rsidP="00683A06">
      <w:pPr>
        <w:pStyle w:val="FootnoteText"/>
        <w:rPr>
          <w:sz w:val="20"/>
        </w:rPr>
      </w:pPr>
      <w:r w:rsidRPr="006A4ACE">
        <w:rPr>
          <w:rStyle w:val="FootnoteReference"/>
          <w:sz w:val="20"/>
        </w:rPr>
        <w:footnoteRef/>
      </w:r>
      <w:r w:rsidRPr="006A4ACE">
        <w:rPr>
          <w:sz w:val="20"/>
        </w:rPr>
        <w:t xml:space="preserve"> </w:t>
      </w:r>
      <w:r w:rsidRPr="006A4ACE">
        <w:rPr>
          <w:i/>
          <w:sz w:val="20"/>
        </w:rPr>
        <w:t>Id.</w:t>
      </w:r>
    </w:p>
  </w:footnote>
  <w:footnote w:id="125">
    <w:p w14:paraId="77BA4697" w14:textId="77777777" w:rsidR="00FD715C" w:rsidRPr="006A4ACE" w:rsidRDefault="00FD715C" w:rsidP="00683A06">
      <w:pPr>
        <w:pStyle w:val="FootnoteText"/>
        <w:rPr>
          <w:sz w:val="20"/>
        </w:rPr>
      </w:pPr>
      <w:r w:rsidRPr="006A4ACE">
        <w:rPr>
          <w:rStyle w:val="FootnoteReference"/>
          <w:sz w:val="20"/>
        </w:rPr>
        <w:footnoteRef/>
      </w:r>
      <w:r w:rsidRPr="006A4ACE">
        <w:rPr>
          <w:sz w:val="20"/>
        </w:rPr>
        <w:t xml:space="preserve"> </w:t>
      </w:r>
      <w:r w:rsidRPr="006A4ACE">
        <w:rPr>
          <w:i/>
          <w:sz w:val="20"/>
        </w:rPr>
        <w:t>Id.</w:t>
      </w:r>
    </w:p>
  </w:footnote>
  <w:footnote w:id="126">
    <w:p w14:paraId="4032FC7A" w14:textId="77777777" w:rsidR="00FD715C" w:rsidRPr="006A4ACE" w:rsidRDefault="00FD715C" w:rsidP="00683A06">
      <w:pPr>
        <w:pStyle w:val="FootnoteText"/>
        <w:rPr>
          <w:sz w:val="20"/>
        </w:rPr>
      </w:pPr>
      <w:r w:rsidRPr="006A4ACE">
        <w:rPr>
          <w:rStyle w:val="FootnoteReference"/>
          <w:sz w:val="20"/>
        </w:rPr>
        <w:footnoteRef/>
      </w:r>
      <w:r w:rsidRPr="006A4ACE">
        <w:rPr>
          <w:sz w:val="20"/>
        </w:rPr>
        <w:t xml:space="preserve"> </w:t>
      </w:r>
      <w:r w:rsidRPr="006A4ACE">
        <w:rPr>
          <w:i/>
          <w:sz w:val="20"/>
        </w:rPr>
        <w:t>Id.</w:t>
      </w:r>
    </w:p>
  </w:footnote>
  <w:footnote w:id="127">
    <w:p w14:paraId="7F0CA444" w14:textId="77777777" w:rsidR="00FD715C" w:rsidRPr="006A4ACE" w:rsidRDefault="00FD715C" w:rsidP="00683A06">
      <w:pPr>
        <w:pStyle w:val="FootnoteText"/>
        <w:rPr>
          <w:sz w:val="20"/>
        </w:rPr>
      </w:pPr>
      <w:r w:rsidRPr="006A4ACE">
        <w:rPr>
          <w:rStyle w:val="FootnoteReference"/>
          <w:sz w:val="20"/>
        </w:rPr>
        <w:footnoteRef/>
      </w:r>
      <w:r w:rsidRPr="006A4ACE">
        <w:rPr>
          <w:sz w:val="20"/>
        </w:rPr>
        <w:t xml:space="preserve"> </w:t>
      </w:r>
      <w:r w:rsidRPr="006A4ACE">
        <w:rPr>
          <w:i/>
          <w:sz w:val="20"/>
        </w:rPr>
        <w:t>Id.</w:t>
      </w:r>
    </w:p>
  </w:footnote>
  <w:footnote w:id="128">
    <w:p w14:paraId="2306BDA4" w14:textId="77777777" w:rsidR="00FD715C" w:rsidRPr="006A4ACE" w:rsidRDefault="00FD715C" w:rsidP="00683A06">
      <w:pPr>
        <w:pStyle w:val="FootnoteText"/>
        <w:rPr>
          <w:sz w:val="20"/>
        </w:rPr>
      </w:pPr>
      <w:r w:rsidRPr="006A4ACE">
        <w:rPr>
          <w:rStyle w:val="FootnoteReference"/>
          <w:sz w:val="20"/>
        </w:rPr>
        <w:footnoteRef/>
      </w:r>
      <w:r w:rsidRPr="006A4ACE">
        <w:rPr>
          <w:sz w:val="20"/>
        </w:rPr>
        <w:t xml:space="preserve"> </w:t>
      </w:r>
      <w:r w:rsidRPr="006A4ACE">
        <w:rPr>
          <w:i/>
          <w:sz w:val="20"/>
        </w:rPr>
        <w:t>Id.</w:t>
      </w:r>
    </w:p>
  </w:footnote>
  <w:footnote w:id="129">
    <w:p w14:paraId="54A5F6A6" w14:textId="77777777" w:rsidR="00FD715C" w:rsidRPr="006A4ACE" w:rsidRDefault="00FD715C" w:rsidP="00683A06">
      <w:pPr>
        <w:pStyle w:val="FootnoteText"/>
        <w:rPr>
          <w:b/>
          <w:bCs/>
          <w:sz w:val="20"/>
        </w:rPr>
      </w:pPr>
      <w:r w:rsidRPr="006A4ACE">
        <w:rPr>
          <w:rStyle w:val="FootnoteReference"/>
          <w:sz w:val="20"/>
        </w:rPr>
        <w:footnoteRef/>
      </w:r>
      <w:r w:rsidRPr="006A4ACE">
        <w:rPr>
          <w:sz w:val="20"/>
        </w:rPr>
        <w:t xml:space="preserve"> Alan Taylor, “</w:t>
      </w:r>
      <w:r w:rsidRPr="006A4ACE">
        <w:rPr>
          <w:bCs/>
          <w:sz w:val="20"/>
        </w:rPr>
        <w:t xml:space="preserve">Photos of Woodstock 1969, on Its 50th Anniversary”, The Atlantic, August 14, 2019, Available at: </w:t>
      </w:r>
      <w:hyperlink r:id="rId41" w:history="1">
        <w:r w:rsidRPr="006A4ACE">
          <w:rPr>
            <w:rStyle w:val="Hyperlink"/>
            <w:sz w:val="20"/>
          </w:rPr>
          <w:t>https://www.theatlantic.com/photo/2019/08/woodstock-50-photos-1969/596107/</w:t>
        </w:r>
      </w:hyperlink>
      <w:r w:rsidRPr="006A4ACE">
        <w:rPr>
          <w:sz w:val="20"/>
        </w:rPr>
        <w:t>.</w:t>
      </w:r>
    </w:p>
  </w:footnote>
  <w:footnote w:id="130">
    <w:p w14:paraId="7DF40F60" w14:textId="77777777" w:rsidR="00FD715C" w:rsidRPr="006A4ACE" w:rsidRDefault="00FD715C" w:rsidP="00683A06">
      <w:pPr>
        <w:pStyle w:val="FootnoteText"/>
        <w:rPr>
          <w:sz w:val="20"/>
        </w:rPr>
      </w:pPr>
      <w:r w:rsidRPr="006A4ACE">
        <w:rPr>
          <w:rStyle w:val="FootnoteReference"/>
          <w:sz w:val="20"/>
        </w:rPr>
        <w:footnoteRef/>
      </w:r>
      <w:r w:rsidRPr="006A4ACE">
        <w:rPr>
          <w:sz w:val="20"/>
        </w:rPr>
        <w:t xml:space="preserve"> </w:t>
      </w:r>
      <w:r w:rsidRPr="006A4ACE">
        <w:rPr>
          <w:i/>
          <w:sz w:val="20"/>
        </w:rPr>
        <w:t>Id.</w:t>
      </w:r>
    </w:p>
  </w:footnote>
  <w:footnote w:id="131">
    <w:p w14:paraId="16FEC43F" w14:textId="77777777" w:rsidR="00FD715C" w:rsidRPr="006A4ACE" w:rsidRDefault="00FD715C" w:rsidP="00683A06">
      <w:pPr>
        <w:pStyle w:val="FootnoteText"/>
        <w:rPr>
          <w:sz w:val="20"/>
        </w:rPr>
      </w:pPr>
      <w:r w:rsidRPr="006A4ACE">
        <w:rPr>
          <w:rStyle w:val="FootnoteReference"/>
          <w:sz w:val="20"/>
        </w:rPr>
        <w:footnoteRef/>
      </w:r>
      <w:r w:rsidRPr="006A4ACE">
        <w:rPr>
          <w:sz w:val="20"/>
        </w:rPr>
        <w:t xml:space="preserve"> “Woodstock”, A&amp;E Television Networks, March 26, 2019, Available at: </w:t>
      </w:r>
      <w:hyperlink r:id="rId42" w:history="1">
        <w:r w:rsidRPr="006A4ACE">
          <w:rPr>
            <w:rStyle w:val="Hyperlink"/>
            <w:sz w:val="20"/>
          </w:rPr>
          <w:t>https://www.history.com/topics/1960s/Woodstock</w:t>
        </w:r>
      </w:hyperlink>
      <w:r w:rsidRPr="006A4ACE">
        <w:rPr>
          <w:sz w:val="20"/>
        </w:rPr>
        <w:t>.</w:t>
      </w:r>
    </w:p>
  </w:footnote>
  <w:footnote w:id="132">
    <w:p w14:paraId="46BB6DCB" w14:textId="77777777" w:rsidR="00FD715C" w:rsidRPr="006A4ACE" w:rsidRDefault="00FD715C" w:rsidP="00683A06">
      <w:pPr>
        <w:pStyle w:val="FootnoteText"/>
        <w:rPr>
          <w:sz w:val="20"/>
        </w:rPr>
      </w:pPr>
      <w:r w:rsidRPr="006A4ACE">
        <w:rPr>
          <w:rStyle w:val="FootnoteReference"/>
          <w:sz w:val="20"/>
        </w:rPr>
        <w:footnoteRef/>
      </w:r>
      <w:r w:rsidRPr="006A4ACE">
        <w:rPr>
          <w:sz w:val="20"/>
        </w:rPr>
        <w:t xml:space="preserve"> Linda Witt, “Wavy Gravy”, Chicago Tribune, June 23, 1986, Available at: </w:t>
      </w:r>
      <w:hyperlink r:id="rId43" w:history="1">
        <w:r w:rsidRPr="006A4ACE">
          <w:rPr>
            <w:rStyle w:val="Hyperlink"/>
            <w:sz w:val="20"/>
          </w:rPr>
          <w:t>https://www.chicagotribune.com/news/ct-xpm-1986-06-12-8602110969-story.html.</w:t>
        </w:r>
      </w:hyperlink>
    </w:p>
  </w:footnote>
  <w:footnote w:id="133">
    <w:p w14:paraId="1F6FD479" w14:textId="77777777" w:rsidR="00FD715C" w:rsidRPr="006A4ACE" w:rsidRDefault="00FD715C" w:rsidP="00683A06">
      <w:pPr>
        <w:pStyle w:val="FootnoteText"/>
        <w:rPr>
          <w:sz w:val="20"/>
        </w:rPr>
      </w:pPr>
      <w:r w:rsidRPr="006A4ACE">
        <w:rPr>
          <w:rStyle w:val="FootnoteReference"/>
          <w:sz w:val="20"/>
        </w:rPr>
        <w:footnoteRef/>
      </w:r>
      <w:r w:rsidRPr="006A4ACE">
        <w:rPr>
          <w:sz w:val="20"/>
        </w:rPr>
        <w:t xml:space="preserve"> A&amp;E Television Networks, supra note </w:t>
      </w:r>
      <w:r w:rsidRPr="006A4ACE">
        <w:rPr>
          <w:sz w:val="20"/>
        </w:rPr>
        <w:fldChar w:fldCharType="begin"/>
      </w:r>
      <w:r w:rsidRPr="006A4ACE">
        <w:rPr>
          <w:sz w:val="20"/>
        </w:rPr>
        <w:instrText xml:space="preserve"> NOTEREF _Ref64471314 \h </w:instrText>
      </w:r>
      <w:r>
        <w:rPr>
          <w:sz w:val="20"/>
        </w:rPr>
        <w:instrText xml:space="preserve"> \* MERGEFORMAT </w:instrText>
      </w:r>
      <w:r w:rsidRPr="006A4ACE">
        <w:rPr>
          <w:sz w:val="20"/>
        </w:rPr>
      </w:r>
      <w:r w:rsidRPr="006A4ACE">
        <w:rPr>
          <w:sz w:val="20"/>
        </w:rPr>
        <w:fldChar w:fldCharType="separate"/>
      </w:r>
      <w:r w:rsidRPr="006A4ACE">
        <w:rPr>
          <w:sz w:val="20"/>
        </w:rPr>
        <w:t>34</w:t>
      </w:r>
      <w:r w:rsidRPr="006A4ACE">
        <w:rPr>
          <w:sz w:val="20"/>
        </w:rPr>
        <w:fldChar w:fldCharType="end"/>
      </w:r>
      <w:r w:rsidRPr="006A4ACE">
        <w:rPr>
          <w:sz w:val="20"/>
        </w:rPr>
        <w:t>.</w:t>
      </w:r>
    </w:p>
  </w:footnote>
  <w:footnote w:id="134">
    <w:p w14:paraId="2036E3A0" w14:textId="77777777" w:rsidR="00FD715C" w:rsidRPr="006A4ACE" w:rsidRDefault="00FD715C" w:rsidP="00683A06">
      <w:pPr>
        <w:pStyle w:val="FootnoteText"/>
        <w:rPr>
          <w:sz w:val="20"/>
        </w:rPr>
      </w:pPr>
      <w:r w:rsidRPr="006A4ACE">
        <w:rPr>
          <w:rStyle w:val="FootnoteReference"/>
          <w:sz w:val="20"/>
        </w:rPr>
        <w:footnoteRef/>
      </w:r>
      <w:r w:rsidRPr="006A4ACE">
        <w:rPr>
          <w:sz w:val="20"/>
        </w:rPr>
        <w:t xml:space="preserve"> </w:t>
      </w:r>
      <w:r w:rsidRPr="006A4ACE">
        <w:rPr>
          <w:i/>
          <w:sz w:val="20"/>
        </w:rPr>
        <w:t>Id.</w:t>
      </w:r>
    </w:p>
  </w:footnote>
  <w:footnote w:id="135">
    <w:p w14:paraId="74C73768" w14:textId="77777777" w:rsidR="00FD715C" w:rsidRPr="006A4ACE" w:rsidRDefault="00FD715C" w:rsidP="00683A06">
      <w:pPr>
        <w:pStyle w:val="FootnoteText"/>
        <w:rPr>
          <w:sz w:val="20"/>
        </w:rPr>
      </w:pPr>
      <w:r w:rsidRPr="006A4ACE">
        <w:rPr>
          <w:rStyle w:val="FootnoteReference"/>
          <w:sz w:val="20"/>
        </w:rPr>
        <w:footnoteRef/>
      </w:r>
      <w:r w:rsidRPr="006A4ACE">
        <w:rPr>
          <w:sz w:val="20"/>
        </w:rPr>
        <w:t xml:space="preserve"> “</w:t>
      </w:r>
      <w:r w:rsidRPr="006A4ACE">
        <w:rPr>
          <w:bCs/>
          <w:sz w:val="20"/>
        </w:rPr>
        <w:t xml:space="preserve">1969 Fast Facts: Woodstock”, Fox News, January 14, 2015, Available at: </w:t>
      </w:r>
      <w:hyperlink r:id="rId44" w:history="1">
        <w:r w:rsidRPr="006A4ACE">
          <w:rPr>
            <w:rStyle w:val="Hyperlink"/>
            <w:sz w:val="20"/>
          </w:rPr>
          <w:t>https://www.foxnews.com/story/1969-fast-facts-woodstock</w:t>
        </w:r>
      </w:hyperlink>
      <w:r w:rsidRPr="006A4ACE">
        <w:rPr>
          <w:sz w:val="20"/>
        </w:rPr>
        <w:t>.</w:t>
      </w:r>
    </w:p>
  </w:footnote>
  <w:footnote w:id="136">
    <w:p w14:paraId="19A57929" w14:textId="77777777" w:rsidR="00FD715C" w:rsidRPr="006A4ACE" w:rsidRDefault="00FD715C" w:rsidP="00683A06">
      <w:pPr>
        <w:pStyle w:val="FootnoteText"/>
        <w:rPr>
          <w:sz w:val="20"/>
        </w:rPr>
      </w:pPr>
      <w:r w:rsidRPr="006A4ACE">
        <w:rPr>
          <w:rStyle w:val="FootnoteReference"/>
          <w:sz w:val="20"/>
        </w:rPr>
        <w:footnoteRef/>
      </w:r>
      <w:r w:rsidRPr="006A4ACE">
        <w:rPr>
          <w:sz w:val="20"/>
        </w:rPr>
        <w:t xml:space="preserve"> </w:t>
      </w:r>
      <w:r w:rsidRPr="006A4ACE">
        <w:rPr>
          <w:i/>
          <w:sz w:val="20"/>
        </w:rPr>
        <w:t>Id.</w:t>
      </w:r>
    </w:p>
  </w:footnote>
  <w:footnote w:id="137">
    <w:p w14:paraId="7C25CE6A" w14:textId="77777777" w:rsidR="00FD715C" w:rsidRPr="006A4ACE" w:rsidRDefault="00FD715C" w:rsidP="00683A06">
      <w:pPr>
        <w:pStyle w:val="FootnoteText"/>
        <w:rPr>
          <w:sz w:val="20"/>
        </w:rPr>
      </w:pPr>
      <w:r w:rsidRPr="006A4ACE">
        <w:rPr>
          <w:rStyle w:val="FootnoteReference"/>
          <w:sz w:val="20"/>
        </w:rPr>
        <w:footnoteRef/>
      </w:r>
      <w:r w:rsidRPr="006A4ACE">
        <w:rPr>
          <w:sz w:val="20"/>
        </w:rPr>
        <w:t xml:space="preserve"> Currie Engel, “People Were Born and Died at Woodstock. Here Are Their Stories” TIME, August 9, 2019, Available at: </w:t>
      </w:r>
      <w:hyperlink r:id="rId45" w:history="1">
        <w:r w:rsidRPr="006A4ACE">
          <w:rPr>
            <w:rStyle w:val="Hyperlink"/>
            <w:sz w:val="20"/>
          </w:rPr>
          <w:t>https://time.com/5641667/woodstock-50-health-care/</w:t>
        </w:r>
      </w:hyperlink>
      <w:r w:rsidRPr="006A4ACE">
        <w:rPr>
          <w:sz w:val="20"/>
        </w:rPr>
        <w:t>.</w:t>
      </w:r>
    </w:p>
  </w:footnote>
  <w:footnote w:id="138">
    <w:p w14:paraId="516CC55F" w14:textId="77777777" w:rsidR="00FD715C" w:rsidRPr="006A4ACE" w:rsidRDefault="00FD715C" w:rsidP="00683A06">
      <w:pPr>
        <w:pStyle w:val="FootnoteText"/>
        <w:rPr>
          <w:sz w:val="20"/>
        </w:rPr>
      </w:pPr>
      <w:r w:rsidRPr="006A4ACE">
        <w:rPr>
          <w:rStyle w:val="FootnoteReference"/>
          <w:sz w:val="20"/>
        </w:rPr>
        <w:footnoteRef/>
      </w:r>
      <w:r w:rsidRPr="006A4ACE">
        <w:rPr>
          <w:sz w:val="20"/>
        </w:rPr>
        <w:t xml:space="preserve"> A&amp;E Television Networks, supra note </w:t>
      </w:r>
      <w:r w:rsidRPr="006A4ACE">
        <w:rPr>
          <w:sz w:val="20"/>
        </w:rPr>
        <w:fldChar w:fldCharType="begin"/>
      </w:r>
      <w:r w:rsidRPr="006A4ACE">
        <w:rPr>
          <w:sz w:val="20"/>
        </w:rPr>
        <w:instrText xml:space="preserve"> NOTEREF _Ref64471314 \h </w:instrText>
      </w:r>
      <w:r>
        <w:rPr>
          <w:sz w:val="20"/>
        </w:rPr>
        <w:instrText xml:space="preserve"> \* MERGEFORMAT </w:instrText>
      </w:r>
      <w:r w:rsidRPr="006A4ACE">
        <w:rPr>
          <w:sz w:val="20"/>
        </w:rPr>
      </w:r>
      <w:r w:rsidRPr="006A4ACE">
        <w:rPr>
          <w:sz w:val="20"/>
        </w:rPr>
        <w:fldChar w:fldCharType="separate"/>
      </w:r>
      <w:r w:rsidRPr="006A4ACE">
        <w:rPr>
          <w:sz w:val="20"/>
        </w:rPr>
        <w:t>34</w:t>
      </w:r>
      <w:r w:rsidRPr="006A4ACE">
        <w:rPr>
          <w:sz w:val="20"/>
        </w:rPr>
        <w:fldChar w:fldCharType="end"/>
      </w:r>
      <w:r w:rsidRPr="006A4ACE">
        <w:rPr>
          <w:sz w:val="20"/>
        </w:rPr>
        <w:t>.</w:t>
      </w:r>
    </w:p>
  </w:footnote>
  <w:footnote w:id="139">
    <w:p w14:paraId="54DCB9EF" w14:textId="77777777" w:rsidR="00FD715C" w:rsidRPr="006A4ACE" w:rsidRDefault="00FD715C" w:rsidP="00683A06">
      <w:pPr>
        <w:pStyle w:val="FootnoteText"/>
        <w:rPr>
          <w:sz w:val="20"/>
        </w:rPr>
      </w:pPr>
      <w:r w:rsidRPr="006A4ACE">
        <w:rPr>
          <w:rStyle w:val="FootnoteReference"/>
          <w:sz w:val="20"/>
        </w:rPr>
        <w:footnoteRef/>
      </w:r>
      <w:r w:rsidRPr="006A4ACE">
        <w:rPr>
          <w:sz w:val="20"/>
        </w:rPr>
        <w:t xml:space="preserve"> Engel, supra note </w:t>
      </w:r>
      <w:r w:rsidRPr="006A4ACE">
        <w:rPr>
          <w:sz w:val="20"/>
        </w:rPr>
        <w:fldChar w:fldCharType="begin"/>
      </w:r>
      <w:r w:rsidRPr="006A4ACE">
        <w:rPr>
          <w:sz w:val="20"/>
        </w:rPr>
        <w:instrText xml:space="preserve"> NOTEREF _Ref64471466 \h </w:instrText>
      </w:r>
      <w:r>
        <w:rPr>
          <w:sz w:val="20"/>
        </w:rPr>
        <w:instrText xml:space="preserve"> \* MERGEFORMAT </w:instrText>
      </w:r>
      <w:r w:rsidRPr="006A4ACE">
        <w:rPr>
          <w:sz w:val="20"/>
        </w:rPr>
      </w:r>
      <w:r w:rsidRPr="006A4ACE">
        <w:rPr>
          <w:sz w:val="20"/>
        </w:rPr>
        <w:fldChar w:fldCharType="separate"/>
      </w:r>
      <w:r w:rsidRPr="006A4ACE">
        <w:rPr>
          <w:sz w:val="20"/>
        </w:rPr>
        <w:t>40</w:t>
      </w:r>
      <w:r w:rsidRPr="006A4ACE">
        <w:rPr>
          <w:sz w:val="20"/>
        </w:rPr>
        <w:fldChar w:fldCharType="end"/>
      </w:r>
      <w:r w:rsidRPr="006A4ACE">
        <w:rPr>
          <w:sz w:val="20"/>
        </w:rPr>
        <w:t>.</w:t>
      </w:r>
    </w:p>
  </w:footnote>
  <w:footnote w:id="140">
    <w:p w14:paraId="32D5D94C" w14:textId="77777777" w:rsidR="00FD715C" w:rsidRPr="006A4ACE" w:rsidRDefault="00FD715C" w:rsidP="00683A06">
      <w:pPr>
        <w:pStyle w:val="FootnoteText"/>
        <w:rPr>
          <w:sz w:val="20"/>
        </w:rPr>
      </w:pPr>
      <w:r w:rsidRPr="006A4ACE">
        <w:rPr>
          <w:rStyle w:val="FootnoteReference"/>
          <w:sz w:val="20"/>
        </w:rPr>
        <w:footnoteRef/>
      </w:r>
      <w:r w:rsidRPr="006A4ACE">
        <w:rPr>
          <w:sz w:val="20"/>
        </w:rPr>
        <w:t xml:space="preserve"> </w:t>
      </w:r>
      <w:r w:rsidRPr="006A4ACE">
        <w:rPr>
          <w:i/>
          <w:sz w:val="20"/>
        </w:rPr>
        <w:t>Id.</w:t>
      </w:r>
    </w:p>
  </w:footnote>
  <w:footnote w:id="141">
    <w:p w14:paraId="50FDF96C" w14:textId="77777777" w:rsidR="00FD715C" w:rsidRPr="006A4ACE" w:rsidRDefault="00FD715C" w:rsidP="00683A06">
      <w:pPr>
        <w:pStyle w:val="FootnoteText"/>
        <w:rPr>
          <w:sz w:val="20"/>
        </w:rPr>
      </w:pPr>
      <w:r w:rsidRPr="006A4ACE">
        <w:rPr>
          <w:rStyle w:val="FootnoteReference"/>
          <w:sz w:val="20"/>
        </w:rPr>
        <w:footnoteRef/>
      </w:r>
      <w:r w:rsidRPr="006A4ACE">
        <w:rPr>
          <w:sz w:val="20"/>
        </w:rPr>
        <w:t xml:space="preserve"> </w:t>
      </w:r>
      <w:r w:rsidRPr="006A4ACE">
        <w:rPr>
          <w:i/>
          <w:sz w:val="20"/>
        </w:rPr>
        <w:t>Id.</w:t>
      </w:r>
    </w:p>
  </w:footnote>
  <w:footnote w:id="142">
    <w:p w14:paraId="3A5682A5" w14:textId="77777777" w:rsidR="00FD715C" w:rsidRPr="006A4ACE" w:rsidRDefault="00FD715C" w:rsidP="00683A06">
      <w:pPr>
        <w:pStyle w:val="FootnoteText"/>
        <w:rPr>
          <w:i/>
          <w:sz w:val="20"/>
        </w:rPr>
      </w:pPr>
      <w:r w:rsidRPr="006A4ACE">
        <w:rPr>
          <w:rStyle w:val="FootnoteReference"/>
          <w:sz w:val="20"/>
        </w:rPr>
        <w:footnoteRef/>
      </w:r>
      <w:r w:rsidRPr="006A4ACE">
        <w:rPr>
          <w:sz w:val="20"/>
        </w:rPr>
        <w:t xml:space="preserve"> </w:t>
      </w:r>
      <w:r w:rsidRPr="006A4ACE">
        <w:rPr>
          <w:i/>
          <w:sz w:val="20"/>
        </w:rPr>
        <w:t>Id.</w:t>
      </w:r>
    </w:p>
  </w:footnote>
  <w:footnote w:id="143">
    <w:p w14:paraId="23DEC8B0" w14:textId="77777777" w:rsidR="00FD715C" w:rsidRDefault="00FD715C" w:rsidP="00683A06">
      <w:pPr>
        <w:pStyle w:val="FootnoteText"/>
      </w:pPr>
      <w:r w:rsidRPr="006A4ACE">
        <w:rPr>
          <w:rStyle w:val="FootnoteReference"/>
          <w:sz w:val="20"/>
        </w:rPr>
        <w:footnoteRef/>
      </w:r>
      <w:r w:rsidRPr="006A4ACE">
        <w:rPr>
          <w:sz w:val="20"/>
        </w:rPr>
        <w:t xml:space="preserve"> Engel, supra note </w:t>
      </w:r>
      <w:r w:rsidRPr="006A4ACE">
        <w:rPr>
          <w:sz w:val="20"/>
        </w:rPr>
        <w:fldChar w:fldCharType="begin"/>
      </w:r>
      <w:r w:rsidRPr="006A4ACE">
        <w:rPr>
          <w:sz w:val="20"/>
        </w:rPr>
        <w:instrText xml:space="preserve"> NOTEREF _Ref64471466 \h </w:instrText>
      </w:r>
      <w:r>
        <w:rPr>
          <w:sz w:val="20"/>
        </w:rPr>
        <w:instrText xml:space="preserve"> \* MERGEFORMAT </w:instrText>
      </w:r>
      <w:r w:rsidRPr="006A4ACE">
        <w:rPr>
          <w:sz w:val="20"/>
        </w:rPr>
      </w:r>
      <w:r w:rsidRPr="006A4ACE">
        <w:rPr>
          <w:sz w:val="20"/>
        </w:rPr>
        <w:fldChar w:fldCharType="separate"/>
      </w:r>
      <w:r w:rsidRPr="006A4ACE">
        <w:rPr>
          <w:sz w:val="20"/>
        </w:rPr>
        <w:t>40</w:t>
      </w:r>
      <w:r w:rsidRPr="006A4ACE">
        <w:rPr>
          <w:sz w:val="20"/>
        </w:rPr>
        <w:fldChar w:fldCharType="end"/>
      </w:r>
      <w:r w:rsidRPr="006A4ACE">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DC696" w14:textId="77777777" w:rsidR="00FD715C" w:rsidRPr="002E61DB" w:rsidRDefault="00FD715C" w:rsidP="00683A06">
    <w:pPr>
      <w:pStyle w:val="Header"/>
      <w:jc w:val="center"/>
      <w:rPr>
        <w:b/>
      </w:rPr>
    </w:pPr>
  </w:p>
  <w:p w14:paraId="6DC825DB" w14:textId="77777777" w:rsidR="00FD715C" w:rsidRDefault="00FD715C"/>
  <w:p w14:paraId="326139B2" w14:textId="77777777" w:rsidR="00FD715C" w:rsidRDefault="00FD715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D2DBA"/>
    <w:multiLevelType w:val="hybridMultilevel"/>
    <w:tmpl w:val="B1F48362"/>
    <w:lvl w:ilvl="0" w:tplc="D5F4882C">
      <w:start w:val="1"/>
      <w:numFmt w:val="upperRoman"/>
      <w:lvlText w:val="%1."/>
      <w:lvlJc w:val="left"/>
      <w:pPr>
        <w:ind w:left="1440" w:hanging="720"/>
      </w:pPr>
      <w:rPr>
        <w:rFonts w:hint="default"/>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2035BF"/>
    <w:multiLevelType w:val="hybridMultilevel"/>
    <w:tmpl w:val="97426CB2"/>
    <w:lvl w:ilvl="0" w:tplc="349C91C2">
      <w:start w:val="1"/>
      <w:numFmt w:val="upperRoman"/>
      <w:lvlText w:val="%1."/>
      <w:lvlJc w:val="left"/>
      <w:pPr>
        <w:ind w:left="1080" w:hanging="720"/>
      </w:pPr>
      <w:rPr>
        <w:rFonts w:hint="default"/>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8C233A"/>
    <w:multiLevelType w:val="hybridMultilevel"/>
    <w:tmpl w:val="55ECC456"/>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353057"/>
    <w:multiLevelType w:val="hybridMultilevel"/>
    <w:tmpl w:val="E38607A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3D1446"/>
    <w:multiLevelType w:val="hybridMultilevel"/>
    <w:tmpl w:val="16B0BF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C74647"/>
    <w:multiLevelType w:val="hybridMultilevel"/>
    <w:tmpl w:val="6712B2B6"/>
    <w:lvl w:ilvl="0" w:tplc="349C91C2">
      <w:start w:val="1"/>
      <w:numFmt w:val="upperRoman"/>
      <w:lvlText w:val="%1."/>
      <w:lvlJc w:val="left"/>
      <w:pPr>
        <w:ind w:left="1080" w:hanging="720"/>
      </w:pPr>
      <w:rPr>
        <w:rFonts w:hint="default"/>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2317A3"/>
    <w:multiLevelType w:val="hybridMultilevel"/>
    <w:tmpl w:val="ED4E6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5D571E"/>
    <w:multiLevelType w:val="multilevel"/>
    <w:tmpl w:val="D9E49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4D007A"/>
    <w:multiLevelType w:val="hybridMultilevel"/>
    <w:tmpl w:val="098CB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B51364"/>
    <w:multiLevelType w:val="hybridMultilevel"/>
    <w:tmpl w:val="EEACD54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4"/>
  </w:num>
  <w:num w:numId="5">
    <w:abstractNumId w:val="2"/>
  </w:num>
  <w:num w:numId="6">
    <w:abstractNumId w:val="1"/>
  </w:num>
  <w:num w:numId="7">
    <w:abstractNumId w:val="9"/>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4CD"/>
    <w:rsid w:val="000554CD"/>
    <w:rsid w:val="00150E10"/>
    <w:rsid w:val="00170FA2"/>
    <w:rsid w:val="0017172A"/>
    <w:rsid w:val="001D6432"/>
    <w:rsid w:val="001F0E91"/>
    <w:rsid w:val="00253141"/>
    <w:rsid w:val="00270221"/>
    <w:rsid w:val="00296996"/>
    <w:rsid w:val="002C6F75"/>
    <w:rsid w:val="00314F5E"/>
    <w:rsid w:val="003B3D5A"/>
    <w:rsid w:val="003E6B54"/>
    <w:rsid w:val="0043180C"/>
    <w:rsid w:val="00447784"/>
    <w:rsid w:val="00506036"/>
    <w:rsid w:val="00623AE7"/>
    <w:rsid w:val="0064405E"/>
    <w:rsid w:val="00683A06"/>
    <w:rsid w:val="006A034A"/>
    <w:rsid w:val="006A4ACE"/>
    <w:rsid w:val="006B5404"/>
    <w:rsid w:val="006B57C4"/>
    <w:rsid w:val="007A5123"/>
    <w:rsid w:val="007E290C"/>
    <w:rsid w:val="00997D8D"/>
    <w:rsid w:val="00AB2BAD"/>
    <w:rsid w:val="00BA2F14"/>
    <w:rsid w:val="00BB3B44"/>
    <w:rsid w:val="00C24AAE"/>
    <w:rsid w:val="00C70F0A"/>
    <w:rsid w:val="00CE251E"/>
    <w:rsid w:val="00DC6307"/>
    <w:rsid w:val="00E7050F"/>
    <w:rsid w:val="00EB21D1"/>
    <w:rsid w:val="00EC0AFF"/>
    <w:rsid w:val="00EE4F9A"/>
    <w:rsid w:val="00F67560"/>
    <w:rsid w:val="00F76322"/>
    <w:rsid w:val="00F85AC1"/>
    <w:rsid w:val="00F91259"/>
    <w:rsid w:val="00F954CD"/>
    <w:rsid w:val="00FD715C"/>
    <w:rsid w:val="00FE1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E32B8"/>
  <w15:chartTrackingRefBased/>
  <w15:docId w15:val="{5F87768C-69C6-4BB7-A63C-EC6B37D76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4C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F954CD"/>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F954CD"/>
    <w:pPr>
      <w:keepNext/>
      <w:jc w:val="center"/>
      <w:outlineLvl w:val="1"/>
    </w:pPr>
    <w:rPr>
      <w:b/>
      <w:bCs/>
      <w:u w:val="single"/>
    </w:rPr>
  </w:style>
  <w:style w:type="paragraph" w:styleId="Heading4">
    <w:name w:val="heading 4"/>
    <w:basedOn w:val="Normal"/>
    <w:next w:val="Normal"/>
    <w:link w:val="Heading4Char"/>
    <w:qFormat/>
    <w:rsid w:val="00F954C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
    <w:basedOn w:val="Normal"/>
    <w:link w:val="FootnoteTextChar"/>
    <w:uiPriority w:val="99"/>
    <w:unhideWhenUsed/>
    <w:rsid w:val="003B3D5A"/>
    <w:rPr>
      <w:szCs w:val="20"/>
    </w:rPr>
  </w:style>
  <w:style w:type="character" w:customStyle="1" w:styleId="FootnoteTextChar">
    <w:name w:val="Footnote Text Char"/>
    <w:aliases w:val="FT Char"/>
    <w:basedOn w:val="DefaultParagraphFont"/>
    <w:link w:val="FootnoteText"/>
    <w:uiPriority w:val="99"/>
    <w:rsid w:val="003B3D5A"/>
    <w:rPr>
      <w:rFonts w:ascii="Times New Roman" w:eastAsia="Calibri" w:hAnsi="Times New Roman" w:cs="Times New Roman"/>
      <w:sz w:val="20"/>
      <w:szCs w:val="20"/>
    </w:rPr>
  </w:style>
  <w:style w:type="character" w:customStyle="1" w:styleId="Heading1Char">
    <w:name w:val="Heading 1 Char"/>
    <w:basedOn w:val="DefaultParagraphFont"/>
    <w:link w:val="Heading1"/>
    <w:uiPriority w:val="99"/>
    <w:rsid w:val="00F954CD"/>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rsid w:val="00F954CD"/>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rsid w:val="00F954CD"/>
    <w:rPr>
      <w:rFonts w:ascii="Calibri" w:eastAsia="Times New Roman" w:hAnsi="Calibri" w:cs="Times New Roman"/>
      <w:b/>
      <w:bCs/>
      <w:sz w:val="28"/>
      <w:szCs w:val="28"/>
    </w:rPr>
  </w:style>
  <w:style w:type="paragraph" w:styleId="NormalWeb">
    <w:name w:val="Normal (Web)"/>
    <w:basedOn w:val="Normal"/>
    <w:uiPriority w:val="99"/>
    <w:rsid w:val="00F954CD"/>
    <w:pPr>
      <w:spacing w:before="100" w:beforeAutospacing="1" w:after="100" w:afterAutospacing="1"/>
    </w:pPr>
  </w:style>
  <w:style w:type="character" w:styleId="Hyperlink">
    <w:name w:val="Hyperlink"/>
    <w:uiPriority w:val="99"/>
    <w:rsid w:val="00F954CD"/>
    <w:rPr>
      <w:rFonts w:cs="Times New Roman"/>
      <w:color w:val="0000FF"/>
      <w:u w:val="single"/>
    </w:rPr>
  </w:style>
  <w:style w:type="character" w:styleId="FootnoteReference">
    <w:name w:val="footnote reference"/>
    <w:uiPriority w:val="99"/>
    <w:rsid w:val="00F954CD"/>
    <w:rPr>
      <w:rFonts w:cs="Times New Roman"/>
      <w:vertAlign w:val="superscript"/>
    </w:rPr>
  </w:style>
  <w:style w:type="paragraph" w:styleId="Header">
    <w:name w:val="header"/>
    <w:basedOn w:val="Normal"/>
    <w:link w:val="HeaderChar"/>
    <w:uiPriority w:val="99"/>
    <w:rsid w:val="00F954CD"/>
    <w:pPr>
      <w:tabs>
        <w:tab w:val="center" w:pos="4680"/>
        <w:tab w:val="right" w:pos="9360"/>
      </w:tabs>
    </w:pPr>
  </w:style>
  <w:style w:type="character" w:customStyle="1" w:styleId="HeaderChar">
    <w:name w:val="Header Char"/>
    <w:basedOn w:val="DefaultParagraphFont"/>
    <w:link w:val="Header"/>
    <w:uiPriority w:val="99"/>
    <w:rsid w:val="00F954CD"/>
    <w:rPr>
      <w:rFonts w:ascii="Times New Roman" w:eastAsia="Times New Roman" w:hAnsi="Times New Roman" w:cs="Times New Roman"/>
      <w:sz w:val="24"/>
      <w:szCs w:val="24"/>
    </w:rPr>
  </w:style>
  <w:style w:type="paragraph" w:styleId="Footer">
    <w:name w:val="footer"/>
    <w:basedOn w:val="Normal"/>
    <w:link w:val="FooterChar"/>
    <w:uiPriority w:val="99"/>
    <w:rsid w:val="00F954CD"/>
    <w:pPr>
      <w:tabs>
        <w:tab w:val="center" w:pos="4680"/>
        <w:tab w:val="right" w:pos="9360"/>
      </w:tabs>
    </w:pPr>
  </w:style>
  <w:style w:type="character" w:customStyle="1" w:styleId="FooterChar">
    <w:name w:val="Footer Char"/>
    <w:basedOn w:val="DefaultParagraphFont"/>
    <w:link w:val="Footer"/>
    <w:uiPriority w:val="99"/>
    <w:rsid w:val="00F954CD"/>
    <w:rPr>
      <w:rFonts w:ascii="Times New Roman" w:eastAsia="Times New Roman" w:hAnsi="Times New Roman" w:cs="Times New Roman"/>
      <w:sz w:val="24"/>
      <w:szCs w:val="24"/>
    </w:rPr>
  </w:style>
  <w:style w:type="character" w:customStyle="1" w:styleId="normaltextrun">
    <w:name w:val="normaltextrun"/>
    <w:rsid w:val="00F954CD"/>
  </w:style>
  <w:style w:type="paragraph" w:styleId="ListParagraph">
    <w:name w:val="List Paragraph"/>
    <w:basedOn w:val="Normal"/>
    <w:uiPriority w:val="34"/>
    <w:qFormat/>
    <w:rsid w:val="00F954CD"/>
    <w:pPr>
      <w:ind w:left="720"/>
      <w:contextualSpacing/>
    </w:pPr>
  </w:style>
  <w:style w:type="character" w:customStyle="1" w:styleId="Date1">
    <w:name w:val="Date1"/>
    <w:basedOn w:val="DefaultParagraphFont"/>
    <w:rsid w:val="00F85AC1"/>
  </w:style>
  <w:style w:type="paragraph" w:customStyle="1" w:styleId="gntarbp">
    <w:name w:val="gnt_ar_b_p"/>
    <w:basedOn w:val="Normal"/>
    <w:rsid w:val="00314F5E"/>
    <w:pPr>
      <w:spacing w:before="100" w:beforeAutospacing="1" w:after="100" w:afterAutospacing="1"/>
    </w:pPr>
  </w:style>
  <w:style w:type="character" w:styleId="CommentReference">
    <w:name w:val="annotation reference"/>
    <w:basedOn w:val="DefaultParagraphFont"/>
    <w:uiPriority w:val="99"/>
    <w:semiHidden/>
    <w:unhideWhenUsed/>
    <w:rsid w:val="00EC0AFF"/>
    <w:rPr>
      <w:sz w:val="16"/>
      <w:szCs w:val="16"/>
    </w:rPr>
  </w:style>
  <w:style w:type="paragraph" w:styleId="CommentText">
    <w:name w:val="annotation text"/>
    <w:basedOn w:val="Normal"/>
    <w:link w:val="CommentTextChar"/>
    <w:uiPriority w:val="99"/>
    <w:semiHidden/>
    <w:unhideWhenUsed/>
    <w:rsid w:val="00EC0AFF"/>
    <w:rPr>
      <w:sz w:val="20"/>
      <w:szCs w:val="20"/>
    </w:rPr>
  </w:style>
  <w:style w:type="character" w:customStyle="1" w:styleId="CommentTextChar">
    <w:name w:val="Comment Text Char"/>
    <w:basedOn w:val="DefaultParagraphFont"/>
    <w:link w:val="CommentText"/>
    <w:uiPriority w:val="99"/>
    <w:semiHidden/>
    <w:rsid w:val="00EC0A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0AFF"/>
    <w:rPr>
      <w:b/>
      <w:bCs/>
    </w:rPr>
  </w:style>
  <w:style w:type="character" w:customStyle="1" w:styleId="CommentSubjectChar">
    <w:name w:val="Comment Subject Char"/>
    <w:basedOn w:val="CommentTextChar"/>
    <w:link w:val="CommentSubject"/>
    <w:uiPriority w:val="99"/>
    <w:semiHidden/>
    <w:rsid w:val="00EC0AF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C0A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AFF"/>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7E290C"/>
    <w:rPr>
      <w:color w:val="954F72" w:themeColor="followedHyperlink"/>
      <w:u w:val="single"/>
    </w:rPr>
  </w:style>
  <w:style w:type="paragraph" w:customStyle="1" w:styleId="g-pstyle1">
    <w:name w:val="g-pstyle1"/>
    <w:basedOn w:val="Normal"/>
    <w:rsid w:val="00C24AAE"/>
    <w:pPr>
      <w:spacing w:before="100" w:beforeAutospacing="1" w:after="100" w:afterAutospacing="1"/>
    </w:pPr>
  </w:style>
  <w:style w:type="paragraph" w:customStyle="1" w:styleId="g-pstyle2">
    <w:name w:val="g-pstyle2"/>
    <w:basedOn w:val="Normal"/>
    <w:rsid w:val="00C24AAE"/>
    <w:pPr>
      <w:spacing w:before="100" w:beforeAutospacing="1" w:after="100" w:afterAutospacing="1"/>
    </w:pPr>
  </w:style>
  <w:style w:type="character" w:customStyle="1" w:styleId="g-cstyle0">
    <w:name w:val="g-cstyle0"/>
    <w:basedOn w:val="DefaultParagraphFont"/>
    <w:rsid w:val="00C24AAE"/>
  </w:style>
  <w:style w:type="character" w:customStyle="1" w:styleId="g-cstyle1">
    <w:name w:val="g-cstyle1"/>
    <w:basedOn w:val="DefaultParagraphFont"/>
    <w:rsid w:val="00C24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4116">
      <w:bodyDiv w:val="1"/>
      <w:marLeft w:val="0"/>
      <w:marRight w:val="0"/>
      <w:marTop w:val="0"/>
      <w:marBottom w:val="0"/>
      <w:divBdr>
        <w:top w:val="none" w:sz="0" w:space="0" w:color="auto"/>
        <w:left w:val="none" w:sz="0" w:space="0" w:color="auto"/>
        <w:bottom w:val="none" w:sz="0" w:space="0" w:color="auto"/>
        <w:right w:val="none" w:sz="0" w:space="0" w:color="auto"/>
      </w:divBdr>
      <w:divsChild>
        <w:div w:id="1533566448">
          <w:marLeft w:val="0"/>
          <w:marRight w:val="0"/>
          <w:marTop w:val="0"/>
          <w:marBottom w:val="0"/>
          <w:divBdr>
            <w:top w:val="none" w:sz="0" w:space="0" w:color="auto"/>
            <w:left w:val="none" w:sz="0" w:space="0" w:color="auto"/>
            <w:bottom w:val="none" w:sz="0" w:space="0" w:color="auto"/>
            <w:right w:val="none" w:sz="0" w:space="0" w:color="auto"/>
          </w:divBdr>
          <w:divsChild>
            <w:div w:id="1597522587">
              <w:marLeft w:val="0"/>
              <w:marRight w:val="0"/>
              <w:marTop w:val="0"/>
              <w:marBottom w:val="0"/>
              <w:divBdr>
                <w:top w:val="none" w:sz="0" w:space="0" w:color="C0C0C0"/>
                <w:left w:val="none" w:sz="0" w:space="0" w:color="C0C0C0"/>
                <w:bottom w:val="none" w:sz="0" w:space="0" w:color="C0C0C0"/>
                <w:right w:val="none" w:sz="0" w:space="0" w:color="C0C0C0"/>
              </w:divBdr>
              <w:divsChild>
                <w:div w:id="2130389661">
                  <w:marLeft w:val="0"/>
                  <w:marRight w:val="0"/>
                  <w:marTop w:val="0"/>
                  <w:marBottom w:val="0"/>
                  <w:divBdr>
                    <w:top w:val="none" w:sz="0" w:space="0" w:color="auto"/>
                    <w:left w:val="none" w:sz="0" w:space="0" w:color="auto"/>
                    <w:bottom w:val="none" w:sz="0" w:space="0" w:color="auto"/>
                    <w:right w:val="none" w:sz="0" w:space="0" w:color="auto"/>
                  </w:divBdr>
                  <w:divsChild>
                    <w:div w:id="872033550">
                      <w:marLeft w:val="0"/>
                      <w:marRight w:val="0"/>
                      <w:marTop w:val="0"/>
                      <w:marBottom w:val="0"/>
                      <w:divBdr>
                        <w:top w:val="none" w:sz="0" w:space="0" w:color="auto"/>
                        <w:left w:val="none" w:sz="0" w:space="0" w:color="auto"/>
                        <w:bottom w:val="none" w:sz="0" w:space="0" w:color="auto"/>
                        <w:right w:val="none" w:sz="0" w:space="0" w:color="auto"/>
                      </w:divBdr>
                      <w:divsChild>
                        <w:div w:id="1847137216">
                          <w:marLeft w:val="150"/>
                          <w:marRight w:val="150"/>
                          <w:marTop w:val="150"/>
                          <w:marBottom w:val="150"/>
                          <w:divBdr>
                            <w:top w:val="none" w:sz="0" w:space="0" w:color="auto"/>
                            <w:left w:val="none" w:sz="0" w:space="0" w:color="auto"/>
                            <w:bottom w:val="none" w:sz="0" w:space="0" w:color="auto"/>
                            <w:right w:val="none" w:sz="0" w:space="0" w:color="auto"/>
                          </w:divBdr>
                          <w:divsChild>
                            <w:div w:id="390886154">
                              <w:marLeft w:val="0"/>
                              <w:marRight w:val="0"/>
                              <w:marTop w:val="0"/>
                              <w:marBottom w:val="0"/>
                              <w:divBdr>
                                <w:top w:val="none" w:sz="0" w:space="0" w:color="auto"/>
                                <w:left w:val="none" w:sz="0" w:space="0" w:color="auto"/>
                                <w:bottom w:val="none" w:sz="0" w:space="0" w:color="auto"/>
                                <w:right w:val="none" w:sz="0" w:space="0" w:color="auto"/>
                              </w:divBdr>
                              <w:divsChild>
                                <w:div w:id="47345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00941">
      <w:bodyDiv w:val="1"/>
      <w:marLeft w:val="0"/>
      <w:marRight w:val="0"/>
      <w:marTop w:val="0"/>
      <w:marBottom w:val="0"/>
      <w:divBdr>
        <w:top w:val="none" w:sz="0" w:space="0" w:color="auto"/>
        <w:left w:val="none" w:sz="0" w:space="0" w:color="auto"/>
        <w:bottom w:val="none" w:sz="0" w:space="0" w:color="auto"/>
        <w:right w:val="none" w:sz="0" w:space="0" w:color="auto"/>
      </w:divBdr>
    </w:div>
    <w:div w:id="1492479600">
      <w:bodyDiv w:val="1"/>
      <w:marLeft w:val="0"/>
      <w:marRight w:val="0"/>
      <w:marTop w:val="0"/>
      <w:marBottom w:val="0"/>
      <w:divBdr>
        <w:top w:val="none" w:sz="0" w:space="0" w:color="auto"/>
        <w:left w:val="none" w:sz="0" w:space="0" w:color="auto"/>
        <w:bottom w:val="none" w:sz="0" w:space="0" w:color="auto"/>
        <w:right w:val="none" w:sz="0" w:space="0" w:color="auto"/>
      </w:divBdr>
    </w:div>
    <w:div w:id="1663461024">
      <w:bodyDiv w:val="1"/>
      <w:marLeft w:val="0"/>
      <w:marRight w:val="0"/>
      <w:marTop w:val="0"/>
      <w:marBottom w:val="0"/>
      <w:divBdr>
        <w:top w:val="none" w:sz="0" w:space="0" w:color="auto"/>
        <w:left w:val="none" w:sz="0" w:space="0" w:color="auto"/>
        <w:bottom w:val="none" w:sz="0" w:space="0" w:color="auto"/>
        <w:right w:val="none" w:sz="0" w:space="0" w:color="auto"/>
      </w:divBdr>
      <w:divsChild>
        <w:div w:id="2079207273">
          <w:marLeft w:val="1750"/>
          <w:marRight w:val="0"/>
          <w:marTop w:val="0"/>
          <w:marBottom w:val="0"/>
          <w:divBdr>
            <w:top w:val="none" w:sz="0" w:space="0" w:color="auto"/>
            <w:left w:val="none" w:sz="0" w:space="0" w:color="auto"/>
            <w:bottom w:val="none" w:sz="0" w:space="0" w:color="auto"/>
            <w:right w:val="none" w:sz="0" w:space="0" w:color="auto"/>
          </w:divBdr>
        </w:div>
        <w:div w:id="1823888705">
          <w:marLeft w:val="0"/>
          <w:marRight w:val="0"/>
          <w:marTop w:val="0"/>
          <w:marBottom w:val="0"/>
          <w:divBdr>
            <w:top w:val="none" w:sz="0" w:space="0" w:color="auto"/>
            <w:left w:val="none" w:sz="0" w:space="0" w:color="auto"/>
            <w:bottom w:val="none" w:sz="0" w:space="0" w:color="auto"/>
            <w:right w:val="none" w:sz="0" w:space="0" w:color="auto"/>
          </w:divBdr>
          <w:divsChild>
            <w:div w:id="2037196218">
              <w:marLeft w:val="0"/>
              <w:marRight w:val="0"/>
              <w:marTop w:val="0"/>
              <w:marBottom w:val="0"/>
              <w:divBdr>
                <w:top w:val="none" w:sz="0" w:space="0" w:color="auto"/>
                <w:left w:val="none" w:sz="0" w:space="0" w:color="auto"/>
                <w:bottom w:val="none" w:sz="0" w:space="0" w:color="auto"/>
                <w:right w:val="none" w:sz="0" w:space="0" w:color="auto"/>
              </w:divBdr>
            </w:div>
          </w:divsChild>
        </w:div>
        <w:div w:id="228073510">
          <w:marLeft w:val="1750"/>
          <w:marRight w:val="0"/>
          <w:marTop w:val="0"/>
          <w:marBottom w:val="0"/>
          <w:divBdr>
            <w:top w:val="none" w:sz="0" w:space="0" w:color="auto"/>
            <w:left w:val="none" w:sz="0" w:space="0" w:color="auto"/>
            <w:bottom w:val="none" w:sz="0" w:space="0" w:color="auto"/>
            <w:right w:val="none" w:sz="0" w:space="0" w:color="auto"/>
          </w:divBdr>
          <w:divsChild>
            <w:div w:id="1782600777">
              <w:marLeft w:val="0"/>
              <w:marRight w:val="0"/>
              <w:marTop w:val="0"/>
              <w:marBottom w:val="300"/>
              <w:divBdr>
                <w:top w:val="none" w:sz="0" w:space="0" w:color="auto"/>
                <w:left w:val="none" w:sz="0" w:space="0" w:color="auto"/>
                <w:bottom w:val="none" w:sz="0" w:space="0" w:color="auto"/>
                <w:right w:val="none" w:sz="0" w:space="0" w:color="auto"/>
              </w:divBdr>
              <w:divsChild>
                <w:div w:id="13128337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00004654">
      <w:bodyDiv w:val="1"/>
      <w:marLeft w:val="0"/>
      <w:marRight w:val="0"/>
      <w:marTop w:val="0"/>
      <w:marBottom w:val="0"/>
      <w:divBdr>
        <w:top w:val="none" w:sz="0" w:space="0" w:color="auto"/>
        <w:left w:val="none" w:sz="0" w:space="0" w:color="auto"/>
        <w:bottom w:val="none" w:sz="0" w:space="0" w:color="auto"/>
        <w:right w:val="none" w:sz="0" w:space="0" w:color="auto"/>
      </w:divBdr>
    </w:div>
    <w:div w:id="1954557913">
      <w:bodyDiv w:val="1"/>
      <w:marLeft w:val="0"/>
      <w:marRight w:val="0"/>
      <w:marTop w:val="0"/>
      <w:marBottom w:val="0"/>
      <w:divBdr>
        <w:top w:val="none" w:sz="0" w:space="0" w:color="auto"/>
        <w:left w:val="none" w:sz="0" w:space="0" w:color="auto"/>
        <w:bottom w:val="none" w:sz="0" w:space="0" w:color="auto"/>
        <w:right w:val="none" w:sz="0" w:space="0" w:color="auto"/>
      </w:divBdr>
      <w:divsChild>
        <w:div w:id="865097669">
          <w:marLeft w:val="0"/>
          <w:marRight w:val="0"/>
          <w:marTop w:val="0"/>
          <w:marBottom w:val="0"/>
          <w:divBdr>
            <w:top w:val="none" w:sz="0" w:space="0" w:color="auto"/>
            <w:left w:val="none" w:sz="0" w:space="0" w:color="auto"/>
            <w:bottom w:val="none" w:sz="0" w:space="0" w:color="auto"/>
            <w:right w:val="none" w:sz="0" w:space="0" w:color="auto"/>
          </w:divBdr>
          <w:divsChild>
            <w:div w:id="1191333014">
              <w:marLeft w:val="0"/>
              <w:marRight w:val="0"/>
              <w:marTop w:val="0"/>
              <w:marBottom w:val="0"/>
              <w:divBdr>
                <w:top w:val="none" w:sz="0" w:space="0" w:color="C0C0C0"/>
                <w:left w:val="none" w:sz="0" w:space="0" w:color="C0C0C0"/>
                <w:bottom w:val="none" w:sz="0" w:space="0" w:color="C0C0C0"/>
                <w:right w:val="none" w:sz="0" w:space="0" w:color="C0C0C0"/>
              </w:divBdr>
              <w:divsChild>
                <w:div w:id="1331059243">
                  <w:marLeft w:val="0"/>
                  <w:marRight w:val="0"/>
                  <w:marTop w:val="0"/>
                  <w:marBottom w:val="0"/>
                  <w:divBdr>
                    <w:top w:val="none" w:sz="0" w:space="0" w:color="auto"/>
                    <w:left w:val="none" w:sz="0" w:space="0" w:color="auto"/>
                    <w:bottom w:val="none" w:sz="0" w:space="0" w:color="auto"/>
                    <w:right w:val="none" w:sz="0" w:space="0" w:color="auto"/>
                  </w:divBdr>
                  <w:divsChild>
                    <w:div w:id="1737892481">
                      <w:marLeft w:val="0"/>
                      <w:marRight w:val="0"/>
                      <w:marTop w:val="0"/>
                      <w:marBottom w:val="0"/>
                      <w:divBdr>
                        <w:top w:val="none" w:sz="0" w:space="0" w:color="auto"/>
                        <w:left w:val="none" w:sz="0" w:space="0" w:color="auto"/>
                        <w:bottom w:val="none" w:sz="0" w:space="0" w:color="auto"/>
                        <w:right w:val="none" w:sz="0" w:space="0" w:color="auto"/>
                      </w:divBdr>
                      <w:divsChild>
                        <w:div w:id="242446974">
                          <w:marLeft w:val="150"/>
                          <w:marRight w:val="150"/>
                          <w:marTop w:val="150"/>
                          <w:marBottom w:val="150"/>
                          <w:divBdr>
                            <w:top w:val="none" w:sz="0" w:space="0" w:color="auto"/>
                            <w:left w:val="none" w:sz="0" w:space="0" w:color="auto"/>
                            <w:bottom w:val="none" w:sz="0" w:space="0" w:color="auto"/>
                            <w:right w:val="none" w:sz="0" w:space="0" w:color="auto"/>
                          </w:divBdr>
                          <w:divsChild>
                            <w:div w:id="1218316923">
                              <w:marLeft w:val="0"/>
                              <w:marRight w:val="0"/>
                              <w:marTop w:val="0"/>
                              <w:marBottom w:val="0"/>
                              <w:divBdr>
                                <w:top w:val="none" w:sz="0" w:space="0" w:color="auto"/>
                                <w:left w:val="none" w:sz="0" w:space="0" w:color="auto"/>
                                <w:bottom w:val="none" w:sz="0" w:space="0" w:color="auto"/>
                                <w:right w:val="none" w:sz="0" w:space="0" w:color="auto"/>
                              </w:divBdr>
                              <w:divsChild>
                                <w:div w:id="17079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48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nycwell.cityofnewyork.us/en/"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nycwell.cityofnewyork.us/en/get-help-now/" TargetMode="External"/><Relationship Id="rId18" Type="http://schemas.openxmlformats.org/officeDocument/2006/relationships/hyperlink" Target="http://www.ccitnyc.org/who-we-are/our-proposal/" TargetMode="External"/><Relationship Id="rId26" Type="http://schemas.openxmlformats.org/officeDocument/2006/relationships/hyperlink" Target="https://www.thecity.nyc/special-report/2019/3/21/21211184/the-nypd-s-mental-illness-response-breakdown" TargetMode="External"/><Relationship Id="rId39" Type="http://schemas.openxmlformats.org/officeDocument/2006/relationships/hyperlink" Target="https://olympiawa.gov/city-services/police-department/Crisis-Response-Peer-Navigator.aspx" TargetMode="External"/><Relationship Id="rId21" Type="http://schemas.openxmlformats.org/officeDocument/2006/relationships/hyperlink" Target="https://www.thecity.nyc/special-report/2019/3/21/21211184/the-nypd-s-mental-illness-response-breakdown" TargetMode="External"/><Relationship Id="rId34" Type="http://schemas.openxmlformats.org/officeDocument/2006/relationships/hyperlink" Target="https://whitebirdclinic.org/about/" TargetMode="External"/><Relationship Id="rId42" Type="http://schemas.openxmlformats.org/officeDocument/2006/relationships/hyperlink" Target="https://www.history.com/topics/1960s/Woodstock" TargetMode="External"/><Relationship Id="rId7" Type="http://schemas.openxmlformats.org/officeDocument/2006/relationships/hyperlink" Target="https://thrivenyc.cityofnewyork.us/" TargetMode="External"/><Relationship Id="rId2" Type="http://schemas.openxmlformats.org/officeDocument/2006/relationships/hyperlink" Target="https://nyshealthfoundation.org/wp-content/uploads/2021/02/mental-health-impact-coronavirus-pandemic-new-york-state.pdf" TargetMode="External"/><Relationship Id="rId16" Type="http://schemas.openxmlformats.org/officeDocument/2006/relationships/hyperlink" Target="https://nycwell.demo.mhaofnyc.org/en/providers/mct-referral/" TargetMode="External"/><Relationship Id="rId29" Type="http://schemas.openxmlformats.org/officeDocument/2006/relationships/hyperlink" Target="https://abcnews.go.com/US/blacks-account-half-nyc-arrests-years-end-stop/story?id=71412485" TargetMode="External"/><Relationship Id="rId1" Type="http://schemas.openxmlformats.org/officeDocument/2006/relationships/hyperlink" Target="https://www.nami.org/Support-Education/Publications-Reports/Guides/Navigating-a-Mental-Health-Crisis/Navigating-A-Mental-Health-Crisis" TargetMode="External"/><Relationship Id="rId6" Type="http://schemas.openxmlformats.org/officeDocument/2006/relationships/hyperlink" Target="https://thrivenyc.cityofnewyork.us/wp-content/uploads/2021/02/ThriveNYC-ProgressReport-2021.pdf" TargetMode="External"/><Relationship Id="rId11" Type="http://schemas.openxmlformats.org/officeDocument/2006/relationships/hyperlink" Target="https://thrivenyc.cityofnewyork.us/program/co-response-teams" TargetMode="External"/><Relationship Id="rId24" Type="http://schemas.openxmlformats.org/officeDocument/2006/relationships/hyperlink" Target="https://www.usatoday.com/story/opinion/policing/2020/12/02/cops-shouldnt-first-mental-health-call-ny-program-needed-nationwide-column/6422931002/" TargetMode="External"/><Relationship Id="rId32" Type="http://schemas.openxmlformats.org/officeDocument/2006/relationships/hyperlink" Target="https://www.nbcnews.com/think/opinion/biden-wants-fix-racial-inequality-mental-health-access-important-place-ncna1257376" TargetMode="External"/><Relationship Id="rId37" Type="http://schemas.openxmlformats.org/officeDocument/2006/relationships/hyperlink" Target="https://www.cnn.com/2020/07/05/us/cahoots-replace-police-mental-health-trnd/index.html" TargetMode="External"/><Relationship Id="rId40" Type="http://schemas.openxmlformats.org/officeDocument/2006/relationships/hyperlink" Target="https://www.vera.org/behavioral-health-crisis-alternatives/cru-and-familiar-faces" TargetMode="External"/><Relationship Id="rId45" Type="http://schemas.openxmlformats.org/officeDocument/2006/relationships/hyperlink" Target="https://time.com/5641667/woodstock-50-health-care/" TargetMode="External"/><Relationship Id="rId5" Type="http://schemas.openxmlformats.org/officeDocument/2006/relationships/hyperlink" Target="https://www1.nyc.gov/assets/operations/downloads/pdf/mmr2019/thrivenyc.pdf" TargetMode="External"/><Relationship Id="rId15" Type="http://schemas.openxmlformats.org/officeDocument/2006/relationships/hyperlink" Target="https://gothamist.com/news/when-new-yorkers-report-mental-health-crisis-who-should-respond" TargetMode="External"/><Relationship Id="rId23" Type="http://schemas.openxmlformats.org/officeDocument/2006/relationships/hyperlink" Target="https://www.thecity.nyc/special-report/2019/3/21/21211184/the-nypd-s-mental-illness-response-breakdown" TargetMode="External"/><Relationship Id="rId28" Type="http://schemas.openxmlformats.org/officeDocument/2006/relationships/hyperlink" Target="https://www.thecity.nyc/special-report/2019/3/21/21211184/the-nypd-s-mental-illness-response-breakdown" TargetMode="External"/><Relationship Id="rId36" Type="http://schemas.openxmlformats.org/officeDocument/2006/relationships/hyperlink" Target="https://whitebirdclinic.org/cahoots-faq/" TargetMode="External"/><Relationship Id="rId10" Type="http://schemas.openxmlformats.org/officeDocument/2006/relationships/hyperlink" Target="https://gothamist.com/news/nypd-currently-responds-mental-health-crisis-calls-advocates-have-another-approach" TargetMode="External"/><Relationship Id="rId19" Type="http://schemas.openxmlformats.org/officeDocument/2006/relationships/hyperlink" Target="https://www.gothamgazette.com/city/8754-de-blasio-s-promised-comprehensive-strategy-for-city-response-to-people-in-mental-health-crisis-is-well-behind-schedule" TargetMode="External"/><Relationship Id="rId31" Type="http://schemas.openxmlformats.org/officeDocument/2006/relationships/hyperlink" Target="https://spectrumlocalnews.com/nys/buffalo/wny-mental-health/2020/09/23/mental-health-musings--for-black-western-new-yorkers--a-mental-health-call-to-police-can-end-in-violence-" TargetMode="External"/><Relationship Id="rId44" Type="http://schemas.openxmlformats.org/officeDocument/2006/relationships/hyperlink" Target="https://www.foxnews.com/story/1969-fast-facts-woodstock" TargetMode="External"/><Relationship Id="rId4" Type="http://schemas.openxmlformats.org/officeDocument/2006/relationships/hyperlink" Target="https://www1.nyc.gov/office-of-the-mayor/news/773-20/new-york-city-new-mental-health-teams-respond-mental-health-crises" TargetMode="External"/><Relationship Id="rId9" Type="http://schemas.openxmlformats.org/officeDocument/2006/relationships/hyperlink" Target="https://thrivenyc.cityofnewyork.us/programs" TargetMode="External"/><Relationship Id="rId14" Type="http://schemas.openxmlformats.org/officeDocument/2006/relationships/hyperlink" Target="https://www1.nyc.gov/site/doh/health/health-topics/crisis-emergency-services-mobile-crisis-teams.page" TargetMode="External"/><Relationship Id="rId22" Type="http://schemas.openxmlformats.org/officeDocument/2006/relationships/hyperlink" Target="https://www.npr.org/2020/09/18/913229469/mental-health-and-police-violence-how-crisis-intervention-teams-are-failing" TargetMode="External"/><Relationship Id="rId27" Type="http://schemas.openxmlformats.org/officeDocument/2006/relationships/hyperlink" Target="https://spectrumlocalnews.com/nys/buffalo/wny-mental-health/2020/09/23/mental-health-musings--for-black-western-new-yorkers--a-mental-health-call-to-police-can-end-in-violence-" TargetMode="External"/><Relationship Id="rId30" Type="http://schemas.openxmlformats.org/officeDocument/2006/relationships/hyperlink" Target="https://www.thecity.nyc/special-report/2019/3/21/21211184/the-nypd-s-mental-illness-response-breakdown" TargetMode="External"/><Relationship Id="rId35" Type="http://schemas.openxmlformats.org/officeDocument/2006/relationships/hyperlink" Target="https://whitebirdclinic.org/category/programs/cahoots/" TargetMode="External"/><Relationship Id="rId43" Type="http://schemas.openxmlformats.org/officeDocument/2006/relationships/hyperlink" Target="https://www.chicagotribune.com/news/ct-xpm-1986-06-12-8602110969-story.html." TargetMode="External"/><Relationship Id="rId8" Type="http://schemas.openxmlformats.org/officeDocument/2006/relationships/hyperlink" Target="https://thrivenyc.cityofnewyork.us/programs" TargetMode="External"/><Relationship Id="rId3" Type="http://schemas.openxmlformats.org/officeDocument/2006/relationships/hyperlink" Target="https://www.nami.org/Support-Education/Publications-Reports/Guides/Navigating-a-Mental-Health-Crisis/Navigating-A-Mental-Health-Crisis" TargetMode="External"/><Relationship Id="rId12" Type="http://schemas.openxmlformats.org/officeDocument/2006/relationships/hyperlink" Target="https://thrivenyc.cityofnewyork.us/programs" TargetMode="External"/><Relationship Id="rId17" Type="http://schemas.openxmlformats.org/officeDocument/2006/relationships/hyperlink" Target="https://www1.nyc.gov/office-of-the-mayor/news/496-19/mayor-de-blasio-first-lady-mccray-city-council-members-37-million-annual-investment" TargetMode="External"/><Relationship Id="rId25" Type="http://schemas.openxmlformats.org/officeDocument/2006/relationships/hyperlink" Target="https://www.thecity.nyc/special-report/2019/3/21/21211184/the-nypd-s-mental-illness-response-breakdown" TargetMode="External"/><Relationship Id="rId33" Type="http://schemas.openxmlformats.org/officeDocument/2006/relationships/hyperlink" Target="https://whitebirdclinic.org/what-is-cahoots/" TargetMode="External"/><Relationship Id="rId38" Type="http://schemas.openxmlformats.org/officeDocument/2006/relationships/hyperlink" Target="https://www.vera.org/behavioral-health-crisis-alternatives/cahoots" TargetMode="External"/><Relationship Id="rId20" Type="http://schemas.openxmlformats.org/officeDocument/2006/relationships/hyperlink" Target="https://www.npr.org/2020/09/18/913229469/mental-health-and-police-violence-how-crisis-intervention-teams-are-failing" TargetMode="External"/><Relationship Id="rId41" Type="http://schemas.openxmlformats.org/officeDocument/2006/relationships/hyperlink" Target="https://www.theatlantic.com/photo/2019/08/woodstock-50-photos-1969/596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6EFE0-C38D-47E4-823F-3E7A413CA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6251</Words>
  <Characters>35635</Characters>
  <Application>Microsoft Office Word</Application>
  <DocSecurity>4</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Liss</dc:creator>
  <cp:keywords/>
  <dc:description/>
  <cp:lastModifiedBy>DelFranco, Ruthie</cp:lastModifiedBy>
  <cp:revision>2</cp:revision>
  <dcterms:created xsi:type="dcterms:W3CDTF">2021-02-22T19:05:00Z</dcterms:created>
  <dcterms:modified xsi:type="dcterms:W3CDTF">2021-02-22T19:05:00Z</dcterms:modified>
</cp:coreProperties>
</file>