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p>
    <w:p w:rsidR="00E4613D" w:rsidRDefault="00E4613D">
      <w:pPr>
        <w:rPr>
          <w:sz w:val="24"/>
        </w:rPr>
      </w:pPr>
    </w:p>
    <w:p w:rsidR="00E4613D" w:rsidRDefault="00E4613D">
      <w:pPr>
        <w:rPr>
          <w:sz w:val="24"/>
        </w:rPr>
      </w:pPr>
    </w:p>
    <w:p w:rsidR="00E4613D" w:rsidRPr="00BF42BA" w:rsidRDefault="00E4613D">
      <w:pPr>
        <w:pStyle w:val="Heading1"/>
      </w:pPr>
      <w:r w:rsidRPr="00BF42BA">
        <w:t>THE COUNCIL</w:t>
      </w:r>
    </w:p>
    <w:p w:rsidR="00E4613D" w:rsidRPr="00BF42BA" w:rsidRDefault="00E4613D">
      <w:pPr>
        <w:jc w:val="center"/>
        <w:rPr>
          <w:b/>
          <w:sz w:val="24"/>
        </w:rPr>
      </w:pPr>
    </w:p>
    <w:p w:rsidR="00312E80" w:rsidRDefault="00312E80" w:rsidP="00312E80">
      <w:pPr>
        <w:jc w:val="center"/>
        <w:rPr>
          <w:b/>
          <w:sz w:val="24"/>
        </w:rPr>
      </w:pPr>
      <w:r>
        <w:rPr>
          <w:b/>
          <w:sz w:val="24"/>
        </w:rPr>
        <w:t>JOINT REPORT OF THE LAND USE COMMITTEE</w:t>
      </w:r>
    </w:p>
    <w:p w:rsidR="00312E80" w:rsidRDefault="00312E80" w:rsidP="00312E80">
      <w:pPr>
        <w:jc w:val="center"/>
        <w:rPr>
          <w:b/>
          <w:sz w:val="24"/>
        </w:rPr>
      </w:pPr>
      <w:r>
        <w:rPr>
          <w:b/>
          <w:sz w:val="24"/>
        </w:rPr>
        <w:t xml:space="preserve">AND THE </w:t>
      </w:r>
    </w:p>
    <w:p w:rsidR="009A77FD" w:rsidRPr="003E7EE9" w:rsidRDefault="009A77FD" w:rsidP="009A77FD">
      <w:pPr>
        <w:jc w:val="center"/>
        <w:rPr>
          <w:b/>
          <w:sz w:val="24"/>
          <w:szCs w:val="24"/>
        </w:rPr>
      </w:pPr>
      <w:r w:rsidRPr="003E7EE9">
        <w:rPr>
          <w:b/>
          <w:sz w:val="24"/>
          <w:szCs w:val="24"/>
        </w:rPr>
        <w:t>SUBCOMMITTEE ON LANDMARKS, PUBLIC SITING</w:t>
      </w:r>
      <w:r w:rsidR="00DE7048">
        <w:rPr>
          <w:b/>
          <w:sz w:val="24"/>
          <w:szCs w:val="24"/>
        </w:rPr>
        <w:t>S</w:t>
      </w:r>
    </w:p>
    <w:p w:rsidR="009A77FD" w:rsidRPr="003E7EE9" w:rsidRDefault="009A77FD" w:rsidP="009A77FD">
      <w:pPr>
        <w:jc w:val="center"/>
        <w:rPr>
          <w:b/>
          <w:sz w:val="24"/>
          <w:szCs w:val="24"/>
        </w:rPr>
      </w:pPr>
      <w:r w:rsidRPr="003E7EE9">
        <w:rPr>
          <w:b/>
          <w:sz w:val="24"/>
          <w:szCs w:val="24"/>
        </w:rPr>
        <w:t xml:space="preserve">AND </w:t>
      </w:r>
      <w:r w:rsidR="00DE7048">
        <w:rPr>
          <w:b/>
          <w:sz w:val="24"/>
          <w:szCs w:val="24"/>
        </w:rPr>
        <w:t>DISPOSITIONS</w:t>
      </w:r>
    </w:p>
    <w:p w:rsidR="00E4613D" w:rsidRDefault="00E4613D">
      <w:pPr>
        <w:jc w:val="center"/>
        <w:rPr>
          <w:b/>
          <w:sz w:val="24"/>
        </w:rPr>
      </w:pPr>
      <w:bookmarkStart w:id="0" w:name="_GoBack"/>
      <w:bookmarkEnd w:id="0"/>
    </w:p>
    <w:p w:rsidR="00E4613D" w:rsidRDefault="00E4613D">
      <w:pPr>
        <w:jc w:val="center"/>
        <w:rPr>
          <w:b/>
          <w:sz w:val="24"/>
        </w:rPr>
      </w:pPr>
      <w:r>
        <w:rPr>
          <w:b/>
          <w:sz w:val="24"/>
        </w:rPr>
        <w:t xml:space="preserve">L.U. No. </w:t>
      </w:r>
      <w:r w:rsidR="005C44DF">
        <w:rPr>
          <w:b/>
          <w:sz w:val="24"/>
        </w:rPr>
        <w:t>711</w:t>
      </w:r>
      <w:r>
        <w:rPr>
          <w:b/>
          <w:sz w:val="24"/>
        </w:rPr>
        <w:t xml:space="preserve"> (Res. No.</w:t>
      </w:r>
      <w:r w:rsidR="00A17B48">
        <w:rPr>
          <w:b/>
          <w:sz w:val="24"/>
        </w:rPr>
        <w:t xml:space="preserve"> </w:t>
      </w:r>
      <w:r w:rsidR="000F47E8">
        <w:rPr>
          <w:b/>
          <w:sz w:val="24"/>
        </w:rPr>
        <w:t>1541</w:t>
      </w:r>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457AA7">
        <w:rPr>
          <w:b/>
          <w:sz w:val="24"/>
        </w:rPr>
        <w:t>S</w:t>
      </w:r>
      <w:r w:rsidR="00A56C11">
        <w:rPr>
          <w:b/>
          <w:sz w:val="24"/>
        </w:rPr>
        <w:t>alamanca</w:t>
      </w:r>
      <w:r w:rsidR="00457AA7">
        <w:rPr>
          <w:b/>
          <w:sz w:val="24"/>
        </w:rPr>
        <w:t xml:space="preserve"> and </w:t>
      </w:r>
      <w:r w:rsidR="000312DA">
        <w:rPr>
          <w:b/>
          <w:sz w:val="24"/>
        </w:rPr>
        <w:t>Riley</w:t>
      </w:r>
    </w:p>
    <w:p w:rsidR="00E4613D" w:rsidRDefault="00E4613D">
      <w:pPr>
        <w:rPr>
          <w:b/>
          <w:sz w:val="24"/>
        </w:rPr>
      </w:pPr>
    </w:p>
    <w:p w:rsidR="00E4613D" w:rsidRDefault="00E4613D">
      <w:pPr>
        <w:rPr>
          <w:b/>
          <w:sz w:val="24"/>
        </w:rPr>
      </w:pPr>
    </w:p>
    <w:p w:rsidR="00E4613D" w:rsidRDefault="00E4613D">
      <w:pPr>
        <w:pStyle w:val="Heading2"/>
      </w:pPr>
      <w:r>
        <w:t>SUBJECT</w:t>
      </w:r>
    </w:p>
    <w:p w:rsidR="00D212E8" w:rsidRPr="000312DA" w:rsidRDefault="00D212E8" w:rsidP="000312DA">
      <w:pPr>
        <w:tabs>
          <w:tab w:val="left" w:pos="720"/>
          <w:tab w:val="left" w:pos="1440"/>
          <w:tab w:val="left" w:pos="7650"/>
        </w:tabs>
        <w:jc w:val="both"/>
        <w:rPr>
          <w:sz w:val="24"/>
          <w:szCs w:val="24"/>
        </w:rPr>
      </w:pPr>
    </w:p>
    <w:p w:rsidR="000312DA" w:rsidRPr="000312DA" w:rsidRDefault="000312DA" w:rsidP="000312DA">
      <w:pPr>
        <w:shd w:val="clear" w:color="auto" w:fill="FFFFFF"/>
        <w:tabs>
          <w:tab w:val="left" w:pos="7740"/>
        </w:tabs>
        <w:jc w:val="both"/>
        <w:rPr>
          <w:rFonts w:eastAsiaTheme="minorEastAsia"/>
          <w:color w:val="212121"/>
          <w:sz w:val="24"/>
          <w:szCs w:val="24"/>
        </w:rPr>
      </w:pPr>
      <w:r w:rsidRPr="000312DA">
        <w:rPr>
          <w:rFonts w:eastAsiaTheme="minorEastAsia"/>
          <w:b/>
          <w:bCs/>
          <w:color w:val="212121"/>
          <w:sz w:val="24"/>
          <w:szCs w:val="24"/>
        </w:rPr>
        <w:t xml:space="preserve">MANHATTAN CB - 10 </w:t>
      </w:r>
      <w:r w:rsidRPr="000312DA">
        <w:rPr>
          <w:rFonts w:eastAsiaTheme="minorEastAsia"/>
          <w:b/>
          <w:bCs/>
          <w:color w:val="212121"/>
          <w:sz w:val="24"/>
          <w:szCs w:val="24"/>
        </w:rPr>
        <w:tab/>
        <w:t>20215013 HAM</w:t>
      </w:r>
    </w:p>
    <w:p w:rsidR="000312DA" w:rsidRPr="000312DA" w:rsidRDefault="000312DA" w:rsidP="000312DA">
      <w:pPr>
        <w:shd w:val="clear" w:color="auto" w:fill="FFFFFF"/>
        <w:jc w:val="both"/>
        <w:rPr>
          <w:rFonts w:eastAsiaTheme="minorEastAsia"/>
          <w:color w:val="212121"/>
          <w:sz w:val="24"/>
          <w:szCs w:val="24"/>
        </w:rPr>
      </w:pPr>
      <w:r w:rsidRPr="000312DA">
        <w:rPr>
          <w:rFonts w:eastAsiaTheme="minorEastAsia"/>
          <w:color w:val="212121"/>
          <w:sz w:val="24"/>
          <w:szCs w:val="24"/>
        </w:rPr>
        <w:t> </w:t>
      </w:r>
    </w:p>
    <w:p w:rsidR="000312DA" w:rsidRPr="000312DA" w:rsidRDefault="000312DA" w:rsidP="000312DA">
      <w:pPr>
        <w:shd w:val="clear" w:color="auto" w:fill="FFFFFF"/>
        <w:jc w:val="both"/>
        <w:textAlignment w:val="baseline"/>
        <w:rPr>
          <w:rFonts w:eastAsiaTheme="minorEastAsia"/>
          <w:color w:val="212121"/>
          <w:sz w:val="24"/>
          <w:szCs w:val="24"/>
        </w:rPr>
      </w:pPr>
      <w:r w:rsidRPr="000312DA">
        <w:rPr>
          <w:rFonts w:eastAsiaTheme="minorEastAsia"/>
          <w:color w:val="212121"/>
          <w:sz w:val="24"/>
          <w:szCs w:val="24"/>
        </w:rPr>
        <w:t>            Application submitted by the New York City Department of Housing Preservation and Development pursuant to Article 16 of the General Municipal Law and Section 577 of Article XI of the Private Housing Finance Law for approval of an urban development action area project, waiver of the area designation requirement, waiver of the requirements of Sections 197-c and 197</w:t>
      </w:r>
      <w:r w:rsidR="00D05E7C">
        <w:rPr>
          <w:rFonts w:eastAsiaTheme="minorEastAsia"/>
          <w:color w:val="212121"/>
          <w:sz w:val="24"/>
          <w:szCs w:val="24"/>
        </w:rPr>
        <w:noBreakHyphen/>
      </w:r>
      <w:r w:rsidRPr="000312DA">
        <w:rPr>
          <w:rFonts w:eastAsiaTheme="minorEastAsia"/>
          <w:color w:val="212121"/>
          <w:sz w:val="24"/>
          <w:szCs w:val="24"/>
        </w:rPr>
        <w:t>d of the New York City Charter, and a real property tax exemption for property located at 110 Lenox Avenue (Block</w:t>
      </w:r>
      <w:r w:rsidR="00FE6229">
        <w:rPr>
          <w:rFonts w:eastAsiaTheme="minorEastAsia"/>
          <w:color w:val="212121"/>
          <w:sz w:val="24"/>
          <w:szCs w:val="24"/>
        </w:rPr>
        <w:t xml:space="preserve"> </w:t>
      </w:r>
      <w:r w:rsidRPr="000312DA">
        <w:rPr>
          <w:rFonts w:eastAsiaTheme="minorEastAsia"/>
          <w:color w:val="212121"/>
          <w:sz w:val="24"/>
          <w:szCs w:val="24"/>
        </w:rPr>
        <w:t>1599, Lot 70), 128 West 116 Street (Block 1825, Lot 49), 1971 7th Avenue (Block 1903, Lot 64), and 102 West 119 Street (Block 1903, Lot 38) the approval of real property tax exemption, Council District 9.</w:t>
      </w:r>
    </w:p>
    <w:p w:rsidR="000312DA" w:rsidRPr="000312DA" w:rsidRDefault="000312DA" w:rsidP="000312DA">
      <w:pPr>
        <w:tabs>
          <w:tab w:val="left" w:pos="7650"/>
        </w:tabs>
        <w:jc w:val="both"/>
        <w:rPr>
          <w:rFonts w:eastAsia="Calibri"/>
          <w:b/>
          <w:sz w:val="24"/>
          <w:szCs w:val="24"/>
        </w:rPr>
      </w:pPr>
    </w:p>
    <w:p w:rsidR="000312DA" w:rsidRDefault="000312DA" w:rsidP="00312E80">
      <w:pPr>
        <w:tabs>
          <w:tab w:val="left" w:pos="7650"/>
        </w:tabs>
        <w:jc w:val="both"/>
        <w:rPr>
          <w:rFonts w:eastAsia="Calibri"/>
          <w:b/>
          <w:sz w:val="24"/>
          <w:szCs w:val="24"/>
        </w:rPr>
      </w:pPr>
    </w:p>
    <w:p w:rsidR="00E4613D" w:rsidRDefault="00E4613D">
      <w:pPr>
        <w:jc w:val="both"/>
        <w:rPr>
          <w:sz w:val="24"/>
          <w:szCs w:val="24"/>
        </w:rPr>
      </w:pPr>
    </w:p>
    <w:p w:rsidR="000312DA" w:rsidRPr="00DE7048" w:rsidRDefault="000312DA">
      <w:pPr>
        <w:jc w:val="both"/>
        <w:rPr>
          <w:sz w:val="24"/>
          <w:szCs w:val="24"/>
        </w:rPr>
      </w:pPr>
    </w:p>
    <w:p w:rsidR="00E4613D" w:rsidRDefault="00E4613D">
      <w:pPr>
        <w:pStyle w:val="Heading2"/>
        <w:jc w:val="both"/>
      </w:pPr>
      <w:r>
        <w:t>INTENT</w:t>
      </w:r>
    </w:p>
    <w:p w:rsidR="00E4613D" w:rsidRDefault="00E4613D">
      <w:pPr>
        <w:jc w:val="both"/>
        <w:rPr>
          <w:sz w:val="24"/>
        </w:rPr>
      </w:pPr>
    </w:p>
    <w:p w:rsidR="00223089" w:rsidRDefault="00223089" w:rsidP="0006186F">
      <w:pPr>
        <w:tabs>
          <w:tab w:val="left" w:pos="720"/>
          <w:tab w:val="left" w:pos="1440"/>
          <w:tab w:val="left" w:pos="7560"/>
        </w:tabs>
        <w:jc w:val="both"/>
        <w:rPr>
          <w:sz w:val="24"/>
        </w:rPr>
      </w:pPr>
      <w:r>
        <w:rPr>
          <w:sz w:val="24"/>
        </w:rPr>
        <w:tab/>
        <w:t xml:space="preserve">To approve </w:t>
      </w:r>
      <w:r w:rsidR="00E72696">
        <w:rPr>
          <w:sz w:val="24"/>
        </w:rPr>
        <w:t xml:space="preserve">the Project as an Urban Development Action Area Project and a real property tax exemption pursuant to Article XI of the Private Housing Finance Law for the project </w:t>
      </w:r>
      <w:r w:rsidR="00DE7048">
        <w:rPr>
          <w:sz w:val="24"/>
        </w:rPr>
        <w:t>which will</w:t>
      </w:r>
      <w:r w:rsidR="00E72696">
        <w:rPr>
          <w:sz w:val="24"/>
        </w:rPr>
        <w:t xml:space="preserve"> provide </w:t>
      </w:r>
      <w:r w:rsidR="000312DA">
        <w:rPr>
          <w:sz w:val="24"/>
        </w:rPr>
        <w:t>thirty-seven</w:t>
      </w:r>
      <w:r w:rsidR="00ED46A9">
        <w:rPr>
          <w:sz w:val="24"/>
        </w:rPr>
        <w:t xml:space="preserve"> (</w:t>
      </w:r>
      <w:r w:rsidR="000312DA">
        <w:rPr>
          <w:sz w:val="24"/>
        </w:rPr>
        <w:t>37</w:t>
      </w:r>
      <w:r w:rsidR="00ED46A9">
        <w:rPr>
          <w:sz w:val="24"/>
        </w:rPr>
        <w:t>) affordable cooperative dwelling units</w:t>
      </w:r>
      <w:r w:rsidR="000312DA">
        <w:rPr>
          <w:sz w:val="24"/>
        </w:rPr>
        <w:t>, along with eighteen (18) affordable rental units and four (4) storefront commercial spaces.</w:t>
      </w:r>
      <w:r w:rsidR="00ED46A9">
        <w:rPr>
          <w:sz w:val="24"/>
        </w:rPr>
        <w:t xml:space="preserve"> </w:t>
      </w:r>
    </w:p>
    <w:p w:rsidR="00223089" w:rsidRDefault="00223089" w:rsidP="00223089">
      <w:pPr>
        <w:jc w:val="both"/>
        <w:rPr>
          <w:sz w:val="24"/>
        </w:rPr>
      </w:pPr>
    </w:p>
    <w:p w:rsidR="00223089" w:rsidRDefault="00223089">
      <w:pPr>
        <w:tabs>
          <w:tab w:val="left" w:pos="720"/>
          <w:tab w:val="left" w:pos="1440"/>
          <w:tab w:val="left" w:pos="7560"/>
        </w:tabs>
        <w:jc w:val="both"/>
        <w:rPr>
          <w:sz w:val="24"/>
        </w:rPr>
      </w:pPr>
    </w:p>
    <w:p w:rsidR="00E865F5" w:rsidRDefault="00E865F5">
      <w:pPr>
        <w:jc w:val="both"/>
        <w:rPr>
          <w:sz w:val="24"/>
        </w:rPr>
      </w:pPr>
    </w:p>
    <w:p w:rsidR="00E865F5" w:rsidRDefault="00E865F5">
      <w:pPr>
        <w:jc w:val="both"/>
        <w:rPr>
          <w:sz w:val="24"/>
        </w:rPr>
      </w:pPr>
    </w:p>
    <w:p w:rsidR="00E4613D" w:rsidRDefault="00E4613D">
      <w:pPr>
        <w:pStyle w:val="Heading2"/>
        <w:jc w:val="both"/>
      </w:pPr>
      <w:r>
        <w:t>PUBLIC HEARING</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0312DA">
        <w:rPr>
          <w:sz w:val="24"/>
        </w:rPr>
        <w:t>January 20, 2021</w:t>
      </w:r>
    </w:p>
    <w:p w:rsidR="00E4613D" w:rsidRDefault="00E4613D">
      <w:pPr>
        <w:jc w:val="both"/>
        <w:rPr>
          <w:sz w:val="24"/>
        </w:rPr>
      </w:pPr>
    </w:p>
    <w:p w:rsidR="00E4613D" w:rsidRDefault="00E4613D">
      <w:pPr>
        <w:jc w:val="both"/>
        <w:rPr>
          <w:sz w:val="24"/>
        </w:rPr>
      </w:pPr>
      <w:r>
        <w:rPr>
          <w:sz w:val="24"/>
        </w:rPr>
        <w:tab/>
      </w:r>
      <w:r>
        <w:rPr>
          <w:b/>
          <w:sz w:val="24"/>
        </w:rPr>
        <w:t>Witnesses in Favor:</w:t>
      </w:r>
      <w:r>
        <w:rPr>
          <w:sz w:val="24"/>
        </w:rPr>
        <w:t xml:space="preserve">  </w:t>
      </w:r>
      <w:r w:rsidR="00BC759F">
        <w:rPr>
          <w:sz w:val="24"/>
        </w:rPr>
        <w:t>Three</w:t>
      </w:r>
      <w:r w:rsidR="00D212E8">
        <w:rPr>
          <w:sz w:val="24"/>
        </w:rPr>
        <w:tab/>
      </w:r>
      <w:r>
        <w:rPr>
          <w:sz w:val="24"/>
        </w:rPr>
        <w:tab/>
      </w:r>
      <w:r>
        <w:rPr>
          <w:sz w:val="24"/>
        </w:rPr>
        <w:tab/>
      </w:r>
      <w:r>
        <w:rPr>
          <w:sz w:val="24"/>
        </w:rPr>
        <w:tab/>
      </w:r>
      <w:r>
        <w:rPr>
          <w:b/>
          <w:sz w:val="24"/>
        </w:rPr>
        <w:t>Witnesses Against:</w:t>
      </w:r>
      <w:r>
        <w:rPr>
          <w:sz w:val="24"/>
        </w:rPr>
        <w:t xml:space="preserve">  </w:t>
      </w:r>
      <w:r w:rsidR="00BC759F">
        <w:rPr>
          <w:sz w:val="24"/>
        </w:rPr>
        <w:t>None</w:t>
      </w:r>
    </w:p>
    <w:p w:rsidR="007C7914" w:rsidRDefault="007C7914" w:rsidP="007C7914"/>
    <w:p w:rsidR="002F1E70" w:rsidRDefault="002F1E70" w:rsidP="007C7914"/>
    <w:p w:rsidR="00E4613D" w:rsidRDefault="00E4613D">
      <w:pPr>
        <w:pStyle w:val="Heading2"/>
        <w:jc w:val="both"/>
      </w:pPr>
      <w:r>
        <w:t>SUBCOMMITTEE RECOMMENDATION</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0312DA">
        <w:rPr>
          <w:sz w:val="24"/>
        </w:rPr>
        <w:t>February 10, 2021</w:t>
      </w:r>
    </w:p>
    <w:p w:rsidR="00E4613D" w:rsidRDefault="00E4613D">
      <w:pPr>
        <w:jc w:val="both"/>
        <w:rPr>
          <w:sz w:val="24"/>
        </w:rPr>
      </w:pPr>
    </w:p>
    <w:p w:rsidR="00757941" w:rsidRPr="00EA0EB0" w:rsidRDefault="00E4613D" w:rsidP="00757941">
      <w:pPr>
        <w:pStyle w:val="BodyText"/>
        <w:widowControl/>
        <w:tabs>
          <w:tab w:val="clear" w:pos="720"/>
          <w:tab w:val="clear" w:pos="7560"/>
        </w:tabs>
        <w:ind w:right="-180"/>
        <w:rPr>
          <w:snapToGrid/>
          <w:szCs w:val="24"/>
        </w:rPr>
      </w:pPr>
      <w:r>
        <w:rPr>
          <w:snapToGrid/>
        </w:rPr>
        <w:tab/>
      </w:r>
      <w:r w:rsidR="007815D1">
        <w:rPr>
          <w:snapToGrid/>
        </w:rPr>
        <w:t>T</w:t>
      </w:r>
      <w:r>
        <w:rPr>
          <w:snapToGrid/>
        </w:rPr>
        <w:t xml:space="preserve">he Subcommittee recommends that the Land Use Committee approve </w:t>
      </w:r>
      <w:r w:rsidR="00757941" w:rsidRPr="00EA0EB0">
        <w:rPr>
          <w:snapToGrid/>
          <w:szCs w:val="24"/>
        </w:rPr>
        <w:t>the requests made by the New York City Department of Housing Preservation and Development.</w:t>
      </w:r>
    </w:p>
    <w:p w:rsidR="00E4613D" w:rsidRDefault="00E4613D" w:rsidP="00757941">
      <w:pPr>
        <w:pStyle w:val="BodyText"/>
        <w:widowControl/>
        <w:tabs>
          <w:tab w:val="clear" w:pos="720"/>
          <w:tab w:val="clear" w:pos="7560"/>
        </w:tabs>
      </w:pPr>
    </w:p>
    <w:p w:rsidR="00E4613D" w:rsidRDefault="0006186F" w:rsidP="0006186F">
      <w:pPr>
        <w:tabs>
          <w:tab w:val="left" w:pos="2880"/>
          <w:tab w:val="left" w:pos="5760"/>
        </w:tabs>
        <w:jc w:val="both"/>
        <w:rPr>
          <w:sz w:val="24"/>
        </w:rPr>
      </w:pPr>
      <w:r>
        <w:rPr>
          <w:b/>
          <w:sz w:val="24"/>
        </w:rPr>
        <w:t>In Favor:</w:t>
      </w:r>
      <w:r>
        <w:rPr>
          <w:b/>
          <w:sz w:val="24"/>
        </w:rPr>
        <w:tab/>
      </w:r>
      <w:r w:rsidR="00E4613D">
        <w:rPr>
          <w:b/>
          <w:sz w:val="24"/>
        </w:rPr>
        <w:t>Against:</w:t>
      </w:r>
      <w:r w:rsidR="00E4613D">
        <w:rPr>
          <w:b/>
          <w:sz w:val="24"/>
        </w:rPr>
        <w:tab/>
        <w:t>Abstain:</w:t>
      </w:r>
      <w:r w:rsidR="00D05401">
        <w:rPr>
          <w:b/>
          <w:sz w:val="24"/>
        </w:rPr>
        <w:t xml:space="preserve"> </w:t>
      </w:r>
    </w:p>
    <w:p w:rsidR="007046C9" w:rsidRDefault="00CA606E" w:rsidP="007046C9">
      <w:pPr>
        <w:jc w:val="both"/>
        <w:rPr>
          <w:sz w:val="24"/>
        </w:rPr>
      </w:pPr>
      <w:r>
        <w:rPr>
          <w:sz w:val="24"/>
        </w:rPr>
        <w:t>Riley</w:t>
      </w:r>
      <w:r>
        <w:rPr>
          <w:sz w:val="24"/>
        </w:rPr>
        <w:tab/>
      </w:r>
      <w:r>
        <w:rPr>
          <w:sz w:val="24"/>
        </w:rPr>
        <w:tab/>
      </w:r>
      <w:r>
        <w:rPr>
          <w:sz w:val="24"/>
        </w:rPr>
        <w:tab/>
      </w:r>
      <w:r>
        <w:rPr>
          <w:sz w:val="24"/>
        </w:rPr>
        <w:tab/>
      </w:r>
      <w:r w:rsidR="007046C9">
        <w:rPr>
          <w:sz w:val="24"/>
        </w:rPr>
        <w:t>None</w:t>
      </w:r>
      <w:r w:rsidR="007046C9">
        <w:rPr>
          <w:sz w:val="24"/>
        </w:rPr>
        <w:tab/>
      </w:r>
      <w:r w:rsidR="007046C9">
        <w:rPr>
          <w:sz w:val="24"/>
        </w:rPr>
        <w:tab/>
      </w:r>
      <w:r w:rsidR="007046C9">
        <w:rPr>
          <w:sz w:val="24"/>
        </w:rPr>
        <w:tab/>
      </w:r>
      <w:r w:rsidR="007046C9">
        <w:rPr>
          <w:sz w:val="24"/>
        </w:rPr>
        <w:tab/>
        <w:t>Barron</w:t>
      </w:r>
    </w:p>
    <w:p w:rsidR="00CA606E" w:rsidRDefault="00CA606E">
      <w:pPr>
        <w:jc w:val="both"/>
        <w:rPr>
          <w:sz w:val="24"/>
        </w:rPr>
      </w:pPr>
      <w:r>
        <w:rPr>
          <w:sz w:val="24"/>
        </w:rPr>
        <w:t>Koo</w:t>
      </w:r>
    </w:p>
    <w:p w:rsidR="00CA606E" w:rsidRDefault="00CA606E">
      <w:pPr>
        <w:jc w:val="both"/>
        <w:rPr>
          <w:sz w:val="24"/>
        </w:rPr>
      </w:pPr>
      <w:r>
        <w:rPr>
          <w:sz w:val="24"/>
        </w:rPr>
        <w:t>Treyger</w:t>
      </w:r>
    </w:p>
    <w:p w:rsidR="000312DA" w:rsidRDefault="000312DA">
      <w:pPr>
        <w:jc w:val="both"/>
        <w:rPr>
          <w:sz w:val="24"/>
        </w:rPr>
      </w:pPr>
    </w:p>
    <w:p w:rsidR="002F1E70" w:rsidRDefault="002F1E70">
      <w:pPr>
        <w:jc w:val="both"/>
        <w:rPr>
          <w:sz w:val="24"/>
        </w:rPr>
      </w:pPr>
    </w:p>
    <w:p w:rsidR="002F1E70" w:rsidRDefault="002F1E70">
      <w:pPr>
        <w:jc w:val="both"/>
        <w:rPr>
          <w:sz w:val="24"/>
        </w:rPr>
      </w:pPr>
    </w:p>
    <w:p w:rsidR="00E4613D" w:rsidRDefault="00E4613D">
      <w:pPr>
        <w:pStyle w:val="Heading2"/>
        <w:jc w:val="both"/>
      </w:pPr>
      <w:r>
        <w:t>COMMITTEE ACTION</w:t>
      </w:r>
    </w:p>
    <w:p w:rsidR="00E4613D" w:rsidRDefault="00E4613D">
      <w:pPr>
        <w:jc w:val="both"/>
        <w:rPr>
          <w:sz w:val="24"/>
        </w:rPr>
      </w:pPr>
    </w:p>
    <w:p w:rsidR="00510F13" w:rsidRDefault="00E4613D" w:rsidP="00510F13">
      <w:pPr>
        <w:jc w:val="both"/>
        <w:rPr>
          <w:sz w:val="24"/>
        </w:rPr>
      </w:pPr>
      <w:r>
        <w:rPr>
          <w:sz w:val="24"/>
        </w:rPr>
        <w:tab/>
      </w:r>
      <w:r w:rsidR="00510F13">
        <w:rPr>
          <w:b/>
          <w:sz w:val="24"/>
        </w:rPr>
        <w:t>DATE:</w:t>
      </w:r>
      <w:r w:rsidR="00510F13">
        <w:rPr>
          <w:sz w:val="24"/>
        </w:rPr>
        <w:t xml:space="preserve">  February 11, 2021</w:t>
      </w:r>
    </w:p>
    <w:p w:rsidR="00510F13" w:rsidRDefault="00510F13" w:rsidP="00510F13">
      <w:pPr>
        <w:jc w:val="both"/>
        <w:rPr>
          <w:sz w:val="24"/>
        </w:rPr>
      </w:pPr>
    </w:p>
    <w:p w:rsidR="00510F13" w:rsidRDefault="00510F13" w:rsidP="00510F13">
      <w:pPr>
        <w:tabs>
          <w:tab w:val="left" w:pos="-1440"/>
        </w:tabs>
        <w:jc w:val="both"/>
        <w:rPr>
          <w:sz w:val="24"/>
          <w:szCs w:val="24"/>
        </w:rPr>
      </w:pPr>
      <w:r>
        <w:rPr>
          <w:sz w:val="24"/>
        </w:rPr>
        <w:tab/>
        <w:t xml:space="preserve">The Committee recommends that the Council </w:t>
      </w:r>
      <w:r>
        <w:rPr>
          <w:sz w:val="24"/>
          <w:szCs w:val="24"/>
        </w:rPr>
        <w:t>approve the attached resolution.</w:t>
      </w:r>
    </w:p>
    <w:p w:rsidR="00510F13" w:rsidRDefault="00510F13" w:rsidP="00510F13">
      <w:pPr>
        <w:jc w:val="both"/>
        <w:rPr>
          <w:sz w:val="24"/>
        </w:rPr>
      </w:pPr>
    </w:p>
    <w:p w:rsidR="00510F13" w:rsidRDefault="00510F13" w:rsidP="00510F13">
      <w:pPr>
        <w:jc w:val="both"/>
        <w:rPr>
          <w:b/>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B24FB6" w:rsidRDefault="00B24FB6" w:rsidP="00510F13">
      <w:pPr>
        <w:jc w:val="both"/>
        <w:rPr>
          <w:sz w:val="24"/>
        </w:rPr>
      </w:pPr>
      <w:r>
        <w:rPr>
          <w:sz w:val="24"/>
        </w:rPr>
        <w:t>Salamanca</w:t>
      </w:r>
      <w:r>
        <w:rPr>
          <w:sz w:val="24"/>
        </w:rPr>
        <w:tab/>
      </w:r>
      <w:r>
        <w:rPr>
          <w:sz w:val="24"/>
        </w:rPr>
        <w:tab/>
      </w:r>
      <w:r>
        <w:rPr>
          <w:sz w:val="24"/>
        </w:rPr>
        <w:tab/>
        <w:t>None</w:t>
      </w:r>
      <w:r>
        <w:rPr>
          <w:sz w:val="24"/>
        </w:rPr>
        <w:tab/>
      </w:r>
      <w:r>
        <w:rPr>
          <w:sz w:val="24"/>
        </w:rPr>
        <w:tab/>
      </w:r>
      <w:r>
        <w:rPr>
          <w:sz w:val="24"/>
        </w:rPr>
        <w:tab/>
      </w:r>
      <w:r>
        <w:rPr>
          <w:sz w:val="24"/>
        </w:rPr>
        <w:tab/>
        <w:t>Barron</w:t>
      </w:r>
    </w:p>
    <w:p w:rsidR="00B24FB6" w:rsidRDefault="00B24FB6" w:rsidP="00510F13">
      <w:pPr>
        <w:jc w:val="both"/>
        <w:rPr>
          <w:sz w:val="24"/>
        </w:rPr>
      </w:pPr>
      <w:r>
        <w:rPr>
          <w:sz w:val="24"/>
        </w:rPr>
        <w:t>Gibson</w:t>
      </w:r>
    </w:p>
    <w:p w:rsidR="00B24FB6" w:rsidRDefault="00B24FB6" w:rsidP="00510F13">
      <w:pPr>
        <w:jc w:val="both"/>
        <w:rPr>
          <w:sz w:val="24"/>
        </w:rPr>
      </w:pPr>
      <w:r>
        <w:rPr>
          <w:sz w:val="24"/>
        </w:rPr>
        <w:t>Deutsch</w:t>
      </w:r>
    </w:p>
    <w:p w:rsidR="00B24FB6" w:rsidRDefault="00B24FB6" w:rsidP="00510F13">
      <w:pPr>
        <w:jc w:val="both"/>
        <w:rPr>
          <w:sz w:val="24"/>
        </w:rPr>
      </w:pPr>
      <w:r>
        <w:rPr>
          <w:sz w:val="24"/>
        </w:rPr>
        <w:t>Koo</w:t>
      </w:r>
    </w:p>
    <w:p w:rsidR="00B24FB6" w:rsidRDefault="00B24FB6" w:rsidP="00510F13">
      <w:pPr>
        <w:jc w:val="both"/>
        <w:rPr>
          <w:sz w:val="24"/>
        </w:rPr>
      </w:pPr>
      <w:r>
        <w:rPr>
          <w:sz w:val="24"/>
        </w:rPr>
        <w:t>Levin</w:t>
      </w:r>
    </w:p>
    <w:p w:rsidR="00B24FB6" w:rsidRDefault="00B24FB6" w:rsidP="00510F13">
      <w:pPr>
        <w:jc w:val="both"/>
        <w:rPr>
          <w:sz w:val="24"/>
        </w:rPr>
      </w:pPr>
      <w:r>
        <w:rPr>
          <w:sz w:val="24"/>
        </w:rPr>
        <w:t>Miller</w:t>
      </w:r>
    </w:p>
    <w:p w:rsidR="00B24FB6" w:rsidRDefault="00B24FB6" w:rsidP="00510F13">
      <w:pPr>
        <w:jc w:val="both"/>
        <w:rPr>
          <w:sz w:val="24"/>
        </w:rPr>
      </w:pPr>
      <w:r>
        <w:rPr>
          <w:sz w:val="24"/>
        </w:rPr>
        <w:t>Reynoso</w:t>
      </w:r>
    </w:p>
    <w:p w:rsidR="00B24FB6" w:rsidRDefault="00B24FB6" w:rsidP="00510F13">
      <w:pPr>
        <w:jc w:val="both"/>
        <w:rPr>
          <w:sz w:val="24"/>
        </w:rPr>
      </w:pPr>
      <w:r>
        <w:rPr>
          <w:sz w:val="24"/>
        </w:rPr>
        <w:t>Treyger</w:t>
      </w:r>
    </w:p>
    <w:p w:rsidR="00B24FB6" w:rsidRDefault="00B24FB6" w:rsidP="00510F13">
      <w:pPr>
        <w:jc w:val="both"/>
        <w:rPr>
          <w:sz w:val="24"/>
        </w:rPr>
      </w:pPr>
      <w:r>
        <w:rPr>
          <w:sz w:val="24"/>
        </w:rPr>
        <w:t>Grodenchik</w:t>
      </w:r>
    </w:p>
    <w:p w:rsidR="00B24FB6" w:rsidRDefault="00B24FB6" w:rsidP="00510F13">
      <w:pPr>
        <w:jc w:val="both"/>
        <w:rPr>
          <w:sz w:val="24"/>
        </w:rPr>
      </w:pPr>
      <w:r>
        <w:rPr>
          <w:sz w:val="24"/>
        </w:rPr>
        <w:t>Adams</w:t>
      </w:r>
    </w:p>
    <w:p w:rsidR="00B24FB6" w:rsidRDefault="00B24FB6" w:rsidP="00510F13">
      <w:pPr>
        <w:jc w:val="both"/>
        <w:rPr>
          <w:sz w:val="24"/>
        </w:rPr>
      </w:pPr>
      <w:r>
        <w:rPr>
          <w:sz w:val="24"/>
        </w:rPr>
        <w:t>Ayala</w:t>
      </w:r>
    </w:p>
    <w:p w:rsidR="00B24FB6" w:rsidRDefault="00B24FB6" w:rsidP="00510F13">
      <w:pPr>
        <w:jc w:val="both"/>
        <w:rPr>
          <w:sz w:val="24"/>
        </w:rPr>
      </w:pPr>
      <w:r>
        <w:rPr>
          <w:sz w:val="24"/>
        </w:rPr>
        <w:t>Diaz Sr.</w:t>
      </w:r>
    </w:p>
    <w:p w:rsidR="00B24FB6" w:rsidRDefault="00B24FB6" w:rsidP="00510F13">
      <w:pPr>
        <w:jc w:val="both"/>
        <w:rPr>
          <w:sz w:val="24"/>
        </w:rPr>
      </w:pPr>
      <w:r>
        <w:rPr>
          <w:sz w:val="24"/>
        </w:rPr>
        <w:t>Moya</w:t>
      </w:r>
    </w:p>
    <w:p w:rsidR="00B24FB6" w:rsidRDefault="00B24FB6" w:rsidP="00510F13">
      <w:pPr>
        <w:jc w:val="both"/>
        <w:rPr>
          <w:sz w:val="24"/>
        </w:rPr>
      </w:pPr>
      <w:r>
        <w:rPr>
          <w:sz w:val="24"/>
        </w:rPr>
        <w:t>Rivera</w:t>
      </w:r>
    </w:p>
    <w:p w:rsidR="00B24FB6" w:rsidRDefault="00B24FB6" w:rsidP="00510F13">
      <w:pPr>
        <w:jc w:val="both"/>
        <w:rPr>
          <w:sz w:val="24"/>
        </w:rPr>
      </w:pPr>
      <w:r>
        <w:rPr>
          <w:sz w:val="24"/>
        </w:rPr>
        <w:t>Riley</w:t>
      </w:r>
    </w:p>
    <w:p w:rsidR="00B24FB6" w:rsidRPr="00B24FB6" w:rsidRDefault="00B24FB6" w:rsidP="00510F13">
      <w:pPr>
        <w:jc w:val="both"/>
        <w:rPr>
          <w:sz w:val="24"/>
        </w:rPr>
      </w:pPr>
      <w:r>
        <w:rPr>
          <w:sz w:val="24"/>
        </w:rPr>
        <w:t>Borelli</w:t>
      </w:r>
    </w:p>
    <w:sectPr w:rsidR="00B24FB6" w:rsidRPr="00B24FB6" w:rsidSect="006D78B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36" w:rsidRDefault="00EB6736">
      <w:r>
        <w:separator/>
      </w:r>
    </w:p>
  </w:endnote>
  <w:endnote w:type="continuationSeparator" w:id="0">
    <w:p w:rsidR="00EB6736" w:rsidRDefault="00EB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36" w:rsidRDefault="00EB6736">
      <w:r>
        <w:separator/>
      </w:r>
    </w:p>
  </w:footnote>
  <w:footnote w:type="continuationSeparator" w:id="0">
    <w:p w:rsidR="00EB6736" w:rsidRDefault="00EB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7708AF" w:rsidRDefault="007708AF">
    <w:pPr>
      <w:pStyle w:val="Header"/>
    </w:pPr>
  </w:p>
  <w:p w:rsidR="00E72696" w:rsidRDefault="00E72696">
    <w:pPr>
      <w:pStyle w:val="Header"/>
      <w:rPr>
        <w:b/>
        <w:sz w:val="24"/>
        <w:szCs w:val="24"/>
      </w:rP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sidRPr="00A17B48">
      <w:rPr>
        <w:b/>
        <w:sz w:val="24"/>
        <w:szCs w:val="24"/>
      </w:rPr>
      <w:fldChar w:fldCharType="separate"/>
    </w:r>
    <w:r w:rsidR="000F47E8">
      <w:rPr>
        <w:b/>
        <w:noProof/>
        <w:sz w:val="24"/>
        <w:szCs w:val="24"/>
      </w:rPr>
      <w:t>2</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sidRPr="00A17B48">
      <w:rPr>
        <w:b/>
        <w:sz w:val="24"/>
        <w:szCs w:val="24"/>
      </w:rPr>
      <w:fldChar w:fldCharType="separate"/>
    </w:r>
    <w:r w:rsidR="000F47E8">
      <w:rPr>
        <w:b/>
        <w:noProof/>
        <w:sz w:val="24"/>
        <w:szCs w:val="24"/>
      </w:rPr>
      <w:t>2</w:t>
    </w:r>
    <w:r w:rsidRPr="00A17B48">
      <w:rPr>
        <w:b/>
        <w:sz w:val="24"/>
        <w:szCs w:val="24"/>
      </w:rPr>
      <w:fldChar w:fldCharType="end"/>
    </w:r>
  </w:p>
  <w:p w:rsidR="00602F02" w:rsidRDefault="00D212E8">
    <w:pPr>
      <w:pStyle w:val="Header"/>
      <w:rPr>
        <w:b/>
        <w:sz w:val="24"/>
        <w:szCs w:val="24"/>
      </w:rPr>
    </w:pPr>
    <w:r w:rsidRPr="00D212E8">
      <w:rPr>
        <w:rFonts w:eastAsia="Calibri"/>
        <w:b/>
        <w:sz w:val="24"/>
        <w:szCs w:val="24"/>
      </w:rPr>
      <w:t>20</w:t>
    </w:r>
    <w:r w:rsidR="00DE7048">
      <w:rPr>
        <w:rFonts w:eastAsia="Calibri"/>
        <w:b/>
        <w:sz w:val="24"/>
        <w:szCs w:val="24"/>
      </w:rPr>
      <w:t>2</w:t>
    </w:r>
    <w:r w:rsidR="000312DA">
      <w:rPr>
        <w:rFonts w:eastAsia="Calibri"/>
        <w:b/>
        <w:sz w:val="24"/>
        <w:szCs w:val="24"/>
      </w:rPr>
      <w:t>15013</w:t>
    </w:r>
    <w:r w:rsidR="00E72696">
      <w:rPr>
        <w:rFonts w:eastAsia="Calibri"/>
        <w:b/>
        <w:sz w:val="24"/>
        <w:szCs w:val="24"/>
      </w:rPr>
      <w:t> HAM</w:t>
    </w:r>
  </w:p>
  <w:p w:rsidR="0062778A" w:rsidRDefault="0062778A">
    <w:pPr>
      <w:pStyle w:val="Header"/>
      <w:rPr>
        <w:b/>
        <w:sz w:val="24"/>
        <w:szCs w:val="24"/>
      </w:rPr>
    </w:pPr>
    <w:r>
      <w:rPr>
        <w:b/>
        <w:sz w:val="24"/>
        <w:szCs w:val="24"/>
      </w:rPr>
      <w:t>L.U. No</w:t>
    </w:r>
    <w:r w:rsidR="00667548">
      <w:rPr>
        <w:b/>
        <w:sz w:val="24"/>
        <w:szCs w:val="24"/>
      </w:rPr>
      <w:t xml:space="preserve">. </w:t>
    </w:r>
    <w:r w:rsidR="005C44DF">
      <w:rPr>
        <w:b/>
        <w:sz w:val="24"/>
        <w:szCs w:val="24"/>
      </w:rPr>
      <w:t>711</w:t>
    </w:r>
    <w:r>
      <w:rPr>
        <w:b/>
        <w:sz w:val="24"/>
        <w:szCs w:val="24"/>
      </w:rPr>
      <w:t xml:space="preserve"> (Res. No. </w:t>
    </w:r>
    <w:r w:rsidR="000312DA">
      <w:rPr>
        <w:b/>
        <w:sz w:val="24"/>
        <w:szCs w:val="24"/>
      </w:rPr>
      <w:t>____</w:t>
    </w:r>
    <w:r>
      <w:rPr>
        <w:b/>
        <w:sz w:val="24"/>
        <w:szCs w:val="24"/>
      </w:rPr>
      <w:t>)</w:t>
    </w:r>
  </w:p>
  <w:p w:rsidR="007708AF" w:rsidRDefault="007708AF">
    <w:pPr>
      <w:pStyle w:val="Header"/>
      <w:rPr>
        <w:b/>
        <w:sz w:val="24"/>
        <w:szCs w:val="24"/>
      </w:rPr>
    </w:pPr>
  </w:p>
  <w:p w:rsidR="0062778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3"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00BBB"/>
    <w:rsid w:val="0000270E"/>
    <w:rsid w:val="00024BEA"/>
    <w:rsid w:val="00026EA6"/>
    <w:rsid w:val="000312DA"/>
    <w:rsid w:val="0006186F"/>
    <w:rsid w:val="00082E9F"/>
    <w:rsid w:val="00095718"/>
    <w:rsid w:val="000D178A"/>
    <w:rsid w:val="000E2908"/>
    <w:rsid w:val="000F47E8"/>
    <w:rsid w:val="00163CC3"/>
    <w:rsid w:val="001D453E"/>
    <w:rsid w:val="001E4CDA"/>
    <w:rsid w:val="001F6D76"/>
    <w:rsid w:val="00205F26"/>
    <w:rsid w:val="00223089"/>
    <w:rsid w:val="00230C93"/>
    <w:rsid w:val="002418DE"/>
    <w:rsid w:val="00252FAB"/>
    <w:rsid w:val="00291BDE"/>
    <w:rsid w:val="002957E6"/>
    <w:rsid w:val="002A0EDE"/>
    <w:rsid w:val="002A3F2A"/>
    <w:rsid w:val="002A514E"/>
    <w:rsid w:val="002F1E70"/>
    <w:rsid w:val="00312E80"/>
    <w:rsid w:val="0033073E"/>
    <w:rsid w:val="00333C6C"/>
    <w:rsid w:val="0036689B"/>
    <w:rsid w:val="0037318B"/>
    <w:rsid w:val="00391A37"/>
    <w:rsid w:val="003C4B14"/>
    <w:rsid w:val="003C7E07"/>
    <w:rsid w:val="003D0F72"/>
    <w:rsid w:val="003D334F"/>
    <w:rsid w:val="003D487F"/>
    <w:rsid w:val="003E013E"/>
    <w:rsid w:val="003F423C"/>
    <w:rsid w:val="00424EFF"/>
    <w:rsid w:val="00425D2C"/>
    <w:rsid w:val="00442B6E"/>
    <w:rsid w:val="00443183"/>
    <w:rsid w:val="00457AA7"/>
    <w:rsid w:val="0047202A"/>
    <w:rsid w:val="00484181"/>
    <w:rsid w:val="00486B63"/>
    <w:rsid w:val="00492FF3"/>
    <w:rsid w:val="00496AD3"/>
    <w:rsid w:val="004B736F"/>
    <w:rsid w:val="004D2722"/>
    <w:rsid w:val="004D7789"/>
    <w:rsid w:val="004F55A4"/>
    <w:rsid w:val="00500E73"/>
    <w:rsid w:val="00510F13"/>
    <w:rsid w:val="00520C90"/>
    <w:rsid w:val="005337DE"/>
    <w:rsid w:val="00567160"/>
    <w:rsid w:val="005A737A"/>
    <w:rsid w:val="005C44DF"/>
    <w:rsid w:val="005D5813"/>
    <w:rsid w:val="005E3504"/>
    <w:rsid w:val="005F3CFD"/>
    <w:rsid w:val="005F7A45"/>
    <w:rsid w:val="00602F02"/>
    <w:rsid w:val="0062778A"/>
    <w:rsid w:val="00646EA4"/>
    <w:rsid w:val="00652EF9"/>
    <w:rsid w:val="00655C1A"/>
    <w:rsid w:val="00667548"/>
    <w:rsid w:val="006715AB"/>
    <w:rsid w:val="006976FE"/>
    <w:rsid w:val="006C118D"/>
    <w:rsid w:val="006D78B6"/>
    <w:rsid w:val="006F7C60"/>
    <w:rsid w:val="007046C9"/>
    <w:rsid w:val="00722D3F"/>
    <w:rsid w:val="00730B4F"/>
    <w:rsid w:val="00741FD3"/>
    <w:rsid w:val="00746A43"/>
    <w:rsid w:val="00750DAC"/>
    <w:rsid w:val="00757941"/>
    <w:rsid w:val="007612B8"/>
    <w:rsid w:val="007658EC"/>
    <w:rsid w:val="007670C2"/>
    <w:rsid w:val="007708AF"/>
    <w:rsid w:val="007815D1"/>
    <w:rsid w:val="007B57BD"/>
    <w:rsid w:val="007C7914"/>
    <w:rsid w:val="007D6EB9"/>
    <w:rsid w:val="007F1276"/>
    <w:rsid w:val="007F774C"/>
    <w:rsid w:val="00803634"/>
    <w:rsid w:val="00822B74"/>
    <w:rsid w:val="0084011B"/>
    <w:rsid w:val="00842E59"/>
    <w:rsid w:val="00845D79"/>
    <w:rsid w:val="0085206A"/>
    <w:rsid w:val="0086314A"/>
    <w:rsid w:val="00864BF1"/>
    <w:rsid w:val="0086574A"/>
    <w:rsid w:val="008728C9"/>
    <w:rsid w:val="008868D2"/>
    <w:rsid w:val="00896829"/>
    <w:rsid w:val="008B506E"/>
    <w:rsid w:val="008C1FA5"/>
    <w:rsid w:val="008E183E"/>
    <w:rsid w:val="008E4C39"/>
    <w:rsid w:val="008E7992"/>
    <w:rsid w:val="008F380F"/>
    <w:rsid w:val="008F6BC7"/>
    <w:rsid w:val="00925E4A"/>
    <w:rsid w:val="00933265"/>
    <w:rsid w:val="0093709F"/>
    <w:rsid w:val="00974B02"/>
    <w:rsid w:val="009832B1"/>
    <w:rsid w:val="00994019"/>
    <w:rsid w:val="009A77FD"/>
    <w:rsid w:val="009B7F44"/>
    <w:rsid w:val="009C2986"/>
    <w:rsid w:val="009C6C5B"/>
    <w:rsid w:val="009F587D"/>
    <w:rsid w:val="00A17B48"/>
    <w:rsid w:val="00A56C11"/>
    <w:rsid w:val="00A60869"/>
    <w:rsid w:val="00AA7AAE"/>
    <w:rsid w:val="00AB0073"/>
    <w:rsid w:val="00AB345A"/>
    <w:rsid w:val="00AB71DC"/>
    <w:rsid w:val="00AE7E07"/>
    <w:rsid w:val="00B00614"/>
    <w:rsid w:val="00B02FD1"/>
    <w:rsid w:val="00B24FB6"/>
    <w:rsid w:val="00B37B02"/>
    <w:rsid w:val="00B4380B"/>
    <w:rsid w:val="00B44EA3"/>
    <w:rsid w:val="00B8125E"/>
    <w:rsid w:val="00B94FBE"/>
    <w:rsid w:val="00BC005F"/>
    <w:rsid w:val="00BC5075"/>
    <w:rsid w:val="00BC759F"/>
    <w:rsid w:val="00BF42BA"/>
    <w:rsid w:val="00C034C5"/>
    <w:rsid w:val="00C37D3D"/>
    <w:rsid w:val="00C40171"/>
    <w:rsid w:val="00C46C19"/>
    <w:rsid w:val="00C57947"/>
    <w:rsid w:val="00C65439"/>
    <w:rsid w:val="00C800FD"/>
    <w:rsid w:val="00C87C45"/>
    <w:rsid w:val="00C96CB5"/>
    <w:rsid w:val="00CA606E"/>
    <w:rsid w:val="00CE532C"/>
    <w:rsid w:val="00D05401"/>
    <w:rsid w:val="00D05E7C"/>
    <w:rsid w:val="00D212E8"/>
    <w:rsid w:val="00D228D6"/>
    <w:rsid w:val="00D55B22"/>
    <w:rsid w:val="00D663C6"/>
    <w:rsid w:val="00D80120"/>
    <w:rsid w:val="00DB262F"/>
    <w:rsid w:val="00DC4278"/>
    <w:rsid w:val="00DE7048"/>
    <w:rsid w:val="00DF615E"/>
    <w:rsid w:val="00E0062D"/>
    <w:rsid w:val="00E14662"/>
    <w:rsid w:val="00E4613D"/>
    <w:rsid w:val="00E72696"/>
    <w:rsid w:val="00E865F5"/>
    <w:rsid w:val="00E927F2"/>
    <w:rsid w:val="00E9335C"/>
    <w:rsid w:val="00EA6BC4"/>
    <w:rsid w:val="00EA6D0C"/>
    <w:rsid w:val="00EB6736"/>
    <w:rsid w:val="00ED46A9"/>
    <w:rsid w:val="00EE08D8"/>
    <w:rsid w:val="00EF06B1"/>
    <w:rsid w:val="00EF0FFE"/>
    <w:rsid w:val="00F05473"/>
    <w:rsid w:val="00F059C7"/>
    <w:rsid w:val="00F5566A"/>
    <w:rsid w:val="00F80A01"/>
    <w:rsid w:val="00F9389B"/>
    <w:rsid w:val="00FA5BC8"/>
    <w:rsid w:val="00FA5F93"/>
    <w:rsid w:val="00FE10D9"/>
    <w:rsid w:val="00FE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725DE"/>
  <w15:chartTrackingRefBased/>
  <w15:docId w15:val="{5503168C-64A3-4911-AB21-987400AD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89"/>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 w:type="paragraph" w:styleId="BalloonText">
    <w:name w:val="Balloon Text"/>
    <w:basedOn w:val="Normal"/>
    <w:link w:val="BalloonTextChar"/>
    <w:rsid w:val="0033073E"/>
    <w:rPr>
      <w:rFonts w:ascii="Segoe UI" w:hAnsi="Segoe UI" w:cs="Segoe UI"/>
      <w:sz w:val="18"/>
      <w:szCs w:val="18"/>
    </w:rPr>
  </w:style>
  <w:style w:type="character" w:customStyle="1" w:styleId="BalloonTextChar">
    <w:name w:val="Balloon Text Char"/>
    <w:link w:val="BalloonText"/>
    <w:rsid w:val="0033073E"/>
    <w:rPr>
      <w:rFonts w:ascii="Segoe UI" w:hAnsi="Segoe UI" w:cs="Segoe UI"/>
      <w:sz w:val="18"/>
      <w:szCs w:val="18"/>
    </w:rPr>
  </w:style>
  <w:style w:type="character" w:styleId="CommentReference">
    <w:name w:val="annotation reference"/>
    <w:rsid w:val="00864BF1"/>
    <w:rPr>
      <w:sz w:val="16"/>
      <w:szCs w:val="16"/>
    </w:rPr>
  </w:style>
  <w:style w:type="paragraph" w:styleId="CommentText">
    <w:name w:val="annotation text"/>
    <w:basedOn w:val="Normal"/>
    <w:link w:val="CommentTextChar"/>
    <w:rsid w:val="00864BF1"/>
  </w:style>
  <w:style w:type="character" w:customStyle="1" w:styleId="CommentTextChar">
    <w:name w:val="Comment Text Char"/>
    <w:basedOn w:val="DefaultParagraphFont"/>
    <w:link w:val="CommentText"/>
    <w:rsid w:val="00864BF1"/>
  </w:style>
  <w:style w:type="paragraph" w:styleId="CommentSubject">
    <w:name w:val="annotation subject"/>
    <w:basedOn w:val="CommentText"/>
    <w:next w:val="CommentText"/>
    <w:link w:val="CommentSubjectChar"/>
    <w:rsid w:val="00864BF1"/>
    <w:rPr>
      <w:b/>
      <w:bCs/>
    </w:rPr>
  </w:style>
  <w:style w:type="character" w:customStyle="1" w:styleId="CommentSubjectChar">
    <w:name w:val="Comment Subject Char"/>
    <w:link w:val="CommentSubject"/>
    <w:rsid w:val="00864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057737">
      <w:bodyDiv w:val="1"/>
      <w:marLeft w:val="0"/>
      <w:marRight w:val="0"/>
      <w:marTop w:val="0"/>
      <w:marBottom w:val="0"/>
      <w:divBdr>
        <w:top w:val="none" w:sz="0" w:space="0" w:color="auto"/>
        <w:left w:val="none" w:sz="0" w:space="0" w:color="auto"/>
        <w:bottom w:val="none" w:sz="0" w:space="0" w:color="auto"/>
        <w:right w:val="none" w:sz="0" w:space="0" w:color="auto"/>
      </w:divBdr>
    </w:div>
    <w:div w:id="20168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2019-06-13T20:54:00Z</cp:lastPrinted>
  <dcterms:created xsi:type="dcterms:W3CDTF">2021-02-11T17:42:00Z</dcterms:created>
  <dcterms:modified xsi:type="dcterms:W3CDTF">2021-02-11T17:42:00Z</dcterms:modified>
</cp:coreProperties>
</file>