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62" w:rsidRPr="00AC55AD" w:rsidRDefault="00092583">
      <w:pPr>
        <w:pStyle w:val="Heading1"/>
        <w:rPr>
          <w:szCs w:val="24"/>
        </w:rPr>
      </w:pPr>
      <w:r w:rsidRPr="00AC55AD">
        <w:rPr>
          <w:szCs w:val="24"/>
        </w:rPr>
        <w:t>T</w:t>
      </w:r>
      <w:r w:rsidR="006B4A62" w:rsidRPr="00AC55AD">
        <w:rPr>
          <w:szCs w:val="24"/>
        </w:rPr>
        <w:t>HE COUNCIL</w:t>
      </w:r>
    </w:p>
    <w:p w:rsidR="006B4A62" w:rsidRPr="00AC55AD" w:rsidRDefault="006B4A62">
      <w:pPr>
        <w:jc w:val="center"/>
        <w:rPr>
          <w:b/>
          <w:sz w:val="24"/>
          <w:szCs w:val="24"/>
        </w:rPr>
      </w:pPr>
    </w:p>
    <w:p w:rsidR="006B4A62" w:rsidRPr="00AC55AD" w:rsidRDefault="006B4A62">
      <w:pPr>
        <w:jc w:val="center"/>
        <w:rPr>
          <w:b/>
          <w:sz w:val="24"/>
          <w:szCs w:val="24"/>
        </w:rPr>
      </w:pPr>
      <w:r w:rsidRPr="00AC55AD">
        <w:rPr>
          <w:b/>
          <w:sz w:val="24"/>
          <w:szCs w:val="24"/>
        </w:rPr>
        <w:t>JOINT REPORT OF THE LAND USE COMMITTEE</w:t>
      </w:r>
    </w:p>
    <w:p w:rsidR="006B4A62" w:rsidRPr="00AC55AD" w:rsidRDefault="006B4A62">
      <w:pPr>
        <w:jc w:val="center"/>
        <w:rPr>
          <w:b/>
          <w:sz w:val="24"/>
          <w:szCs w:val="24"/>
        </w:rPr>
      </w:pPr>
      <w:r w:rsidRPr="00AC55AD">
        <w:rPr>
          <w:b/>
          <w:sz w:val="24"/>
          <w:szCs w:val="24"/>
        </w:rPr>
        <w:t xml:space="preserve">AND THE </w:t>
      </w:r>
    </w:p>
    <w:p w:rsidR="006B4A62" w:rsidRPr="00AC55AD" w:rsidRDefault="006B4A62">
      <w:pPr>
        <w:jc w:val="center"/>
        <w:rPr>
          <w:b/>
          <w:sz w:val="24"/>
          <w:szCs w:val="24"/>
        </w:rPr>
      </w:pPr>
      <w:r w:rsidRPr="00AC55AD">
        <w:rPr>
          <w:b/>
          <w:sz w:val="24"/>
          <w:szCs w:val="24"/>
        </w:rPr>
        <w:t>SUBCOMMITTEE ON ZONING AND FRANCHISES</w:t>
      </w:r>
    </w:p>
    <w:p w:rsidR="006B4A62" w:rsidRPr="00AC55AD" w:rsidRDefault="006B4A62">
      <w:pPr>
        <w:jc w:val="center"/>
        <w:rPr>
          <w:b/>
          <w:sz w:val="24"/>
          <w:szCs w:val="24"/>
        </w:rPr>
      </w:pPr>
    </w:p>
    <w:p w:rsidR="00FA0935" w:rsidRDefault="007A072A">
      <w:pPr>
        <w:jc w:val="center"/>
        <w:rPr>
          <w:b/>
          <w:sz w:val="24"/>
          <w:szCs w:val="24"/>
        </w:rPr>
      </w:pPr>
      <w:r>
        <w:rPr>
          <w:b/>
          <w:sz w:val="24"/>
          <w:szCs w:val="24"/>
        </w:rPr>
        <w:t xml:space="preserve">Preconsidered </w:t>
      </w:r>
      <w:r w:rsidR="006B4A62" w:rsidRPr="00AC55AD">
        <w:rPr>
          <w:b/>
          <w:sz w:val="24"/>
          <w:szCs w:val="24"/>
        </w:rPr>
        <w:t>L.U. No</w:t>
      </w:r>
      <w:r w:rsidR="0037262D">
        <w:rPr>
          <w:b/>
          <w:sz w:val="24"/>
          <w:szCs w:val="24"/>
        </w:rPr>
        <w:t>s</w:t>
      </w:r>
      <w:r w:rsidR="006B4A62" w:rsidRPr="00AC55AD">
        <w:rPr>
          <w:b/>
          <w:sz w:val="24"/>
          <w:szCs w:val="24"/>
        </w:rPr>
        <w:t xml:space="preserve">. </w:t>
      </w:r>
      <w:r w:rsidR="00FA0935">
        <w:rPr>
          <w:b/>
          <w:sz w:val="24"/>
          <w:szCs w:val="24"/>
        </w:rPr>
        <w:t>700 and 701</w:t>
      </w:r>
      <w:r w:rsidR="00FA0935" w:rsidDel="00FA0935">
        <w:rPr>
          <w:b/>
          <w:sz w:val="24"/>
          <w:szCs w:val="24"/>
        </w:rPr>
        <w:t xml:space="preserve"> </w:t>
      </w:r>
    </w:p>
    <w:p w:rsidR="006B4A62" w:rsidRPr="00AC55AD" w:rsidRDefault="006B4A62">
      <w:pPr>
        <w:jc w:val="center"/>
        <w:rPr>
          <w:b/>
          <w:sz w:val="24"/>
          <w:szCs w:val="24"/>
        </w:rPr>
      </w:pPr>
      <w:r w:rsidRPr="00AC55AD">
        <w:rPr>
          <w:b/>
          <w:sz w:val="24"/>
          <w:szCs w:val="24"/>
        </w:rPr>
        <w:t>(Res. No</w:t>
      </w:r>
      <w:r w:rsidR="0037262D">
        <w:rPr>
          <w:b/>
          <w:sz w:val="24"/>
          <w:szCs w:val="24"/>
        </w:rPr>
        <w:t>s</w:t>
      </w:r>
      <w:r w:rsidRPr="00AC55AD">
        <w:rPr>
          <w:b/>
          <w:sz w:val="24"/>
          <w:szCs w:val="24"/>
        </w:rPr>
        <w:t xml:space="preserve">. </w:t>
      </w:r>
      <w:r w:rsidR="00BB6C6B">
        <w:rPr>
          <w:b/>
          <w:sz w:val="24"/>
          <w:szCs w:val="24"/>
        </w:rPr>
        <w:t>1505</w:t>
      </w:r>
      <w:r w:rsidR="00B4668E">
        <w:rPr>
          <w:b/>
          <w:sz w:val="24"/>
          <w:szCs w:val="24"/>
        </w:rPr>
        <w:t xml:space="preserve"> and </w:t>
      </w:r>
      <w:r w:rsidR="00BB6C6B">
        <w:rPr>
          <w:b/>
          <w:sz w:val="24"/>
          <w:szCs w:val="24"/>
        </w:rPr>
        <w:t>1506</w:t>
      </w:r>
      <w:bookmarkStart w:id="0" w:name="_GoBack"/>
      <w:bookmarkEnd w:id="0"/>
      <w:r w:rsidR="003134E7">
        <w:rPr>
          <w:b/>
          <w:sz w:val="24"/>
          <w:szCs w:val="24"/>
        </w:rPr>
        <w:t>)</w:t>
      </w:r>
    </w:p>
    <w:p w:rsidR="006B4A62" w:rsidRPr="00AC55AD" w:rsidRDefault="006B4A62">
      <w:pPr>
        <w:jc w:val="center"/>
        <w:rPr>
          <w:b/>
          <w:sz w:val="24"/>
          <w:szCs w:val="24"/>
        </w:rPr>
      </w:pPr>
    </w:p>
    <w:p w:rsidR="006B4A62" w:rsidRDefault="008C57EF" w:rsidP="00C45B5E">
      <w:pPr>
        <w:jc w:val="center"/>
        <w:rPr>
          <w:b/>
          <w:sz w:val="24"/>
          <w:szCs w:val="24"/>
        </w:rPr>
      </w:pPr>
      <w:r w:rsidRPr="00AC55AD">
        <w:rPr>
          <w:b/>
          <w:sz w:val="24"/>
          <w:szCs w:val="24"/>
        </w:rPr>
        <w:t>By Council Member</w:t>
      </w:r>
      <w:r w:rsidR="0071456F" w:rsidRPr="00AC55AD">
        <w:rPr>
          <w:b/>
          <w:sz w:val="24"/>
          <w:szCs w:val="24"/>
        </w:rPr>
        <w:t xml:space="preserve">s </w:t>
      </w:r>
      <w:r w:rsidR="00C45B5E">
        <w:rPr>
          <w:b/>
          <w:sz w:val="24"/>
          <w:szCs w:val="24"/>
        </w:rPr>
        <w:t xml:space="preserve">Salamanca </w:t>
      </w:r>
      <w:r w:rsidR="0071456F" w:rsidRPr="00AC55AD">
        <w:rPr>
          <w:b/>
          <w:sz w:val="24"/>
          <w:szCs w:val="24"/>
        </w:rPr>
        <w:t xml:space="preserve">and </w:t>
      </w:r>
      <w:r w:rsidR="00C45B5E">
        <w:rPr>
          <w:b/>
          <w:sz w:val="24"/>
          <w:szCs w:val="24"/>
        </w:rPr>
        <w:t>Moya</w:t>
      </w:r>
    </w:p>
    <w:p w:rsidR="00C45B5E" w:rsidRPr="00AC55AD" w:rsidRDefault="00C45B5E" w:rsidP="00C45B5E">
      <w:pPr>
        <w:jc w:val="both"/>
        <w:rPr>
          <w:b/>
          <w:sz w:val="24"/>
          <w:szCs w:val="24"/>
        </w:rPr>
      </w:pPr>
    </w:p>
    <w:p w:rsidR="0071456F" w:rsidRPr="00AC55AD" w:rsidRDefault="006B4A62" w:rsidP="0071456F">
      <w:pPr>
        <w:pStyle w:val="Heading2"/>
        <w:rPr>
          <w:szCs w:val="24"/>
        </w:rPr>
      </w:pPr>
      <w:r w:rsidRPr="00AC55AD">
        <w:rPr>
          <w:szCs w:val="24"/>
        </w:rPr>
        <w:t>SUBJECT</w:t>
      </w:r>
    </w:p>
    <w:p w:rsidR="0071456F" w:rsidRPr="00AC55AD" w:rsidRDefault="0071456F" w:rsidP="0071456F">
      <w:pPr>
        <w:pStyle w:val="Heading2"/>
        <w:rPr>
          <w:szCs w:val="24"/>
        </w:rPr>
      </w:pPr>
    </w:p>
    <w:p w:rsidR="00FA0935" w:rsidRDefault="007A072A" w:rsidP="00B43B6D">
      <w:pPr>
        <w:tabs>
          <w:tab w:val="left" w:pos="2610"/>
        </w:tabs>
        <w:jc w:val="both"/>
        <w:rPr>
          <w:rFonts w:eastAsia="Calibri"/>
          <w:b/>
          <w:sz w:val="24"/>
          <w:szCs w:val="24"/>
        </w:rPr>
      </w:pPr>
      <w:r>
        <w:rPr>
          <w:rFonts w:eastAsia="Calibri"/>
          <w:b/>
          <w:sz w:val="24"/>
          <w:szCs w:val="24"/>
        </w:rPr>
        <w:t xml:space="preserve">BROOKLYN </w:t>
      </w:r>
      <w:r w:rsidR="00F71D8D">
        <w:rPr>
          <w:rFonts w:eastAsia="Calibri"/>
          <w:b/>
          <w:sz w:val="24"/>
          <w:szCs w:val="24"/>
        </w:rPr>
        <w:t>CB</w:t>
      </w:r>
      <w:r w:rsidR="00337070">
        <w:rPr>
          <w:rFonts w:eastAsia="Calibri"/>
          <w:b/>
          <w:sz w:val="24"/>
          <w:szCs w:val="24"/>
        </w:rPr>
        <w:t>-</w:t>
      </w:r>
      <w:r w:rsidR="00FA0935">
        <w:rPr>
          <w:rFonts w:eastAsia="Calibri"/>
          <w:b/>
          <w:sz w:val="24"/>
          <w:szCs w:val="24"/>
        </w:rPr>
        <w:t>16</w:t>
      </w:r>
      <w:r w:rsidR="00337070">
        <w:rPr>
          <w:rFonts w:eastAsia="Calibri"/>
          <w:b/>
          <w:sz w:val="24"/>
          <w:szCs w:val="24"/>
        </w:rPr>
        <w:t xml:space="preserve"> – T</w:t>
      </w:r>
      <w:r w:rsidR="00FA0935">
        <w:rPr>
          <w:rFonts w:eastAsia="Calibri"/>
          <w:b/>
          <w:sz w:val="24"/>
          <w:szCs w:val="24"/>
        </w:rPr>
        <w:t>WO</w:t>
      </w:r>
      <w:r w:rsidR="00337070">
        <w:rPr>
          <w:rFonts w:eastAsia="Calibri"/>
          <w:b/>
          <w:sz w:val="24"/>
          <w:szCs w:val="24"/>
        </w:rPr>
        <w:t xml:space="preserve"> APPLICATIONS RELATED TO </w:t>
      </w:r>
      <w:r w:rsidR="00FA0935">
        <w:rPr>
          <w:rFonts w:eastAsia="Calibri"/>
          <w:b/>
          <w:sz w:val="24"/>
          <w:szCs w:val="24"/>
        </w:rPr>
        <w:t>803 ROCKAWAY</w:t>
      </w:r>
    </w:p>
    <w:p w:rsidR="00337070" w:rsidRDefault="00FA0935" w:rsidP="00B43B6D">
      <w:pPr>
        <w:tabs>
          <w:tab w:val="left" w:pos="2340"/>
        </w:tabs>
        <w:jc w:val="both"/>
        <w:rPr>
          <w:rFonts w:eastAsia="Calibri"/>
          <w:b/>
          <w:sz w:val="24"/>
          <w:szCs w:val="24"/>
        </w:rPr>
      </w:pPr>
      <w:r>
        <w:rPr>
          <w:rFonts w:eastAsia="Calibri"/>
          <w:b/>
          <w:sz w:val="24"/>
          <w:szCs w:val="24"/>
        </w:rPr>
        <w:tab/>
        <w:t>AVENUE REZONING</w:t>
      </w:r>
    </w:p>
    <w:p w:rsidR="00337070" w:rsidRPr="00B43B6D" w:rsidRDefault="00337070" w:rsidP="00B43B6D">
      <w:pPr>
        <w:tabs>
          <w:tab w:val="left" w:pos="7020"/>
        </w:tabs>
        <w:jc w:val="both"/>
        <w:rPr>
          <w:rFonts w:eastAsia="Calibri"/>
          <w:b/>
          <w:sz w:val="24"/>
          <w:szCs w:val="24"/>
        </w:rPr>
      </w:pPr>
      <w:r w:rsidRPr="00B43B6D">
        <w:rPr>
          <w:rFonts w:eastAsia="Calibri"/>
          <w:b/>
          <w:sz w:val="24"/>
          <w:szCs w:val="24"/>
        </w:rPr>
        <w:t xml:space="preserve"> </w:t>
      </w:r>
    </w:p>
    <w:p w:rsidR="000B3DAB" w:rsidRPr="00B43B6D" w:rsidRDefault="000B3DAB" w:rsidP="00B43B6D">
      <w:pPr>
        <w:tabs>
          <w:tab w:val="left" w:pos="7020"/>
        </w:tabs>
        <w:jc w:val="both"/>
        <w:rPr>
          <w:rFonts w:eastAsia="Calibri"/>
          <w:b/>
          <w:sz w:val="24"/>
          <w:szCs w:val="24"/>
        </w:rPr>
      </w:pPr>
    </w:p>
    <w:p w:rsidR="00337070" w:rsidRPr="00B43B6D" w:rsidRDefault="00FA0935" w:rsidP="00B43B6D">
      <w:pPr>
        <w:tabs>
          <w:tab w:val="left" w:pos="7020"/>
        </w:tabs>
        <w:jc w:val="both"/>
        <w:rPr>
          <w:b/>
          <w:sz w:val="24"/>
          <w:szCs w:val="24"/>
        </w:rPr>
      </w:pPr>
      <w:r w:rsidRPr="00B43B6D">
        <w:rPr>
          <w:b/>
          <w:sz w:val="24"/>
          <w:szCs w:val="24"/>
        </w:rPr>
        <w:t>N 200057 ZRK</w:t>
      </w:r>
      <w:r w:rsidR="000B3DAB" w:rsidRPr="00B43B6D">
        <w:rPr>
          <w:b/>
          <w:sz w:val="24"/>
          <w:szCs w:val="24"/>
        </w:rPr>
        <w:t xml:space="preserve"> (Pre. L.U. No. </w:t>
      </w:r>
      <w:r w:rsidRPr="00B43B6D">
        <w:rPr>
          <w:b/>
          <w:sz w:val="24"/>
          <w:szCs w:val="24"/>
        </w:rPr>
        <w:t>700</w:t>
      </w:r>
      <w:r w:rsidR="000B3DAB" w:rsidRPr="00B43B6D">
        <w:rPr>
          <w:b/>
          <w:sz w:val="24"/>
          <w:szCs w:val="24"/>
        </w:rPr>
        <w:t>)</w:t>
      </w:r>
    </w:p>
    <w:p w:rsidR="000B3DAB" w:rsidRPr="00B43B6D" w:rsidRDefault="000B3DAB" w:rsidP="00B43B6D">
      <w:pPr>
        <w:tabs>
          <w:tab w:val="left" w:pos="7020"/>
        </w:tabs>
        <w:jc w:val="both"/>
        <w:rPr>
          <w:rFonts w:eastAsia="Calibri"/>
          <w:b/>
          <w:sz w:val="24"/>
          <w:szCs w:val="24"/>
        </w:rPr>
      </w:pPr>
    </w:p>
    <w:p w:rsidR="00FA0935" w:rsidRPr="00B43B6D" w:rsidRDefault="00337070" w:rsidP="00B43B6D">
      <w:pPr>
        <w:jc w:val="both"/>
        <w:rPr>
          <w:sz w:val="24"/>
          <w:szCs w:val="24"/>
        </w:rPr>
      </w:pPr>
      <w:r w:rsidRPr="00B43B6D">
        <w:rPr>
          <w:sz w:val="24"/>
          <w:szCs w:val="24"/>
        </w:rPr>
        <w:tab/>
        <w:t xml:space="preserve">City Planning Commission decision approving an application submitted by </w:t>
      </w:r>
      <w:r w:rsidR="00FA0935" w:rsidRPr="00B43B6D">
        <w:rPr>
          <w:sz w:val="24"/>
          <w:szCs w:val="24"/>
        </w:rPr>
        <w:t>Bridge Rockaway Housing Development Fund Company, Inc., pursuant to Section 201 of the New York City Charter, for an amendment of the Zoning Resolution of the City of New York, modifying Article XII Chapter 3 for the purpose of amending restrictions for certain uses in MX-19 and modifying Appendix F for the purpose of establishing a Mandatory Inclusionary Housing area, Borough of Brooklyn, Community District 16.</w:t>
      </w:r>
    </w:p>
    <w:p w:rsidR="00FA0935" w:rsidRPr="00B43B6D" w:rsidRDefault="00FA0935" w:rsidP="00B43B6D">
      <w:pPr>
        <w:tabs>
          <w:tab w:val="left" w:pos="720"/>
        </w:tabs>
        <w:jc w:val="both"/>
        <w:rPr>
          <w:sz w:val="24"/>
          <w:szCs w:val="24"/>
        </w:rPr>
      </w:pPr>
    </w:p>
    <w:p w:rsidR="00337070" w:rsidRPr="00B43B6D" w:rsidRDefault="00337070" w:rsidP="00B43B6D">
      <w:pPr>
        <w:tabs>
          <w:tab w:val="left" w:pos="7020"/>
        </w:tabs>
        <w:jc w:val="both"/>
        <w:rPr>
          <w:rFonts w:eastAsia="Calibri"/>
          <w:b/>
          <w:sz w:val="24"/>
          <w:szCs w:val="24"/>
        </w:rPr>
      </w:pPr>
    </w:p>
    <w:p w:rsidR="000B3DAB" w:rsidRPr="00B43B6D" w:rsidRDefault="00FA0935" w:rsidP="00B43B6D">
      <w:pPr>
        <w:tabs>
          <w:tab w:val="left" w:pos="7020"/>
        </w:tabs>
        <w:jc w:val="both"/>
        <w:rPr>
          <w:b/>
          <w:color w:val="000000"/>
          <w:sz w:val="24"/>
          <w:szCs w:val="24"/>
        </w:rPr>
      </w:pPr>
      <w:r w:rsidRPr="00B43B6D">
        <w:rPr>
          <w:b/>
          <w:color w:val="000000"/>
          <w:sz w:val="24"/>
          <w:szCs w:val="24"/>
        </w:rPr>
        <w:t xml:space="preserve">C </w:t>
      </w:r>
      <w:r w:rsidR="000B3DAB" w:rsidRPr="00B43B6D">
        <w:rPr>
          <w:b/>
          <w:color w:val="000000"/>
          <w:sz w:val="24"/>
          <w:szCs w:val="24"/>
        </w:rPr>
        <w:t>2000</w:t>
      </w:r>
      <w:r w:rsidRPr="00B43B6D">
        <w:rPr>
          <w:b/>
          <w:color w:val="000000"/>
          <w:sz w:val="24"/>
          <w:szCs w:val="24"/>
        </w:rPr>
        <w:t>56 ZMK</w:t>
      </w:r>
      <w:r w:rsidR="000B3DAB" w:rsidRPr="00B43B6D">
        <w:rPr>
          <w:b/>
          <w:color w:val="000000"/>
          <w:sz w:val="24"/>
          <w:szCs w:val="24"/>
        </w:rPr>
        <w:t xml:space="preserve"> (Pre. L.U. No. </w:t>
      </w:r>
      <w:r w:rsidRPr="00B43B6D">
        <w:rPr>
          <w:b/>
          <w:color w:val="000000"/>
          <w:sz w:val="24"/>
          <w:szCs w:val="24"/>
        </w:rPr>
        <w:t>701</w:t>
      </w:r>
      <w:r w:rsidR="000B3DAB" w:rsidRPr="00B43B6D">
        <w:rPr>
          <w:b/>
          <w:color w:val="000000"/>
          <w:sz w:val="24"/>
          <w:szCs w:val="24"/>
        </w:rPr>
        <w:t>)</w:t>
      </w:r>
    </w:p>
    <w:p w:rsidR="000B3DAB" w:rsidRPr="00B43B6D" w:rsidRDefault="000B3DAB" w:rsidP="00B43B6D">
      <w:pPr>
        <w:tabs>
          <w:tab w:val="left" w:pos="7020"/>
        </w:tabs>
        <w:jc w:val="both"/>
        <w:rPr>
          <w:color w:val="000000"/>
          <w:sz w:val="24"/>
          <w:szCs w:val="24"/>
        </w:rPr>
      </w:pPr>
    </w:p>
    <w:p w:rsidR="00FA0935" w:rsidRPr="00B43B6D" w:rsidRDefault="000B3DAB" w:rsidP="00B43B6D">
      <w:pPr>
        <w:jc w:val="both"/>
        <w:rPr>
          <w:rFonts w:eastAsia="Calibri"/>
          <w:sz w:val="24"/>
          <w:szCs w:val="24"/>
        </w:rPr>
      </w:pPr>
      <w:r w:rsidRPr="00B43B6D">
        <w:rPr>
          <w:color w:val="000000"/>
          <w:sz w:val="24"/>
          <w:szCs w:val="24"/>
        </w:rPr>
        <w:tab/>
      </w:r>
      <w:r w:rsidRPr="00B43B6D">
        <w:rPr>
          <w:sz w:val="24"/>
          <w:szCs w:val="24"/>
        </w:rPr>
        <w:t xml:space="preserve">City Planning Commission decision approving an application submitted by </w:t>
      </w:r>
      <w:r w:rsidR="00FA0935" w:rsidRPr="00B43B6D">
        <w:rPr>
          <w:sz w:val="24"/>
          <w:szCs w:val="24"/>
        </w:rPr>
        <w:t>Bridge Rockaway Housing Development Fund Company, Inc.</w:t>
      </w:r>
      <w:r w:rsidR="00B4668E">
        <w:rPr>
          <w:sz w:val="24"/>
          <w:szCs w:val="24"/>
        </w:rPr>
        <w:t>,</w:t>
      </w:r>
      <w:r w:rsidR="00FA0935" w:rsidRPr="00B43B6D">
        <w:rPr>
          <w:sz w:val="24"/>
          <w:szCs w:val="24"/>
        </w:rPr>
        <w:t xml:space="preserve"> pursuant to Sections 197</w:t>
      </w:r>
      <w:r w:rsidR="00F35B2B">
        <w:rPr>
          <w:sz w:val="24"/>
          <w:szCs w:val="24"/>
        </w:rPr>
        <w:noBreakHyphen/>
      </w:r>
      <w:r w:rsidR="00FA0935" w:rsidRPr="00B43B6D">
        <w:rPr>
          <w:sz w:val="24"/>
          <w:szCs w:val="24"/>
        </w:rPr>
        <w:t>c and 201 of the New York City Charter for an amendment of the Zoning Map, Section No. 17d:</w:t>
      </w:r>
    </w:p>
    <w:p w:rsidR="00FA0935" w:rsidRPr="00B43B6D" w:rsidRDefault="00FA0935" w:rsidP="00B43B6D">
      <w:pPr>
        <w:jc w:val="both"/>
        <w:rPr>
          <w:rFonts w:eastAsia="Calibri"/>
          <w:sz w:val="24"/>
          <w:szCs w:val="24"/>
        </w:rPr>
      </w:pPr>
    </w:p>
    <w:p w:rsidR="00FA0935" w:rsidRPr="00B43B6D" w:rsidRDefault="00FA0935" w:rsidP="00B43B6D">
      <w:pPr>
        <w:pStyle w:val="ListParagraph"/>
        <w:numPr>
          <w:ilvl w:val="0"/>
          <w:numId w:val="9"/>
        </w:numPr>
        <w:spacing w:after="0" w:line="240" w:lineRule="auto"/>
        <w:ind w:left="720"/>
        <w:jc w:val="both"/>
        <w:rPr>
          <w:rFonts w:ascii="Times New Roman" w:hAnsi="Times New Roman"/>
          <w:sz w:val="24"/>
          <w:szCs w:val="24"/>
        </w:rPr>
      </w:pPr>
      <w:bookmarkStart w:id="1" w:name="_Hlk18508319"/>
      <w:r w:rsidRPr="00B43B6D">
        <w:rPr>
          <w:rFonts w:ascii="Times New Roman" w:hAnsi="Times New Roman"/>
          <w:sz w:val="24"/>
          <w:szCs w:val="24"/>
        </w:rPr>
        <w:t xml:space="preserve">changing from an M1-1 District to an M1-4/R6A District property bounded by a line 100 feet southerly of Riverdale Avenue, </w:t>
      </w:r>
      <w:proofErr w:type="spellStart"/>
      <w:r w:rsidRPr="00B43B6D">
        <w:rPr>
          <w:rFonts w:ascii="Times New Roman" w:hAnsi="Times New Roman"/>
          <w:sz w:val="24"/>
          <w:szCs w:val="24"/>
        </w:rPr>
        <w:t>Thatford</w:t>
      </w:r>
      <w:proofErr w:type="spellEnd"/>
      <w:r w:rsidRPr="00B43B6D">
        <w:rPr>
          <w:rFonts w:ascii="Times New Roman" w:hAnsi="Times New Roman"/>
          <w:sz w:val="24"/>
          <w:szCs w:val="24"/>
        </w:rPr>
        <w:t xml:space="preserve"> Avenue, Newport Street, and a line 100 feet westerly of </w:t>
      </w:r>
      <w:proofErr w:type="spellStart"/>
      <w:r w:rsidRPr="00B43B6D">
        <w:rPr>
          <w:rFonts w:ascii="Times New Roman" w:hAnsi="Times New Roman"/>
          <w:sz w:val="24"/>
          <w:szCs w:val="24"/>
        </w:rPr>
        <w:t>Thatford</w:t>
      </w:r>
      <w:proofErr w:type="spellEnd"/>
      <w:r w:rsidRPr="00B43B6D">
        <w:rPr>
          <w:rFonts w:ascii="Times New Roman" w:hAnsi="Times New Roman"/>
          <w:sz w:val="24"/>
          <w:szCs w:val="24"/>
        </w:rPr>
        <w:t xml:space="preserve"> Avenue; and</w:t>
      </w:r>
    </w:p>
    <w:p w:rsidR="00FA0935" w:rsidRPr="00B43B6D" w:rsidRDefault="00FA0935" w:rsidP="00B43B6D">
      <w:pPr>
        <w:jc w:val="both"/>
        <w:rPr>
          <w:sz w:val="24"/>
          <w:szCs w:val="24"/>
        </w:rPr>
      </w:pPr>
    </w:p>
    <w:p w:rsidR="00FA0935" w:rsidRPr="00B43B6D" w:rsidRDefault="00FA0935" w:rsidP="00B43B6D">
      <w:pPr>
        <w:pStyle w:val="ListParagraph"/>
        <w:numPr>
          <w:ilvl w:val="0"/>
          <w:numId w:val="9"/>
        </w:numPr>
        <w:spacing w:after="0" w:line="240" w:lineRule="auto"/>
        <w:ind w:left="720"/>
        <w:jc w:val="both"/>
        <w:rPr>
          <w:rFonts w:ascii="Times New Roman" w:hAnsi="Times New Roman"/>
          <w:sz w:val="24"/>
          <w:szCs w:val="24"/>
        </w:rPr>
      </w:pPr>
      <w:r w:rsidRPr="00B43B6D">
        <w:rPr>
          <w:rFonts w:ascii="Times New Roman" w:hAnsi="Times New Roman"/>
          <w:sz w:val="24"/>
          <w:szCs w:val="24"/>
        </w:rPr>
        <w:t xml:space="preserve">changing from an M1-1 District to an M1-4/R7A District property bounded by a line 100 feet southerly of Riverdale Avenue, a line 100 feet westerly of </w:t>
      </w:r>
      <w:proofErr w:type="spellStart"/>
      <w:r w:rsidRPr="00B43B6D">
        <w:rPr>
          <w:rFonts w:ascii="Times New Roman" w:hAnsi="Times New Roman"/>
          <w:sz w:val="24"/>
          <w:szCs w:val="24"/>
        </w:rPr>
        <w:t>Thatford</w:t>
      </w:r>
      <w:proofErr w:type="spellEnd"/>
      <w:r w:rsidRPr="00B43B6D">
        <w:rPr>
          <w:rFonts w:ascii="Times New Roman" w:hAnsi="Times New Roman"/>
          <w:sz w:val="24"/>
          <w:szCs w:val="24"/>
        </w:rPr>
        <w:t xml:space="preserve"> Avenue, Newport Street, Rockaway Avenue and its southerly and northerly centerline prolongations; and</w:t>
      </w:r>
    </w:p>
    <w:p w:rsidR="00FA0935" w:rsidRPr="00B43B6D" w:rsidRDefault="00FA0935" w:rsidP="00B43B6D">
      <w:pPr>
        <w:ind w:left="720" w:hanging="720"/>
        <w:jc w:val="both"/>
        <w:rPr>
          <w:sz w:val="24"/>
          <w:szCs w:val="24"/>
        </w:rPr>
      </w:pPr>
    </w:p>
    <w:p w:rsidR="00FA0935" w:rsidRPr="00B43B6D" w:rsidRDefault="00FA0935" w:rsidP="00B43B6D">
      <w:pPr>
        <w:ind w:left="720" w:hanging="720"/>
        <w:jc w:val="both"/>
        <w:rPr>
          <w:sz w:val="24"/>
          <w:szCs w:val="24"/>
        </w:rPr>
      </w:pPr>
      <w:r w:rsidRPr="00B43B6D">
        <w:rPr>
          <w:sz w:val="24"/>
          <w:szCs w:val="24"/>
        </w:rPr>
        <w:lastRenderedPageBreak/>
        <w:t xml:space="preserve">3. </w:t>
      </w:r>
      <w:r w:rsidRPr="00B43B6D">
        <w:rPr>
          <w:sz w:val="24"/>
          <w:szCs w:val="24"/>
        </w:rPr>
        <w:tab/>
        <w:t xml:space="preserve">establishing a Special Mixed Use District (MX-19) bounded by a line 100 feet southerly of Riverdale Avenue, </w:t>
      </w:r>
      <w:proofErr w:type="spellStart"/>
      <w:r w:rsidRPr="00B43B6D">
        <w:rPr>
          <w:sz w:val="24"/>
          <w:szCs w:val="24"/>
        </w:rPr>
        <w:t>Thatford</w:t>
      </w:r>
      <w:proofErr w:type="spellEnd"/>
      <w:r w:rsidRPr="00B43B6D">
        <w:rPr>
          <w:sz w:val="24"/>
          <w:szCs w:val="24"/>
        </w:rPr>
        <w:t xml:space="preserve"> Avenue, Newport Street, Rockaway Avenue and its southerly and northerly centerline prolongations;</w:t>
      </w:r>
    </w:p>
    <w:bookmarkEnd w:id="1"/>
    <w:p w:rsidR="00FA0935" w:rsidRPr="00B43B6D" w:rsidRDefault="00FA0935" w:rsidP="00B43B6D">
      <w:pPr>
        <w:jc w:val="both"/>
        <w:rPr>
          <w:rFonts w:eastAsia="Calibri"/>
          <w:sz w:val="24"/>
          <w:szCs w:val="24"/>
        </w:rPr>
      </w:pPr>
    </w:p>
    <w:p w:rsidR="00FA0935" w:rsidRPr="00B43B6D" w:rsidRDefault="00FA0935" w:rsidP="00B43B6D">
      <w:pPr>
        <w:jc w:val="both"/>
        <w:rPr>
          <w:sz w:val="24"/>
          <w:szCs w:val="24"/>
        </w:rPr>
      </w:pPr>
      <w:proofErr w:type="gramStart"/>
      <w:r w:rsidRPr="00B43B6D">
        <w:rPr>
          <w:rFonts w:eastAsia="Calibri"/>
          <w:sz w:val="24"/>
          <w:szCs w:val="24"/>
        </w:rPr>
        <w:t>as</w:t>
      </w:r>
      <w:proofErr w:type="gramEnd"/>
      <w:r w:rsidRPr="00B43B6D">
        <w:rPr>
          <w:rFonts w:eastAsia="Calibri"/>
          <w:sz w:val="24"/>
          <w:szCs w:val="24"/>
        </w:rPr>
        <w:t xml:space="preserve"> shown on a diagram (for illustrative purposes only) dated February 3, 2020, </w:t>
      </w:r>
      <w:r w:rsidRPr="00B43B6D">
        <w:rPr>
          <w:sz w:val="24"/>
          <w:szCs w:val="24"/>
        </w:rPr>
        <w:t>and subject to the conditions of CEQR Declaration E-561.</w:t>
      </w:r>
    </w:p>
    <w:p w:rsidR="00FA0935" w:rsidRPr="00B43B6D" w:rsidRDefault="00FA0935" w:rsidP="00B43B6D">
      <w:pPr>
        <w:tabs>
          <w:tab w:val="left" w:pos="720"/>
          <w:tab w:val="left" w:pos="7020"/>
        </w:tabs>
        <w:jc w:val="both"/>
        <w:rPr>
          <w:sz w:val="24"/>
          <w:szCs w:val="24"/>
        </w:rPr>
      </w:pPr>
    </w:p>
    <w:p w:rsidR="00B4668E" w:rsidRPr="00B43B6D" w:rsidRDefault="00B4668E" w:rsidP="00B43B6D">
      <w:pPr>
        <w:jc w:val="both"/>
        <w:rPr>
          <w:bCs/>
          <w:sz w:val="24"/>
          <w:szCs w:val="24"/>
        </w:rPr>
      </w:pPr>
    </w:p>
    <w:p w:rsidR="00092583" w:rsidRPr="00B43B6D" w:rsidRDefault="00092583" w:rsidP="00B43B6D">
      <w:pPr>
        <w:jc w:val="both"/>
        <w:rPr>
          <w:sz w:val="24"/>
          <w:szCs w:val="24"/>
        </w:rPr>
      </w:pPr>
    </w:p>
    <w:p w:rsidR="006B4A62" w:rsidRPr="00F71D8D" w:rsidRDefault="006B4A62" w:rsidP="001914DA">
      <w:pPr>
        <w:pStyle w:val="Heading2"/>
        <w:jc w:val="both"/>
        <w:rPr>
          <w:szCs w:val="24"/>
        </w:rPr>
      </w:pPr>
      <w:r w:rsidRPr="00F71D8D">
        <w:rPr>
          <w:szCs w:val="24"/>
        </w:rPr>
        <w:t>INTENT</w:t>
      </w:r>
    </w:p>
    <w:p w:rsidR="006B4A62" w:rsidRPr="00AC55AD" w:rsidRDefault="006B4A62" w:rsidP="00B43B6D">
      <w:pPr>
        <w:jc w:val="both"/>
        <w:rPr>
          <w:sz w:val="24"/>
          <w:szCs w:val="24"/>
        </w:rPr>
      </w:pPr>
    </w:p>
    <w:p w:rsidR="00766684" w:rsidRDefault="00C54DE2" w:rsidP="00B43B6D">
      <w:pPr>
        <w:widowControl w:val="0"/>
        <w:autoSpaceDE w:val="0"/>
        <w:autoSpaceDN w:val="0"/>
        <w:adjustRightInd w:val="0"/>
        <w:jc w:val="both"/>
        <w:rPr>
          <w:rFonts w:eastAsia="Calibri"/>
          <w:sz w:val="24"/>
          <w:szCs w:val="24"/>
        </w:rPr>
      </w:pPr>
      <w:r w:rsidRPr="00C54DE2">
        <w:rPr>
          <w:rFonts w:eastAsia="Calibri"/>
          <w:sz w:val="24"/>
          <w:szCs w:val="24"/>
        </w:rPr>
        <w:tab/>
      </w:r>
      <w:r w:rsidR="00766684">
        <w:rPr>
          <w:rFonts w:eastAsia="Calibri"/>
          <w:sz w:val="24"/>
          <w:szCs w:val="24"/>
        </w:rPr>
        <w:t>To approve an amendment of the zoning text to modify restrictions for certain uses in MX-19 and to designate a Mandatory Inclusionary Housing (MIH) area</w:t>
      </w:r>
      <w:r w:rsidR="00837B57">
        <w:rPr>
          <w:rFonts w:eastAsia="Calibri"/>
          <w:sz w:val="24"/>
          <w:szCs w:val="24"/>
        </w:rPr>
        <w:t xml:space="preserve"> utilizing Option 1;</w:t>
      </w:r>
      <w:r w:rsidR="00766684">
        <w:rPr>
          <w:rFonts w:eastAsia="Calibri"/>
          <w:sz w:val="24"/>
          <w:szCs w:val="24"/>
        </w:rPr>
        <w:t xml:space="preserve"> and amend </w:t>
      </w:r>
      <w:r w:rsidR="00F35B2B">
        <w:rPr>
          <w:rFonts w:eastAsia="Calibri"/>
          <w:sz w:val="24"/>
          <w:szCs w:val="24"/>
        </w:rPr>
        <w:t xml:space="preserve">the Zoning Map </w:t>
      </w:r>
      <w:r w:rsidR="00766684">
        <w:rPr>
          <w:rFonts w:eastAsia="Calibri"/>
          <w:sz w:val="24"/>
          <w:szCs w:val="24"/>
        </w:rPr>
        <w:t>to</w:t>
      </w:r>
      <w:r w:rsidR="00766684" w:rsidRPr="00B111C0">
        <w:rPr>
          <w:bCs/>
          <w:sz w:val="24"/>
          <w:szCs w:val="24"/>
        </w:rPr>
        <w:t xml:space="preserve"> </w:t>
      </w:r>
      <w:r w:rsidR="00766684">
        <w:rPr>
          <w:bCs/>
          <w:sz w:val="24"/>
          <w:szCs w:val="24"/>
        </w:rPr>
        <w:t xml:space="preserve">change an M1-1 zoning district to M1-4/R7A and M1-4/R6A zoning districts and to map Special Mixed Use District (MX-19) to </w:t>
      </w:r>
      <w:r w:rsidR="00766684">
        <w:rPr>
          <w:sz w:val="24"/>
          <w:szCs w:val="24"/>
        </w:rPr>
        <w:t>facilitate the development of a new seven-story, approximately 183,000-square-foot, mixed-use building with 174 units of supportive and affordable housing and ground floor light manufacturing and community facility space at 803 Rockaway Avenue in the Brownsville neighborhood of Brooklyn, Community District 16.</w:t>
      </w:r>
    </w:p>
    <w:p w:rsidR="00766684" w:rsidRDefault="00766684" w:rsidP="001914DA">
      <w:pPr>
        <w:tabs>
          <w:tab w:val="left" w:pos="720"/>
        </w:tabs>
        <w:autoSpaceDE w:val="0"/>
        <w:autoSpaceDN w:val="0"/>
        <w:adjustRightInd w:val="0"/>
        <w:jc w:val="both"/>
        <w:rPr>
          <w:rFonts w:eastAsia="Calibri"/>
          <w:sz w:val="24"/>
          <w:szCs w:val="24"/>
        </w:rPr>
      </w:pPr>
    </w:p>
    <w:p w:rsidR="00A16A14" w:rsidRDefault="00A16A14" w:rsidP="00810C1D">
      <w:pPr>
        <w:autoSpaceDE w:val="0"/>
        <w:autoSpaceDN w:val="0"/>
        <w:adjustRightInd w:val="0"/>
        <w:jc w:val="both"/>
        <w:rPr>
          <w:rFonts w:eastAsia="Calibri"/>
          <w:sz w:val="24"/>
          <w:szCs w:val="24"/>
        </w:rPr>
      </w:pPr>
    </w:p>
    <w:p w:rsidR="00810C1D" w:rsidRDefault="00810C1D">
      <w:pPr>
        <w:pStyle w:val="Heading2"/>
        <w:jc w:val="both"/>
        <w:rPr>
          <w:b w:val="0"/>
          <w:szCs w:val="24"/>
          <w:u w:val="none"/>
        </w:rPr>
      </w:pPr>
    </w:p>
    <w:p w:rsidR="00814B50" w:rsidRPr="001914DA" w:rsidRDefault="00814B50" w:rsidP="001914DA"/>
    <w:p w:rsidR="006B4A62" w:rsidRPr="00AC55AD" w:rsidRDefault="006B4A62">
      <w:pPr>
        <w:pStyle w:val="Heading2"/>
        <w:jc w:val="both"/>
        <w:rPr>
          <w:szCs w:val="24"/>
        </w:rPr>
      </w:pPr>
      <w:r w:rsidRPr="00AC55AD">
        <w:rPr>
          <w:szCs w:val="24"/>
        </w:rPr>
        <w:t>PUBLIC HEARING</w:t>
      </w:r>
    </w:p>
    <w:p w:rsidR="006B4A62" w:rsidRPr="00AC55AD" w:rsidRDefault="006B4A62">
      <w:pPr>
        <w:jc w:val="both"/>
        <w:rPr>
          <w:b/>
          <w:sz w:val="24"/>
          <w:szCs w:val="24"/>
        </w:rPr>
      </w:pPr>
    </w:p>
    <w:p w:rsidR="006B4A62" w:rsidRPr="00AC55AD" w:rsidRDefault="006B4A62" w:rsidP="001914DA">
      <w:pPr>
        <w:ind w:firstLine="720"/>
        <w:jc w:val="both"/>
        <w:rPr>
          <w:sz w:val="24"/>
          <w:szCs w:val="24"/>
        </w:rPr>
      </w:pPr>
      <w:r w:rsidRPr="00AC55AD">
        <w:rPr>
          <w:b/>
          <w:sz w:val="24"/>
          <w:szCs w:val="24"/>
        </w:rPr>
        <w:t>DATE:</w:t>
      </w:r>
      <w:r w:rsidRPr="00AC55AD">
        <w:rPr>
          <w:sz w:val="24"/>
          <w:szCs w:val="24"/>
        </w:rPr>
        <w:t xml:space="preserve">  </w:t>
      </w:r>
      <w:r w:rsidR="00205171">
        <w:rPr>
          <w:sz w:val="24"/>
          <w:szCs w:val="24"/>
        </w:rPr>
        <w:t>November 18</w:t>
      </w:r>
      <w:r w:rsidR="003E488A">
        <w:rPr>
          <w:sz w:val="24"/>
          <w:szCs w:val="24"/>
        </w:rPr>
        <w:t>, 2020</w:t>
      </w:r>
    </w:p>
    <w:p w:rsidR="006B4A62" w:rsidRPr="00AC55AD" w:rsidRDefault="006B4A62">
      <w:pPr>
        <w:jc w:val="both"/>
        <w:rPr>
          <w:sz w:val="24"/>
          <w:szCs w:val="24"/>
        </w:rPr>
      </w:pPr>
    </w:p>
    <w:p w:rsidR="00E75313" w:rsidRDefault="006B4A62" w:rsidP="00C37704">
      <w:pPr>
        <w:jc w:val="both"/>
        <w:rPr>
          <w:sz w:val="24"/>
          <w:szCs w:val="24"/>
        </w:rPr>
      </w:pPr>
      <w:r w:rsidRPr="00AC55AD">
        <w:rPr>
          <w:sz w:val="24"/>
          <w:szCs w:val="24"/>
        </w:rPr>
        <w:tab/>
      </w:r>
      <w:r w:rsidRPr="00AC55AD">
        <w:rPr>
          <w:b/>
          <w:sz w:val="24"/>
          <w:szCs w:val="24"/>
        </w:rPr>
        <w:t>Witnesses in Favor:</w:t>
      </w:r>
      <w:r w:rsidRPr="00AC55AD">
        <w:rPr>
          <w:sz w:val="24"/>
          <w:szCs w:val="24"/>
        </w:rPr>
        <w:t xml:space="preserve"> </w:t>
      </w:r>
      <w:r w:rsidR="006225A8" w:rsidRPr="00AC55AD">
        <w:rPr>
          <w:sz w:val="24"/>
          <w:szCs w:val="24"/>
        </w:rPr>
        <w:t xml:space="preserve"> </w:t>
      </w:r>
      <w:r w:rsidR="00315590">
        <w:rPr>
          <w:sz w:val="24"/>
          <w:szCs w:val="24"/>
        </w:rPr>
        <w:t>Nine</w:t>
      </w:r>
      <w:r w:rsidR="00315590">
        <w:rPr>
          <w:sz w:val="24"/>
          <w:szCs w:val="24"/>
        </w:rPr>
        <w:tab/>
      </w:r>
      <w:r w:rsidR="009F6ECD">
        <w:rPr>
          <w:sz w:val="24"/>
          <w:szCs w:val="24"/>
        </w:rPr>
        <w:tab/>
      </w:r>
      <w:r w:rsidR="009F6ECD">
        <w:rPr>
          <w:sz w:val="24"/>
          <w:szCs w:val="24"/>
        </w:rPr>
        <w:tab/>
      </w:r>
      <w:r w:rsidR="00993766" w:rsidRPr="00AC55AD">
        <w:rPr>
          <w:sz w:val="24"/>
          <w:szCs w:val="24"/>
        </w:rPr>
        <w:t xml:space="preserve"> </w:t>
      </w:r>
      <w:r w:rsidR="00993766" w:rsidRPr="00AC55AD">
        <w:rPr>
          <w:sz w:val="24"/>
          <w:szCs w:val="24"/>
        </w:rPr>
        <w:tab/>
      </w:r>
      <w:r w:rsidRPr="00AC55AD">
        <w:rPr>
          <w:b/>
          <w:sz w:val="24"/>
          <w:szCs w:val="24"/>
        </w:rPr>
        <w:t>Witnesses Against:</w:t>
      </w:r>
      <w:r w:rsidRPr="00AC55AD">
        <w:rPr>
          <w:sz w:val="24"/>
          <w:szCs w:val="24"/>
        </w:rPr>
        <w:t xml:space="preserve">  </w:t>
      </w:r>
      <w:r w:rsidR="00315590">
        <w:rPr>
          <w:sz w:val="24"/>
          <w:szCs w:val="24"/>
        </w:rPr>
        <w:t>None</w:t>
      </w:r>
    </w:p>
    <w:p w:rsidR="00E75313" w:rsidRDefault="00E75313" w:rsidP="00C37704">
      <w:pPr>
        <w:jc w:val="both"/>
        <w:rPr>
          <w:sz w:val="24"/>
          <w:szCs w:val="24"/>
        </w:rPr>
      </w:pPr>
    </w:p>
    <w:p w:rsidR="0037262D" w:rsidRDefault="0037262D" w:rsidP="00C37704">
      <w:pPr>
        <w:jc w:val="both"/>
        <w:rPr>
          <w:sz w:val="24"/>
          <w:szCs w:val="24"/>
        </w:rPr>
      </w:pPr>
    </w:p>
    <w:p w:rsidR="00205171" w:rsidRDefault="00205171" w:rsidP="00C37704">
      <w:pPr>
        <w:jc w:val="both"/>
        <w:rPr>
          <w:sz w:val="24"/>
          <w:szCs w:val="24"/>
        </w:rPr>
      </w:pPr>
    </w:p>
    <w:p w:rsidR="00205171" w:rsidRDefault="00205171" w:rsidP="00C37704">
      <w:pPr>
        <w:jc w:val="both"/>
        <w:rPr>
          <w:sz w:val="24"/>
          <w:szCs w:val="24"/>
        </w:rPr>
      </w:pPr>
    </w:p>
    <w:p w:rsidR="00D1502E" w:rsidRPr="00AC55AD" w:rsidRDefault="00D1502E" w:rsidP="00D1502E">
      <w:pPr>
        <w:pStyle w:val="Heading2"/>
        <w:jc w:val="both"/>
        <w:rPr>
          <w:szCs w:val="24"/>
        </w:rPr>
      </w:pPr>
      <w:r w:rsidRPr="00AC55AD">
        <w:rPr>
          <w:szCs w:val="24"/>
        </w:rPr>
        <w:t>SUBCOMMITTEE RECOMMENDATION</w:t>
      </w:r>
    </w:p>
    <w:p w:rsidR="00D1502E" w:rsidRPr="00AC55AD" w:rsidRDefault="00D1502E" w:rsidP="00D1502E">
      <w:pPr>
        <w:jc w:val="both"/>
        <w:rPr>
          <w:b/>
          <w:sz w:val="24"/>
          <w:szCs w:val="24"/>
        </w:rPr>
      </w:pPr>
    </w:p>
    <w:p w:rsidR="00D1502E" w:rsidRPr="00AC55AD" w:rsidRDefault="00D1502E" w:rsidP="00D1502E">
      <w:pPr>
        <w:jc w:val="both"/>
        <w:rPr>
          <w:sz w:val="24"/>
          <w:szCs w:val="24"/>
        </w:rPr>
      </w:pPr>
      <w:r w:rsidRPr="00AC55AD">
        <w:rPr>
          <w:b/>
          <w:sz w:val="24"/>
          <w:szCs w:val="24"/>
        </w:rPr>
        <w:tab/>
        <w:t>DATE:</w:t>
      </w:r>
      <w:r w:rsidRPr="00AC55AD">
        <w:rPr>
          <w:sz w:val="24"/>
          <w:szCs w:val="24"/>
        </w:rPr>
        <w:t xml:space="preserve">  </w:t>
      </w:r>
      <w:r w:rsidR="00814B50">
        <w:rPr>
          <w:sz w:val="24"/>
          <w:szCs w:val="24"/>
        </w:rPr>
        <w:t xml:space="preserve">December </w:t>
      </w:r>
      <w:r w:rsidR="00205171">
        <w:rPr>
          <w:sz w:val="24"/>
          <w:szCs w:val="24"/>
        </w:rPr>
        <w:t>7</w:t>
      </w:r>
      <w:r w:rsidR="003E488A">
        <w:rPr>
          <w:sz w:val="24"/>
          <w:szCs w:val="24"/>
        </w:rPr>
        <w:t>, 2020</w:t>
      </w:r>
    </w:p>
    <w:p w:rsidR="00D1502E" w:rsidRPr="00AC55AD" w:rsidRDefault="00D1502E" w:rsidP="00D1502E">
      <w:pPr>
        <w:jc w:val="both"/>
        <w:rPr>
          <w:sz w:val="24"/>
          <w:szCs w:val="24"/>
        </w:rPr>
      </w:pPr>
    </w:p>
    <w:p w:rsidR="00D1502E" w:rsidRPr="00AC55AD" w:rsidRDefault="00D1502E" w:rsidP="00D1502E">
      <w:pPr>
        <w:pStyle w:val="BodyText"/>
        <w:ind w:right="-180"/>
        <w:rPr>
          <w:szCs w:val="24"/>
        </w:rPr>
      </w:pPr>
      <w:r w:rsidRPr="00AC55AD">
        <w:rPr>
          <w:szCs w:val="24"/>
        </w:rPr>
        <w:tab/>
        <w:t xml:space="preserve">The Subcommittee recommends that the Land Use Committee </w:t>
      </w:r>
      <w:r w:rsidR="00F71D8D">
        <w:rPr>
          <w:szCs w:val="24"/>
        </w:rPr>
        <w:t>approve</w:t>
      </w:r>
      <w:r w:rsidR="00246570">
        <w:rPr>
          <w:szCs w:val="24"/>
        </w:rPr>
        <w:t xml:space="preserve"> </w:t>
      </w:r>
      <w:r w:rsidRPr="00AC55AD">
        <w:rPr>
          <w:szCs w:val="24"/>
        </w:rPr>
        <w:t>the decision</w:t>
      </w:r>
      <w:r w:rsidR="00611544">
        <w:rPr>
          <w:szCs w:val="24"/>
        </w:rPr>
        <w:t xml:space="preserve">s </w:t>
      </w:r>
      <w:r w:rsidR="00AB3F78">
        <w:rPr>
          <w:szCs w:val="24"/>
        </w:rPr>
        <w:t>of the City Planning Commission</w:t>
      </w:r>
      <w:r w:rsidR="00611544">
        <w:rPr>
          <w:szCs w:val="24"/>
        </w:rPr>
        <w:t xml:space="preserve"> on Pre. L.U. Nos. </w:t>
      </w:r>
      <w:r w:rsidR="00315590">
        <w:rPr>
          <w:szCs w:val="24"/>
        </w:rPr>
        <w:t>700 and 701.</w:t>
      </w:r>
    </w:p>
    <w:p w:rsidR="00D1502E" w:rsidRDefault="00D1502E" w:rsidP="00D1502E">
      <w:pPr>
        <w:jc w:val="both"/>
        <w:rPr>
          <w:sz w:val="24"/>
          <w:szCs w:val="24"/>
        </w:rPr>
      </w:pPr>
    </w:p>
    <w:p w:rsidR="00B24330" w:rsidRDefault="00B24330" w:rsidP="00D1502E">
      <w:pPr>
        <w:jc w:val="both"/>
        <w:rPr>
          <w:sz w:val="24"/>
          <w:szCs w:val="24"/>
        </w:rPr>
      </w:pPr>
    </w:p>
    <w:p w:rsidR="00B24330" w:rsidRPr="00AC55AD" w:rsidRDefault="00B24330" w:rsidP="00D1502E">
      <w:pPr>
        <w:jc w:val="both"/>
        <w:rPr>
          <w:sz w:val="24"/>
          <w:szCs w:val="24"/>
        </w:rPr>
      </w:pPr>
    </w:p>
    <w:p w:rsidR="00B24330" w:rsidRDefault="00B24330" w:rsidP="00B24330">
      <w:pPr>
        <w:tabs>
          <w:tab w:val="left" w:pos="2520"/>
        </w:tabs>
        <w:jc w:val="both"/>
        <w:rPr>
          <w:b/>
          <w:sz w:val="24"/>
          <w:szCs w:val="24"/>
        </w:rPr>
      </w:pPr>
      <w:r>
        <w:rPr>
          <w:b/>
          <w:sz w:val="24"/>
          <w:szCs w:val="24"/>
        </w:rPr>
        <w:t>In Favor:</w:t>
      </w:r>
      <w:r>
        <w:rPr>
          <w:b/>
          <w:sz w:val="24"/>
          <w:szCs w:val="24"/>
        </w:rPr>
        <w:tab/>
        <w:t>Against:</w:t>
      </w:r>
      <w:r>
        <w:rPr>
          <w:b/>
          <w:sz w:val="24"/>
          <w:szCs w:val="24"/>
        </w:rPr>
        <w:tab/>
      </w:r>
      <w:r>
        <w:rPr>
          <w:b/>
          <w:sz w:val="24"/>
          <w:szCs w:val="24"/>
        </w:rPr>
        <w:tab/>
      </w:r>
      <w:r>
        <w:rPr>
          <w:b/>
          <w:sz w:val="24"/>
          <w:szCs w:val="24"/>
        </w:rPr>
        <w:tab/>
        <w:t>Abstain:</w:t>
      </w:r>
      <w:r>
        <w:rPr>
          <w:sz w:val="24"/>
          <w:szCs w:val="24"/>
        </w:rPr>
        <w:tab/>
      </w:r>
    </w:p>
    <w:p w:rsidR="00B24330" w:rsidRDefault="00B24330" w:rsidP="00B24330">
      <w:pPr>
        <w:tabs>
          <w:tab w:val="left" w:pos="2520"/>
        </w:tabs>
        <w:jc w:val="both"/>
        <w:rPr>
          <w:sz w:val="24"/>
          <w:szCs w:val="24"/>
        </w:rPr>
      </w:pPr>
      <w:r>
        <w:rPr>
          <w:sz w:val="24"/>
          <w:szCs w:val="24"/>
        </w:rPr>
        <w:t>Moya</w:t>
      </w:r>
      <w:r>
        <w:rPr>
          <w:sz w:val="24"/>
          <w:szCs w:val="24"/>
        </w:rPr>
        <w:tab/>
        <w:t>None</w:t>
      </w:r>
      <w:r>
        <w:rPr>
          <w:sz w:val="24"/>
          <w:szCs w:val="24"/>
        </w:rPr>
        <w:tab/>
      </w:r>
      <w:r>
        <w:rPr>
          <w:sz w:val="24"/>
          <w:szCs w:val="24"/>
        </w:rPr>
        <w:tab/>
      </w:r>
      <w:r>
        <w:rPr>
          <w:sz w:val="24"/>
          <w:szCs w:val="24"/>
        </w:rPr>
        <w:tab/>
        <w:t>None</w:t>
      </w:r>
    </w:p>
    <w:p w:rsidR="00B24330" w:rsidRDefault="00B24330" w:rsidP="00B24330">
      <w:pPr>
        <w:jc w:val="both"/>
        <w:rPr>
          <w:sz w:val="24"/>
          <w:szCs w:val="24"/>
        </w:rPr>
      </w:pPr>
      <w:r>
        <w:rPr>
          <w:sz w:val="24"/>
          <w:szCs w:val="24"/>
        </w:rPr>
        <w:t>Levin</w:t>
      </w:r>
    </w:p>
    <w:p w:rsidR="00B24330" w:rsidRDefault="00B24330" w:rsidP="00B24330">
      <w:pPr>
        <w:jc w:val="both"/>
        <w:rPr>
          <w:sz w:val="24"/>
          <w:szCs w:val="24"/>
        </w:rPr>
      </w:pPr>
      <w:r>
        <w:rPr>
          <w:sz w:val="24"/>
          <w:szCs w:val="24"/>
        </w:rPr>
        <w:t>Reynoso</w:t>
      </w:r>
    </w:p>
    <w:p w:rsidR="00B24330" w:rsidRDefault="00B24330" w:rsidP="00B24330">
      <w:pPr>
        <w:jc w:val="both"/>
        <w:rPr>
          <w:sz w:val="24"/>
          <w:szCs w:val="24"/>
        </w:rPr>
      </w:pPr>
      <w:r>
        <w:rPr>
          <w:sz w:val="24"/>
          <w:szCs w:val="24"/>
        </w:rPr>
        <w:t>Grodenchik</w:t>
      </w:r>
    </w:p>
    <w:p w:rsidR="00B24330" w:rsidRDefault="00B24330" w:rsidP="00B24330">
      <w:pPr>
        <w:jc w:val="both"/>
        <w:rPr>
          <w:sz w:val="24"/>
          <w:szCs w:val="24"/>
        </w:rPr>
      </w:pPr>
      <w:r>
        <w:rPr>
          <w:sz w:val="24"/>
          <w:szCs w:val="24"/>
        </w:rPr>
        <w:t>Rivera</w:t>
      </w:r>
    </w:p>
    <w:p w:rsidR="00092583" w:rsidRPr="00AC55AD" w:rsidRDefault="00092583" w:rsidP="00D1502E">
      <w:pPr>
        <w:tabs>
          <w:tab w:val="left" w:pos="2520"/>
        </w:tabs>
        <w:jc w:val="both"/>
        <w:rPr>
          <w:b/>
          <w:sz w:val="24"/>
          <w:szCs w:val="24"/>
        </w:rPr>
      </w:pPr>
    </w:p>
    <w:p w:rsidR="003E488A" w:rsidRDefault="003E488A" w:rsidP="00D1502E">
      <w:pPr>
        <w:jc w:val="both"/>
        <w:rPr>
          <w:sz w:val="24"/>
          <w:szCs w:val="24"/>
        </w:rPr>
      </w:pPr>
    </w:p>
    <w:p w:rsidR="0044301A" w:rsidRDefault="0044301A" w:rsidP="00D1502E">
      <w:pPr>
        <w:jc w:val="both"/>
        <w:rPr>
          <w:sz w:val="24"/>
          <w:szCs w:val="24"/>
        </w:rPr>
      </w:pPr>
    </w:p>
    <w:p w:rsidR="00D75382" w:rsidRPr="008A7D9E" w:rsidRDefault="00D75382" w:rsidP="00D75382">
      <w:pPr>
        <w:jc w:val="both"/>
        <w:rPr>
          <w:sz w:val="24"/>
          <w:szCs w:val="24"/>
        </w:rPr>
      </w:pPr>
      <w:r w:rsidRPr="008A7D9E">
        <w:rPr>
          <w:b/>
          <w:sz w:val="24"/>
          <w:szCs w:val="24"/>
          <w:u w:val="single"/>
        </w:rPr>
        <w:t>COMMITTEE ACTION</w:t>
      </w:r>
    </w:p>
    <w:p w:rsidR="00D75382" w:rsidRPr="008A7D9E" w:rsidRDefault="00D75382" w:rsidP="00D75382">
      <w:pPr>
        <w:jc w:val="both"/>
        <w:rPr>
          <w:sz w:val="24"/>
          <w:szCs w:val="24"/>
        </w:rPr>
      </w:pPr>
    </w:p>
    <w:p w:rsidR="00D75382" w:rsidRPr="003C501A" w:rsidRDefault="00D75382" w:rsidP="00D75382">
      <w:pPr>
        <w:tabs>
          <w:tab w:val="left" w:pos="-1440"/>
        </w:tabs>
        <w:jc w:val="both"/>
        <w:rPr>
          <w:sz w:val="24"/>
          <w:szCs w:val="24"/>
        </w:rPr>
      </w:pPr>
      <w:r w:rsidRPr="008A7D9E">
        <w:rPr>
          <w:sz w:val="24"/>
          <w:szCs w:val="24"/>
        </w:rPr>
        <w:tab/>
      </w:r>
      <w:r w:rsidRPr="008A7D9E">
        <w:rPr>
          <w:b/>
          <w:sz w:val="24"/>
          <w:szCs w:val="24"/>
        </w:rPr>
        <w:t xml:space="preserve">DATE:  </w:t>
      </w:r>
      <w:r w:rsidR="00814B50">
        <w:rPr>
          <w:sz w:val="24"/>
          <w:szCs w:val="24"/>
        </w:rPr>
        <w:t xml:space="preserve">December </w:t>
      </w:r>
      <w:r w:rsidR="00611544">
        <w:rPr>
          <w:sz w:val="24"/>
          <w:szCs w:val="24"/>
        </w:rPr>
        <w:t>9</w:t>
      </w:r>
      <w:r w:rsidR="00337070">
        <w:rPr>
          <w:sz w:val="24"/>
          <w:szCs w:val="24"/>
        </w:rPr>
        <w:t xml:space="preserve">, </w:t>
      </w:r>
      <w:r w:rsidR="003E488A">
        <w:rPr>
          <w:sz w:val="24"/>
          <w:szCs w:val="24"/>
        </w:rPr>
        <w:t>2020</w:t>
      </w:r>
    </w:p>
    <w:p w:rsidR="00D75382" w:rsidRPr="008A7D9E" w:rsidRDefault="00D75382" w:rsidP="00D75382">
      <w:pPr>
        <w:jc w:val="both"/>
        <w:rPr>
          <w:sz w:val="24"/>
          <w:szCs w:val="24"/>
        </w:rPr>
      </w:pPr>
    </w:p>
    <w:p w:rsidR="00D75382" w:rsidRPr="008A7D9E" w:rsidRDefault="00D75382" w:rsidP="00D75382">
      <w:pPr>
        <w:tabs>
          <w:tab w:val="left" w:pos="-1440"/>
        </w:tabs>
        <w:jc w:val="both"/>
        <w:rPr>
          <w:sz w:val="24"/>
          <w:szCs w:val="24"/>
        </w:rPr>
      </w:pPr>
      <w:r w:rsidRPr="008A7D9E">
        <w:rPr>
          <w:sz w:val="24"/>
          <w:szCs w:val="24"/>
        </w:rPr>
        <w:tab/>
        <w:t xml:space="preserve">The Committee recommends that the Council </w:t>
      </w:r>
      <w:r w:rsidR="00810C1D">
        <w:rPr>
          <w:sz w:val="24"/>
          <w:szCs w:val="24"/>
        </w:rPr>
        <w:t>approve the attached resolution</w:t>
      </w:r>
      <w:r w:rsidR="00AE5DC7">
        <w:rPr>
          <w:sz w:val="24"/>
          <w:szCs w:val="24"/>
        </w:rPr>
        <w:t>s</w:t>
      </w:r>
      <w:r w:rsidR="00810C1D">
        <w:rPr>
          <w:sz w:val="24"/>
          <w:szCs w:val="24"/>
        </w:rPr>
        <w:t>.</w:t>
      </w:r>
    </w:p>
    <w:p w:rsidR="00D75382" w:rsidRPr="002F0DA8" w:rsidRDefault="00D74A16" w:rsidP="00D75382">
      <w:pPr>
        <w:jc w:val="both"/>
        <w:rPr>
          <w:b/>
          <w:sz w:val="24"/>
          <w:szCs w:val="24"/>
        </w:rPr>
      </w:pPr>
      <w:r>
        <w:rPr>
          <w:b/>
          <w:sz w:val="24"/>
          <w:szCs w:val="24"/>
        </w:rPr>
        <w:t xml:space="preserve"> </w:t>
      </w:r>
    </w:p>
    <w:p w:rsidR="00775CA7" w:rsidRDefault="00D75382" w:rsidP="00D75382">
      <w:pPr>
        <w:tabs>
          <w:tab w:val="left" w:pos="-1440"/>
          <w:tab w:val="left" w:pos="2520"/>
          <w:tab w:val="left" w:pos="4860"/>
          <w:tab w:val="left" w:pos="5040"/>
        </w:tabs>
        <w:jc w:val="both"/>
        <w:rPr>
          <w:b/>
          <w:sz w:val="24"/>
          <w:szCs w:val="24"/>
        </w:rPr>
      </w:pPr>
      <w:r w:rsidRPr="002F0DA8">
        <w:rPr>
          <w:b/>
          <w:sz w:val="24"/>
          <w:szCs w:val="24"/>
        </w:rPr>
        <w:t xml:space="preserve">In Favor:     </w:t>
      </w:r>
      <w:r w:rsidRPr="002F0DA8">
        <w:rPr>
          <w:b/>
          <w:sz w:val="24"/>
          <w:szCs w:val="24"/>
        </w:rPr>
        <w:tab/>
        <w:t>Against:</w:t>
      </w:r>
      <w:r w:rsidR="00113A5F">
        <w:rPr>
          <w:b/>
          <w:sz w:val="24"/>
          <w:szCs w:val="24"/>
        </w:rPr>
        <w:tab/>
      </w:r>
      <w:r w:rsidRPr="002F0DA8">
        <w:rPr>
          <w:b/>
          <w:sz w:val="24"/>
          <w:szCs w:val="24"/>
        </w:rPr>
        <w:t xml:space="preserve">  </w:t>
      </w:r>
      <w:r w:rsidRPr="002F0DA8">
        <w:rPr>
          <w:b/>
          <w:sz w:val="24"/>
          <w:szCs w:val="24"/>
        </w:rPr>
        <w:tab/>
        <w:t>Abstain:</w:t>
      </w:r>
      <w:r w:rsidR="00FC3F2D">
        <w:rPr>
          <w:b/>
          <w:sz w:val="24"/>
          <w:szCs w:val="24"/>
        </w:rPr>
        <w:t xml:space="preserve"> </w:t>
      </w:r>
    </w:p>
    <w:p w:rsidR="00626100" w:rsidRPr="00626100" w:rsidRDefault="00626100" w:rsidP="00626100">
      <w:pPr>
        <w:tabs>
          <w:tab w:val="left" w:pos="2520"/>
        </w:tabs>
        <w:rPr>
          <w:rFonts w:eastAsia="Calibri"/>
          <w:sz w:val="24"/>
          <w:szCs w:val="24"/>
        </w:rPr>
      </w:pPr>
      <w:r w:rsidRPr="00626100">
        <w:rPr>
          <w:rFonts w:eastAsia="Calibri"/>
          <w:sz w:val="24"/>
          <w:szCs w:val="24"/>
        </w:rPr>
        <w:t>Salamanca</w:t>
      </w:r>
      <w:r w:rsidRPr="00626100">
        <w:rPr>
          <w:rFonts w:eastAsia="Calibri"/>
          <w:sz w:val="24"/>
          <w:szCs w:val="24"/>
        </w:rPr>
        <w:tab/>
        <w:t>None</w:t>
      </w:r>
      <w:r w:rsidRPr="00626100">
        <w:rPr>
          <w:rFonts w:eastAsia="Calibri"/>
          <w:sz w:val="24"/>
          <w:szCs w:val="24"/>
        </w:rPr>
        <w:tab/>
      </w:r>
      <w:r w:rsidRPr="00626100">
        <w:rPr>
          <w:rFonts w:eastAsia="Calibri"/>
          <w:sz w:val="24"/>
          <w:szCs w:val="24"/>
        </w:rPr>
        <w:tab/>
      </w:r>
      <w:r w:rsidRPr="00626100">
        <w:rPr>
          <w:rFonts w:eastAsia="Calibri"/>
          <w:sz w:val="24"/>
          <w:szCs w:val="24"/>
        </w:rPr>
        <w:tab/>
      </w:r>
      <w:proofErr w:type="spellStart"/>
      <w:r w:rsidRPr="00626100">
        <w:rPr>
          <w:rFonts w:eastAsia="Calibri"/>
          <w:sz w:val="24"/>
          <w:szCs w:val="24"/>
        </w:rPr>
        <w:t>None</w:t>
      </w:r>
      <w:proofErr w:type="spellEnd"/>
    </w:p>
    <w:p w:rsidR="00626100" w:rsidRPr="00626100" w:rsidRDefault="00626100" w:rsidP="00626100">
      <w:pPr>
        <w:rPr>
          <w:rFonts w:eastAsia="Calibri"/>
          <w:sz w:val="24"/>
          <w:szCs w:val="24"/>
        </w:rPr>
      </w:pPr>
      <w:r w:rsidRPr="00626100">
        <w:rPr>
          <w:rFonts w:eastAsia="Calibri"/>
          <w:sz w:val="24"/>
          <w:szCs w:val="24"/>
        </w:rPr>
        <w:t>Gibson</w:t>
      </w:r>
    </w:p>
    <w:p w:rsidR="00626100" w:rsidRPr="00626100" w:rsidRDefault="00626100" w:rsidP="00626100">
      <w:pPr>
        <w:rPr>
          <w:rFonts w:eastAsia="Calibri"/>
          <w:sz w:val="24"/>
          <w:szCs w:val="24"/>
        </w:rPr>
      </w:pPr>
      <w:r w:rsidRPr="00626100">
        <w:rPr>
          <w:rFonts w:eastAsia="Calibri"/>
          <w:sz w:val="24"/>
          <w:szCs w:val="24"/>
        </w:rPr>
        <w:t>Barron</w:t>
      </w:r>
    </w:p>
    <w:p w:rsidR="00626100" w:rsidRPr="00626100" w:rsidRDefault="00626100" w:rsidP="00626100">
      <w:pPr>
        <w:rPr>
          <w:rFonts w:eastAsia="Calibri"/>
          <w:sz w:val="24"/>
          <w:szCs w:val="24"/>
        </w:rPr>
      </w:pPr>
      <w:r w:rsidRPr="00626100">
        <w:rPr>
          <w:rFonts w:eastAsia="Calibri"/>
          <w:sz w:val="24"/>
          <w:szCs w:val="24"/>
        </w:rPr>
        <w:t>Deutsch</w:t>
      </w:r>
    </w:p>
    <w:p w:rsidR="00626100" w:rsidRPr="00626100" w:rsidRDefault="00626100" w:rsidP="00626100">
      <w:pPr>
        <w:rPr>
          <w:rFonts w:eastAsia="Calibri"/>
          <w:sz w:val="24"/>
          <w:szCs w:val="24"/>
        </w:rPr>
      </w:pPr>
      <w:r w:rsidRPr="00626100">
        <w:rPr>
          <w:rFonts w:eastAsia="Calibri"/>
          <w:sz w:val="24"/>
          <w:szCs w:val="24"/>
        </w:rPr>
        <w:t>Koo</w:t>
      </w:r>
    </w:p>
    <w:p w:rsidR="00626100" w:rsidRPr="00626100" w:rsidRDefault="00626100" w:rsidP="00626100">
      <w:pPr>
        <w:rPr>
          <w:rFonts w:eastAsia="Calibri"/>
          <w:sz w:val="24"/>
          <w:szCs w:val="24"/>
        </w:rPr>
      </w:pPr>
      <w:r w:rsidRPr="00626100">
        <w:rPr>
          <w:rFonts w:eastAsia="Calibri"/>
          <w:sz w:val="24"/>
          <w:szCs w:val="24"/>
        </w:rPr>
        <w:t>Levin</w:t>
      </w:r>
    </w:p>
    <w:p w:rsidR="00626100" w:rsidRPr="00626100" w:rsidRDefault="00626100" w:rsidP="00626100">
      <w:pPr>
        <w:rPr>
          <w:rFonts w:eastAsia="Calibri"/>
          <w:sz w:val="24"/>
          <w:szCs w:val="24"/>
        </w:rPr>
      </w:pPr>
      <w:r w:rsidRPr="00626100">
        <w:rPr>
          <w:rFonts w:eastAsia="Calibri"/>
          <w:sz w:val="24"/>
          <w:szCs w:val="24"/>
        </w:rPr>
        <w:t>Miller</w:t>
      </w:r>
    </w:p>
    <w:p w:rsidR="00626100" w:rsidRPr="00626100" w:rsidRDefault="00626100" w:rsidP="00626100">
      <w:pPr>
        <w:rPr>
          <w:rFonts w:eastAsia="Calibri"/>
          <w:sz w:val="24"/>
          <w:szCs w:val="24"/>
        </w:rPr>
      </w:pPr>
      <w:r w:rsidRPr="00626100">
        <w:rPr>
          <w:rFonts w:eastAsia="Calibri"/>
          <w:sz w:val="24"/>
          <w:szCs w:val="24"/>
        </w:rPr>
        <w:t>Reynoso</w:t>
      </w:r>
    </w:p>
    <w:p w:rsidR="00626100" w:rsidRPr="00626100" w:rsidRDefault="00626100" w:rsidP="00626100">
      <w:pPr>
        <w:rPr>
          <w:rFonts w:eastAsia="Calibri"/>
          <w:sz w:val="24"/>
          <w:szCs w:val="24"/>
        </w:rPr>
      </w:pPr>
      <w:r w:rsidRPr="00626100">
        <w:rPr>
          <w:rFonts w:eastAsia="Calibri"/>
          <w:sz w:val="24"/>
          <w:szCs w:val="24"/>
        </w:rPr>
        <w:t>Treyger</w:t>
      </w:r>
    </w:p>
    <w:p w:rsidR="00626100" w:rsidRPr="00626100" w:rsidRDefault="00626100" w:rsidP="00626100">
      <w:pPr>
        <w:rPr>
          <w:rFonts w:eastAsia="Calibri"/>
          <w:sz w:val="24"/>
          <w:szCs w:val="24"/>
        </w:rPr>
      </w:pPr>
      <w:r w:rsidRPr="00626100">
        <w:rPr>
          <w:rFonts w:eastAsia="Calibri"/>
          <w:sz w:val="24"/>
          <w:szCs w:val="24"/>
        </w:rPr>
        <w:t>Grodenchik</w:t>
      </w:r>
    </w:p>
    <w:p w:rsidR="00626100" w:rsidRPr="00626100" w:rsidRDefault="00626100" w:rsidP="00626100">
      <w:pPr>
        <w:rPr>
          <w:rFonts w:eastAsia="Calibri"/>
          <w:sz w:val="24"/>
          <w:szCs w:val="24"/>
        </w:rPr>
      </w:pPr>
      <w:r w:rsidRPr="00626100">
        <w:rPr>
          <w:rFonts w:eastAsia="Calibri"/>
          <w:sz w:val="24"/>
          <w:szCs w:val="24"/>
        </w:rPr>
        <w:t>Adams</w:t>
      </w:r>
    </w:p>
    <w:p w:rsidR="00626100" w:rsidRPr="00626100" w:rsidRDefault="00626100" w:rsidP="00626100">
      <w:pPr>
        <w:rPr>
          <w:rFonts w:eastAsia="Calibri"/>
          <w:sz w:val="24"/>
          <w:szCs w:val="24"/>
        </w:rPr>
      </w:pPr>
      <w:r w:rsidRPr="00626100">
        <w:rPr>
          <w:rFonts w:eastAsia="Calibri"/>
          <w:sz w:val="24"/>
          <w:szCs w:val="24"/>
        </w:rPr>
        <w:t>Ayala</w:t>
      </w:r>
    </w:p>
    <w:p w:rsidR="00626100" w:rsidRPr="00626100" w:rsidRDefault="00626100" w:rsidP="00626100">
      <w:pPr>
        <w:rPr>
          <w:rFonts w:eastAsia="Calibri"/>
          <w:sz w:val="24"/>
          <w:szCs w:val="24"/>
        </w:rPr>
      </w:pPr>
      <w:r w:rsidRPr="00626100">
        <w:rPr>
          <w:rFonts w:eastAsia="Calibri"/>
          <w:sz w:val="24"/>
          <w:szCs w:val="24"/>
        </w:rPr>
        <w:t>Diaz</w:t>
      </w:r>
    </w:p>
    <w:p w:rsidR="00626100" w:rsidRPr="00626100" w:rsidRDefault="00626100" w:rsidP="00626100">
      <w:pPr>
        <w:rPr>
          <w:rFonts w:eastAsia="Calibri"/>
          <w:sz w:val="24"/>
          <w:szCs w:val="24"/>
        </w:rPr>
      </w:pPr>
      <w:r w:rsidRPr="00626100">
        <w:rPr>
          <w:rFonts w:eastAsia="Calibri"/>
          <w:sz w:val="24"/>
          <w:szCs w:val="24"/>
        </w:rPr>
        <w:t>Moya</w:t>
      </w:r>
    </w:p>
    <w:p w:rsidR="00626100" w:rsidRPr="00626100" w:rsidRDefault="00626100" w:rsidP="00626100">
      <w:pPr>
        <w:rPr>
          <w:rFonts w:eastAsia="Calibri"/>
          <w:sz w:val="24"/>
          <w:szCs w:val="24"/>
        </w:rPr>
      </w:pPr>
      <w:r w:rsidRPr="00626100">
        <w:rPr>
          <w:rFonts w:eastAsia="Calibri"/>
          <w:sz w:val="24"/>
          <w:szCs w:val="24"/>
        </w:rPr>
        <w:t>Rivera</w:t>
      </w:r>
    </w:p>
    <w:p w:rsidR="00626100" w:rsidRPr="00357739" w:rsidRDefault="00626100" w:rsidP="00626100">
      <w:pPr>
        <w:tabs>
          <w:tab w:val="left" w:pos="-1440"/>
          <w:tab w:val="left" w:pos="2520"/>
          <w:tab w:val="left" w:pos="4860"/>
          <w:tab w:val="left" w:pos="5040"/>
        </w:tabs>
        <w:jc w:val="both"/>
        <w:rPr>
          <w:sz w:val="24"/>
          <w:szCs w:val="24"/>
        </w:rPr>
      </w:pPr>
    </w:p>
    <w:p w:rsidR="0034148E" w:rsidRDefault="0034148E" w:rsidP="0034148E">
      <w:pPr>
        <w:tabs>
          <w:tab w:val="left" w:pos="-1440"/>
          <w:tab w:val="left" w:pos="2520"/>
          <w:tab w:val="left" w:pos="4860"/>
          <w:tab w:val="left" w:pos="5040"/>
        </w:tabs>
        <w:jc w:val="both"/>
        <w:rPr>
          <w:sz w:val="24"/>
          <w:szCs w:val="24"/>
        </w:rPr>
      </w:pPr>
    </w:p>
    <w:p w:rsidR="00D90952" w:rsidRDefault="00D90952" w:rsidP="00D75382">
      <w:pPr>
        <w:tabs>
          <w:tab w:val="left" w:pos="-1440"/>
          <w:tab w:val="left" w:pos="2520"/>
          <w:tab w:val="left" w:pos="4860"/>
          <w:tab w:val="left" w:pos="5040"/>
        </w:tabs>
        <w:jc w:val="both"/>
        <w:rPr>
          <w:b/>
          <w:sz w:val="24"/>
          <w:szCs w:val="24"/>
        </w:rPr>
      </w:pPr>
    </w:p>
    <w:p w:rsidR="00FD0FC2" w:rsidRDefault="00FD0FC2" w:rsidP="00D75382">
      <w:pPr>
        <w:tabs>
          <w:tab w:val="left" w:pos="-1440"/>
          <w:tab w:val="left" w:pos="2520"/>
          <w:tab w:val="left" w:pos="4860"/>
          <w:tab w:val="left" w:pos="5040"/>
        </w:tabs>
        <w:jc w:val="both"/>
        <w:rPr>
          <w:b/>
          <w:sz w:val="24"/>
          <w:szCs w:val="24"/>
        </w:rPr>
      </w:pPr>
    </w:p>
    <w:sectPr w:rsidR="00FD0FC2">
      <w:headerReference w:type="default" r:id="rId7"/>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73E" w:rsidRDefault="0053273E">
      <w:r>
        <w:separator/>
      </w:r>
    </w:p>
  </w:endnote>
  <w:endnote w:type="continuationSeparator" w:id="0">
    <w:p w:rsidR="0053273E" w:rsidRDefault="0053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73E" w:rsidRDefault="0053273E">
      <w:r>
        <w:separator/>
      </w:r>
    </w:p>
  </w:footnote>
  <w:footnote w:type="continuationSeparator" w:id="0">
    <w:p w:rsidR="0053273E" w:rsidRDefault="00532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01A" w:rsidRDefault="003C501A">
    <w:pPr>
      <w:pStyle w:val="Header"/>
      <w:rPr>
        <w:b/>
        <w:bCs/>
        <w:sz w:val="24"/>
      </w:rPr>
    </w:pPr>
  </w:p>
  <w:p w:rsidR="00810C1D" w:rsidRDefault="00810C1D">
    <w:pPr>
      <w:pStyle w:val="Header"/>
      <w:rPr>
        <w:b/>
        <w:bCs/>
        <w:sz w:val="24"/>
      </w:rPr>
    </w:pPr>
  </w:p>
  <w:p w:rsidR="00814B50" w:rsidRDefault="00814B50">
    <w:pPr>
      <w:pStyle w:val="Header"/>
      <w:rPr>
        <w:b/>
        <w:bCs/>
        <w:sz w:val="24"/>
      </w:rPr>
    </w:pPr>
  </w:p>
  <w:p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BB6C6B">
      <w:rPr>
        <w:b/>
        <w:bCs/>
        <w:noProof/>
        <w:sz w:val="24"/>
      </w:rPr>
      <w:t>3</w:t>
    </w:r>
    <w:r>
      <w:rPr>
        <w:b/>
        <w:bCs/>
        <w:sz w:val="24"/>
      </w:rPr>
      <w:fldChar w:fldCharType="end"/>
    </w:r>
    <w:r>
      <w:rPr>
        <w:b/>
        <w:bCs/>
        <w:sz w:val="24"/>
      </w:rPr>
      <w:t xml:space="preserve"> of </w:t>
    </w:r>
    <w:r>
      <w:rPr>
        <w:b/>
        <w:bCs/>
        <w:sz w:val="24"/>
      </w:rPr>
      <w:fldChar w:fldCharType="begin"/>
    </w:r>
    <w:r>
      <w:rPr>
        <w:b/>
        <w:bCs/>
        <w:sz w:val="24"/>
      </w:rPr>
      <w:instrText xml:space="preserve"> NUMPAGES </w:instrText>
    </w:r>
    <w:r>
      <w:rPr>
        <w:b/>
        <w:bCs/>
        <w:sz w:val="24"/>
      </w:rPr>
      <w:fldChar w:fldCharType="separate"/>
    </w:r>
    <w:r w:rsidR="00BB6C6B">
      <w:rPr>
        <w:b/>
        <w:bCs/>
        <w:noProof/>
        <w:sz w:val="24"/>
      </w:rPr>
      <w:t>3</w:t>
    </w:r>
    <w:r>
      <w:rPr>
        <w:b/>
        <w:bCs/>
        <w:sz w:val="24"/>
      </w:rPr>
      <w:fldChar w:fldCharType="end"/>
    </w:r>
  </w:p>
  <w:p w:rsidR="00AB3F78" w:rsidRDefault="0037262D">
    <w:pPr>
      <w:rPr>
        <w:rFonts w:eastAsia="Calibri"/>
        <w:b/>
        <w:sz w:val="24"/>
        <w:szCs w:val="24"/>
      </w:rPr>
    </w:pPr>
    <w:r w:rsidRPr="00AF0CC1">
      <w:rPr>
        <w:b/>
        <w:color w:val="000000"/>
        <w:sz w:val="24"/>
        <w:szCs w:val="24"/>
      </w:rPr>
      <w:t>N 2000</w:t>
    </w:r>
    <w:r w:rsidR="00B4668E">
      <w:rPr>
        <w:b/>
        <w:color w:val="000000"/>
        <w:sz w:val="24"/>
        <w:szCs w:val="24"/>
      </w:rPr>
      <w:t>57</w:t>
    </w:r>
    <w:r w:rsidRPr="00AF0CC1">
      <w:rPr>
        <w:b/>
        <w:color w:val="000000"/>
        <w:sz w:val="24"/>
        <w:szCs w:val="24"/>
      </w:rPr>
      <w:t xml:space="preserve"> ZRK</w:t>
    </w:r>
    <w:r>
      <w:rPr>
        <w:b/>
        <w:color w:val="000000"/>
        <w:sz w:val="24"/>
        <w:szCs w:val="24"/>
      </w:rPr>
      <w:t xml:space="preserve"> and </w:t>
    </w:r>
    <w:r w:rsidR="00AB3F78" w:rsidRPr="007A4B91">
      <w:rPr>
        <w:rFonts w:eastAsia="Calibri"/>
        <w:b/>
        <w:sz w:val="24"/>
        <w:szCs w:val="24"/>
      </w:rPr>
      <w:t xml:space="preserve">C </w:t>
    </w:r>
    <w:r w:rsidR="00814B50">
      <w:rPr>
        <w:rFonts w:eastAsia="Calibri"/>
        <w:b/>
        <w:sz w:val="24"/>
        <w:szCs w:val="24"/>
      </w:rPr>
      <w:t>2000</w:t>
    </w:r>
    <w:r w:rsidR="00B4668E">
      <w:rPr>
        <w:rFonts w:eastAsia="Calibri"/>
        <w:b/>
        <w:sz w:val="24"/>
        <w:szCs w:val="24"/>
      </w:rPr>
      <w:t>56</w:t>
    </w:r>
    <w:r w:rsidR="00AB3F78" w:rsidRPr="007A4B91">
      <w:rPr>
        <w:rFonts w:eastAsia="Calibri"/>
        <w:b/>
        <w:sz w:val="24"/>
        <w:szCs w:val="24"/>
      </w:rPr>
      <w:t xml:space="preserve"> Z</w:t>
    </w:r>
    <w:r w:rsidR="00B4668E">
      <w:rPr>
        <w:rFonts w:eastAsia="Calibri"/>
        <w:b/>
        <w:sz w:val="24"/>
        <w:szCs w:val="24"/>
      </w:rPr>
      <w:t>M</w:t>
    </w:r>
    <w:r w:rsidR="00814B50">
      <w:rPr>
        <w:rFonts w:eastAsia="Calibri"/>
        <w:b/>
        <w:sz w:val="24"/>
        <w:szCs w:val="24"/>
      </w:rPr>
      <w:t>K</w:t>
    </w:r>
    <w:r w:rsidR="00AB3F78" w:rsidRPr="007A4B91">
      <w:rPr>
        <w:rFonts w:eastAsia="Calibri"/>
        <w:b/>
        <w:sz w:val="24"/>
        <w:szCs w:val="24"/>
      </w:rPr>
      <w:t xml:space="preserve"> </w:t>
    </w:r>
  </w:p>
  <w:p w:rsidR="00574106" w:rsidRDefault="00814B50">
    <w:pPr>
      <w:rPr>
        <w:b/>
        <w:sz w:val="24"/>
        <w:szCs w:val="24"/>
      </w:rPr>
    </w:pPr>
    <w:r>
      <w:rPr>
        <w:b/>
        <w:sz w:val="24"/>
        <w:szCs w:val="24"/>
      </w:rPr>
      <w:t xml:space="preserve">Pre. </w:t>
    </w:r>
    <w:r w:rsidR="00574106" w:rsidRPr="00AC55AD">
      <w:rPr>
        <w:b/>
        <w:sz w:val="24"/>
        <w:szCs w:val="24"/>
      </w:rPr>
      <w:t>L.U. No</w:t>
    </w:r>
    <w:r w:rsidR="0037262D">
      <w:rPr>
        <w:b/>
        <w:sz w:val="24"/>
        <w:szCs w:val="24"/>
      </w:rPr>
      <w:t>s</w:t>
    </w:r>
    <w:r w:rsidR="00574106" w:rsidRPr="00AC55AD">
      <w:rPr>
        <w:b/>
        <w:sz w:val="24"/>
        <w:szCs w:val="24"/>
      </w:rPr>
      <w:t xml:space="preserve">. </w:t>
    </w:r>
    <w:r w:rsidR="00B4668E">
      <w:rPr>
        <w:b/>
        <w:sz w:val="24"/>
        <w:szCs w:val="24"/>
      </w:rPr>
      <w:t>700 and 701</w:t>
    </w:r>
    <w:r w:rsidR="00574106" w:rsidRPr="00AC55AD">
      <w:rPr>
        <w:b/>
        <w:sz w:val="24"/>
        <w:szCs w:val="24"/>
      </w:rPr>
      <w:t xml:space="preserve"> (Res. No</w:t>
    </w:r>
    <w:r w:rsidR="0037262D">
      <w:rPr>
        <w:b/>
        <w:sz w:val="24"/>
        <w:szCs w:val="24"/>
      </w:rPr>
      <w:t>s</w:t>
    </w:r>
    <w:r w:rsidR="00574106" w:rsidRPr="00AC55AD">
      <w:rPr>
        <w:b/>
        <w:sz w:val="24"/>
        <w:szCs w:val="24"/>
      </w:rPr>
      <w:t xml:space="preserve">. </w:t>
    </w:r>
    <w:r>
      <w:rPr>
        <w:b/>
        <w:sz w:val="24"/>
        <w:szCs w:val="24"/>
      </w:rPr>
      <w:t>____</w:t>
    </w:r>
    <w:r w:rsidR="00B4668E">
      <w:rPr>
        <w:b/>
        <w:sz w:val="24"/>
        <w:szCs w:val="24"/>
      </w:rPr>
      <w:t xml:space="preserve"> </w:t>
    </w:r>
    <w:proofErr w:type="gramStart"/>
    <w:r w:rsidR="00B4668E">
      <w:rPr>
        <w:b/>
        <w:sz w:val="24"/>
        <w:szCs w:val="24"/>
      </w:rPr>
      <w:t>and</w:t>
    </w:r>
    <w:proofErr w:type="gramEnd"/>
    <w:r w:rsidR="00B4668E">
      <w:rPr>
        <w:b/>
        <w:sz w:val="24"/>
        <w:szCs w:val="24"/>
      </w:rPr>
      <w:t xml:space="preserve"> </w:t>
    </w:r>
    <w:r w:rsidR="0037262D">
      <w:rPr>
        <w:b/>
        <w:sz w:val="24"/>
        <w:szCs w:val="24"/>
      </w:rPr>
      <w:t>____</w:t>
    </w:r>
    <w:r w:rsidR="00574106">
      <w:rPr>
        <w:b/>
        <w:sz w:val="24"/>
        <w:szCs w:val="24"/>
      </w:rPr>
      <w:t>)</w:t>
    </w:r>
  </w:p>
  <w:p w:rsidR="003C501A" w:rsidRDefault="003C501A">
    <w:pPr>
      <w:rPr>
        <w:b/>
        <w:sz w:val="24"/>
        <w:szCs w:val="24"/>
      </w:rPr>
    </w:pPr>
  </w:p>
  <w:p w:rsidR="003C501A" w:rsidRDefault="003C501A">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06A35E04"/>
    <w:multiLevelType w:val="hybridMultilevel"/>
    <w:tmpl w:val="01A21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480602"/>
    <w:multiLevelType w:val="hybridMultilevel"/>
    <w:tmpl w:val="697E7702"/>
    <w:lvl w:ilvl="0" w:tplc="E51E5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E45742"/>
    <w:multiLevelType w:val="hybridMultilevel"/>
    <w:tmpl w:val="979E289C"/>
    <w:lvl w:ilvl="0" w:tplc="9A4A7F0C">
      <w:start w:val="1"/>
      <w:numFmt w:val="decimal"/>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2"/>
  </w:num>
  <w:num w:numId="4">
    <w:abstractNumId w:val="6"/>
  </w:num>
  <w:num w:numId="5">
    <w:abstractNumId w:val="3"/>
  </w:num>
  <w:num w:numId="6">
    <w:abstractNumId w:val="0"/>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ADC"/>
    <w:rsid w:val="00011975"/>
    <w:rsid w:val="00016251"/>
    <w:rsid w:val="00031734"/>
    <w:rsid w:val="00036BC2"/>
    <w:rsid w:val="00056EE3"/>
    <w:rsid w:val="00075B80"/>
    <w:rsid w:val="00092583"/>
    <w:rsid w:val="00094157"/>
    <w:rsid w:val="000A0895"/>
    <w:rsid w:val="000B3DAB"/>
    <w:rsid w:val="000B7255"/>
    <w:rsid w:val="000B7BD7"/>
    <w:rsid w:val="000D3A72"/>
    <w:rsid w:val="000D5A2D"/>
    <w:rsid w:val="000D5F7B"/>
    <w:rsid w:val="000D74C8"/>
    <w:rsid w:val="000E29FF"/>
    <w:rsid w:val="000E4D02"/>
    <w:rsid w:val="000E68B9"/>
    <w:rsid w:val="000F2E93"/>
    <w:rsid w:val="00107C84"/>
    <w:rsid w:val="00111C68"/>
    <w:rsid w:val="00113A5F"/>
    <w:rsid w:val="0013638A"/>
    <w:rsid w:val="00145304"/>
    <w:rsid w:val="00147164"/>
    <w:rsid w:val="0016010D"/>
    <w:rsid w:val="001613A9"/>
    <w:rsid w:val="001666F0"/>
    <w:rsid w:val="0017417F"/>
    <w:rsid w:val="0017736D"/>
    <w:rsid w:val="00185A8E"/>
    <w:rsid w:val="00190878"/>
    <w:rsid w:val="001914DA"/>
    <w:rsid w:val="0019207E"/>
    <w:rsid w:val="001A129E"/>
    <w:rsid w:val="001A7819"/>
    <w:rsid w:val="001B4A96"/>
    <w:rsid w:val="001B4B42"/>
    <w:rsid w:val="001B604A"/>
    <w:rsid w:val="001C0859"/>
    <w:rsid w:val="001C1F71"/>
    <w:rsid w:val="001D2E81"/>
    <w:rsid w:val="001E49A3"/>
    <w:rsid w:val="001E5EE8"/>
    <w:rsid w:val="001F7BC9"/>
    <w:rsid w:val="00205171"/>
    <w:rsid w:val="00205AC3"/>
    <w:rsid w:val="002128FC"/>
    <w:rsid w:val="00220243"/>
    <w:rsid w:val="00223BCD"/>
    <w:rsid w:val="00234462"/>
    <w:rsid w:val="00234CD2"/>
    <w:rsid w:val="00237D9E"/>
    <w:rsid w:val="00244C14"/>
    <w:rsid w:val="00246570"/>
    <w:rsid w:val="0025191D"/>
    <w:rsid w:val="00254DAB"/>
    <w:rsid w:val="00255711"/>
    <w:rsid w:val="00256A33"/>
    <w:rsid w:val="002735E3"/>
    <w:rsid w:val="00282698"/>
    <w:rsid w:val="00285C77"/>
    <w:rsid w:val="00286E6D"/>
    <w:rsid w:val="0029256C"/>
    <w:rsid w:val="00297F6C"/>
    <w:rsid w:val="002B4CD8"/>
    <w:rsid w:val="002C4D73"/>
    <w:rsid w:val="002C5F9F"/>
    <w:rsid w:val="002D1EC2"/>
    <w:rsid w:val="002F58E9"/>
    <w:rsid w:val="002F5CB4"/>
    <w:rsid w:val="002F7B48"/>
    <w:rsid w:val="00301C38"/>
    <w:rsid w:val="003134E7"/>
    <w:rsid w:val="0031501B"/>
    <w:rsid w:val="00315590"/>
    <w:rsid w:val="00324038"/>
    <w:rsid w:val="00331FDB"/>
    <w:rsid w:val="003336C1"/>
    <w:rsid w:val="00337070"/>
    <w:rsid w:val="003410BD"/>
    <w:rsid w:val="0034148E"/>
    <w:rsid w:val="00342EC3"/>
    <w:rsid w:val="00352943"/>
    <w:rsid w:val="00362003"/>
    <w:rsid w:val="00362E64"/>
    <w:rsid w:val="0037232E"/>
    <w:rsid w:val="0037262D"/>
    <w:rsid w:val="003732C7"/>
    <w:rsid w:val="0037487A"/>
    <w:rsid w:val="003810C6"/>
    <w:rsid w:val="00382377"/>
    <w:rsid w:val="00382769"/>
    <w:rsid w:val="003B171F"/>
    <w:rsid w:val="003C12E0"/>
    <w:rsid w:val="003C4F48"/>
    <w:rsid w:val="003C501A"/>
    <w:rsid w:val="003D3367"/>
    <w:rsid w:val="003D5AE3"/>
    <w:rsid w:val="003D5FD8"/>
    <w:rsid w:val="003E33D0"/>
    <w:rsid w:val="003E488A"/>
    <w:rsid w:val="004062C1"/>
    <w:rsid w:val="00413900"/>
    <w:rsid w:val="0044301A"/>
    <w:rsid w:val="00446196"/>
    <w:rsid w:val="0044724C"/>
    <w:rsid w:val="0046504D"/>
    <w:rsid w:val="00485687"/>
    <w:rsid w:val="00497CED"/>
    <w:rsid w:val="004A11E9"/>
    <w:rsid w:val="004A67AA"/>
    <w:rsid w:val="004B0373"/>
    <w:rsid w:val="004E4066"/>
    <w:rsid w:val="004E45EA"/>
    <w:rsid w:val="004F07BB"/>
    <w:rsid w:val="004F0D6D"/>
    <w:rsid w:val="004F4651"/>
    <w:rsid w:val="004F7BB9"/>
    <w:rsid w:val="00502382"/>
    <w:rsid w:val="00502A0B"/>
    <w:rsid w:val="005308DC"/>
    <w:rsid w:val="00531B15"/>
    <w:rsid w:val="0053273E"/>
    <w:rsid w:val="005331EE"/>
    <w:rsid w:val="005341AD"/>
    <w:rsid w:val="00534EEA"/>
    <w:rsid w:val="005372BA"/>
    <w:rsid w:val="005374B6"/>
    <w:rsid w:val="0054629D"/>
    <w:rsid w:val="005578FA"/>
    <w:rsid w:val="00557C34"/>
    <w:rsid w:val="00557CCE"/>
    <w:rsid w:val="005666B0"/>
    <w:rsid w:val="0056731C"/>
    <w:rsid w:val="00567AE7"/>
    <w:rsid w:val="00570203"/>
    <w:rsid w:val="00574106"/>
    <w:rsid w:val="00583CF4"/>
    <w:rsid w:val="00586013"/>
    <w:rsid w:val="005A299B"/>
    <w:rsid w:val="005B3428"/>
    <w:rsid w:val="005B61E5"/>
    <w:rsid w:val="005C0D2E"/>
    <w:rsid w:val="005C3812"/>
    <w:rsid w:val="005E16D9"/>
    <w:rsid w:val="005E5C6C"/>
    <w:rsid w:val="005E76ED"/>
    <w:rsid w:val="005F70AB"/>
    <w:rsid w:val="00611544"/>
    <w:rsid w:val="006225A8"/>
    <w:rsid w:val="006228B2"/>
    <w:rsid w:val="00626100"/>
    <w:rsid w:val="0063100B"/>
    <w:rsid w:val="0063201B"/>
    <w:rsid w:val="00651676"/>
    <w:rsid w:val="00651C7B"/>
    <w:rsid w:val="00661C15"/>
    <w:rsid w:val="00661D83"/>
    <w:rsid w:val="0067565F"/>
    <w:rsid w:val="006876C3"/>
    <w:rsid w:val="00691F70"/>
    <w:rsid w:val="0069735B"/>
    <w:rsid w:val="006B01F0"/>
    <w:rsid w:val="006B4A62"/>
    <w:rsid w:val="006D6E02"/>
    <w:rsid w:val="006E6D25"/>
    <w:rsid w:val="007105B3"/>
    <w:rsid w:val="0071456F"/>
    <w:rsid w:val="007173F6"/>
    <w:rsid w:val="00720732"/>
    <w:rsid w:val="00720E53"/>
    <w:rsid w:val="007304AA"/>
    <w:rsid w:val="007311A2"/>
    <w:rsid w:val="00736830"/>
    <w:rsid w:val="00745C38"/>
    <w:rsid w:val="0075798E"/>
    <w:rsid w:val="00766684"/>
    <w:rsid w:val="00775CA7"/>
    <w:rsid w:val="00777071"/>
    <w:rsid w:val="00777589"/>
    <w:rsid w:val="007803BF"/>
    <w:rsid w:val="00785C91"/>
    <w:rsid w:val="00786485"/>
    <w:rsid w:val="0078686B"/>
    <w:rsid w:val="007A072A"/>
    <w:rsid w:val="007A4B91"/>
    <w:rsid w:val="007B3BC5"/>
    <w:rsid w:val="007B6758"/>
    <w:rsid w:val="007C3023"/>
    <w:rsid w:val="007C6ADB"/>
    <w:rsid w:val="007E00B0"/>
    <w:rsid w:val="007E2070"/>
    <w:rsid w:val="007E497D"/>
    <w:rsid w:val="007F3BE0"/>
    <w:rsid w:val="008017D6"/>
    <w:rsid w:val="008042C9"/>
    <w:rsid w:val="00810C1D"/>
    <w:rsid w:val="00814B50"/>
    <w:rsid w:val="0082576D"/>
    <w:rsid w:val="00825C44"/>
    <w:rsid w:val="008370FD"/>
    <w:rsid w:val="00837B57"/>
    <w:rsid w:val="00847FF0"/>
    <w:rsid w:val="00850C63"/>
    <w:rsid w:val="0085749E"/>
    <w:rsid w:val="00861F6D"/>
    <w:rsid w:val="008829E3"/>
    <w:rsid w:val="008875BB"/>
    <w:rsid w:val="0089302B"/>
    <w:rsid w:val="008A07CC"/>
    <w:rsid w:val="008B05E5"/>
    <w:rsid w:val="008B634A"/>
    <w:rsid w:val="008C57EF"/>
    <w:rsid w:val="008D0404"/>
    <w:rsid w:val="008D2BD5"/>
    <w:rsid w:val="008D713C"/>
    <w:rsid w:val="008F652C"/>
    <w:rsid w:val="00911A9D"/>
    <w:rsid w:val="009139E3"/>
    <w:rsid w:val="00920E58"/>
    <w:rsid w:val="00930CCF"/>
    <w:rsid w:val="00940F52"/>
    <w:rsid w:val="00945359"/>
    <w:rsid w:val="0095203A"/>
    <w:rsid w:val="009751A7"/>
    <w:rsid w:val="009761F7"/>
    <w:rsid w:val="00980B72"/>
    <w:rsid w:val="0098234B"/>
    <w:rsid w:val="0099137D"/>
    <w:rsid w:val="009914A9"/>
    <w:rsid w:val="00993766"/>
    <w:rsid w:val="00995826"/>
    <w:rsid w:val="009978F4"/>
    <w:rsid w:val="009A07E4"/>
    <w:rsid w:val="009A2666"/>
    <w:rsid w:val="009A5CBC"/>
    <w:rsid w:val="009B2BD9"/>
    <w:rsid w:val="009C1EAF"/>
    <w:rsid w:val="009C313F"/>
    <w:rsid w:val="009D232A"/>
    <w:rsid w:val="009E7EF9"/>
    <w:rsid w:val="009F49F1"/>
    <w:rsid w:val="009F5C2C"/>
    <w:rsid w:val="009F6D7B"/>
    <w:rsid w:val="009F6ECD"/>
    <w:rsid w:val="00A16A14"/>
    <w:rsid w:val="00A236BD"/>
    <w:rsid w:val="00A24D52"/>
    <w:rsid w:val="00A35B26"/>
    <w:rsid w:val="00A46D4D"/>
    <w:rsid w:val="00A505FB"/>
    <w:rsid w:val="00A61CD6"/>
    <w:rsid w:val="00A7408D"/>
    <w:rsid w:val="00A83A1C"/>
    <w:rsid w:val="00A9015D"/>
    <w:rsid w:val="00A96E24"/>
    <w:rsid w:val="00AA19C4"/>
    <w:rsid w:val="00AA4E0C"/>
    <w:rsid w:val="00AA5556"/>
    <w:rsid w:val="00AB3F78"/>
    <w:rsid w:val="00AB5ADB"/>
    <w:rsid w:val="00AC55AD"/>
    <w:rsid w:val="00AC70A6"/>
    <w:rsid w:val="00AD287E"/>
    <w:rsid w:val="00AE5DC7"/>
    <w:rsid w:val="00AF4163"/>
    <w:rsid w:val="00AF4CBE"/>
    <w:rsid w:val="00B06400"/>
    <w:rsid w:val="00B24330"/>
    <w:rsid w:val="00B26FB2"/>
    <w:rsid w:val="00B43B6D"/>
    <w:rsid w:val="00B4668E"/>
    <w:rsid w:val="00B61F49"/>
    <w:rsid w:val="00B71606"/>
    <w:rsid w:val="00B84FB7"/>
    <w:rsid w:val="00B87B6B"/>
    <w:rsid w:val="00B919E9"/>
    <w:rsid w:val="00BB47E6"/>
    <w:rsid w:val="00BB6C6B"/>
    <w:rsid w:val="00BD55EA"/>
    <w:rsid w:val="00BD5FBA"/>
    <w:rsid w:val="00BE2460"/>
    <w:rsid w:val="00BE38F6"/>
    <w:rsid w:val="00BF47D1"/>
    <w:rsid w:val="00BF6DEB"/>
    <w:rsid w:val="00C06CEE"/>
    <w:rsid w:val="00C12C9E"/>
    <w:rsid w:val="00C14D9B"/>
    <w:rsid w:val="00C15C8D"/>
    <w:rsid w:val="00C2034B"/>
    <w:rsid w:val="00C259E6"/>
    <w:rsid w:val="00C26AF8"/>
    <w:rsid w:val="00C31C81"/>
    <w:rsid w:val="00C35C4D"/>
    <w:rsid w:val="00C37704"/>
    <w:rsid w:val="00C45B5E"/>
    <w:rsid w:val="00C512C5"/>
    <w:rsid w:val="00C517BC"/>
    <w:rsid w:val="00C54DE2"/>
    <w:rsid w:val="00C663D8"/>
    <w:rsid w:val="00C74C20"/>
    <w:rsid w:val="00C74D31"/>
    <w:rsid w:val="00C83D9A"/>
    <w:rsid w:val="00CA031D"/>
    <w:rsid w:val="00CA4A4B"/>
    <w:rsid w:val="00CC4F29"/>
    <w:rsid w:val="00CD527E"/>
    <w:rsid w:val="00CF25B7"/>
    <w:rsid w:val="00CF4952"/>
    <w:rsid w:val="00CF56E6"/>
    <w:rsid w:val="00CF6AAC"/>
    <w:rsid w:val="00D113D0"/>
    <w:rsid w:val="00D1502E"/>
    <w:rsid w:val="00D277DF"/>
    <w:rsid w:val="00D45CF7"/>
    <w:rsid w:val="00D617EE"/>
    <w:rsid w:val="00D67ADE"/>
    <w:rsid w:val="00D70BA8"/>
    <w:rsid w:val="00D70CE2"/>
    <w:rsid w:val="00D74A16"/>
    <w:rsid w:val="00D75382"/>
    <w:rsid w:val="00D753C1"/>
    <w:rsid w:val="00D7792D"/>
    <w:rsid w:val="00D90952"/>
    <w:rsid w:val="00D942E0"/>
    <w:rsid w:val="00D9488E"/>
    <w:rsid w:val="00DB25EB"/>
    <w:rsid w:val="00DB44FE"/>
    <w:rsid w:val="00DC0312"/>
    <w:rsid w:val="00DD2846"/>
    <w:rsid w:val="00DD4F65"/>
    <w:rsid w:val="00DE2433"/>
    <w:rsid w:val="00DF7B23"/>
    <w:rsid w:val="00E00BD1"/>
    <w:rsid w:val="00E16E48"/>
    <w:rsid w:val="00E2345E"/>
    <w:rsid w:val="00E271CB"/>
    <w:rsid w:val="00E30BEB"/>
    <w:rsid w:val="00E41834"/>
    <w:rsid w:val="00E42020"/>
    <w:rsid w:val="00E642B8"/>
    <w:rsid w:val="00E64755"/>
    <w:rsid w:val="00E655BA"/>
    <w:rsid w:val="00E6596B"/>
    <w:rsid w:val="00E670D2"/>
    <w:rsid w:val="00E67538"/>
    <w:rsid w:val="00E75313"/>
    <w:rsid w:val="00E82506"/>
    <w:rsid w:val="00E854D1"/>
    <w:rsid w:val="00E879D0"/>
    <w:rsid w:val="00E9169B"/>
    <w:rsid w:val="00E95C0E"/>
    <w:rsid w:val="00EB476F"/>
    <w:rsid w:val="00EC45E3"/>
    <w:rsid w:val="00ED3463"/>
    <w:rsid w:val="00EE6026"/>
    <w:rsid w:val="00F039FF"/>
    <w:rsid w:val="00F05A4B"/>
    <w:rsid w:val="00F0710C"/>
    <w:rsid w:val="00F14EEE"/>
    <w:rsid w:val="00F16D02"/>
    <w:rsid w:val="00F224C1"/>
    <w:rsid w:val="00F22D20"/>
    <w:rsid w:val="00F35B2B"/>
    <w:rsid w:val="00F37312"/>
    <w:rsid w:val="00F4174E"/>
    <w:rsid w:val="00F6048C"/>
    <w:rsid w:val="00F6482B"/>
    <w:rsid w:val="00F64A73"/>
    <w:rsid w:val="00F71D8D"/>
    <w:rsid w:val="00F7465B"/>
    <w:rsid w:val="00FA0935"/>
    <w:rsid w:val="00FB1280"/>
    <w:rsid w:val="00FB4F30"/>
    <w:rsid w:val="00FC2627"/>
    <w:rsid w:val="00FC2C4A"/>
    <w:rsid w:val="00FC3F2D"/>
    <w:rsid w:val="00FC521C"/>
    <w:rsid w:val="00FD0FC2"/>
    <w:rsid w:val="00FD2633"/>
    <w:rsid w:val="00FD4C8C"/>
    <w:rsid w:val="00FE0570"/>
    <w:rsid w:val="00FE09C2"/>
    <w:rsid w:val="00FF0883"/>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9DA222"/>
  <w15:chartTrackingRefBased/>
  <w15:docId w15:val="{7E4AFE4D-6101-48CD-85C7-3B7A48B9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qFormat/>
    <w:rsid w:val="007A4B91"/>
    <w:rPr>
      <w:rFonts w:ascii="Calibri" w:eastAsia="Calibri" w:hAnsi="Calibri"/>
      <w:sz w:val="22"/>
      <w:szCs w:val="22"/>
    </w:rPr>
  </w:style>
  <w:style w:type="character" w:styleId="CommentReference">
    <w:name w:val="annotation reference"/>
    <w:rsid w:val="00234CD2"/>
    <w:rPr>
      <w:sz w:val="16"/>
      <w:szCs w:val="16"/>
    </w:rPr>
  </w:style>
  <w:style w:type="paragraph" w:styleId="CommentText">
    <w:name w:val="annotation text"/>
    <w:basedOn w:val="Normal"/>
    <w:link w:val="CommentTextChar"/>
    <w:rsid w:val="00234CD2"/>
  </w:style>
  <w:style w:type="character" w:customStyle="1" w:styleId="CommentTextChar">
    <w:name w:val="Comment Text Char"/>
    <w:basedOn w:val="DefaultParagraphFont"/>
    <w:link w:val="CommentText"/>
    <w:rsid w:val="00234CD2"/>
  </w:style>
  <w:style w:type="paragraph" w:styleId="CommentSubject">
    <w:name w:val="annotation subject"/>
    <w:basedOn w:val="CommentText"/>
    <w:next w:val="CommentText"/>
    <w:link w:val="CommentSubjectChar"/>
    <w:rsid w:val="00234CD2"/>
    <w:rPr>
      <w:b/>
      <w:bCs/>
    </w:rPr>
  </w:style>
  <w:style w:type="character" w:customStyle="1" w:styleId="CommentSubjectChar">
    <w:name w:val="Comment Subject Char"/>
    <w:link w:val="CommentSubject"/>
    <w:rsid w:val="00234CD2"/>
    <w:rPr>
      <w:b/>
      <w:bCs/>
    </w:rPr>
  </w:style>
  <w:style w:type="paragraph" w:styleId="ListParagraph">
    <w:name w:val="List Paragraph"/>
    <w:basedOn w:val="Normal"/>
    <w:link w:val="ListParagraphChar"/>
    <w:uiPriority w:val="34"/>
    <w:qFormat/>
    <w:rsid w:val="007A072A"/>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FA093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3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subject/>
  <dc:creator>New York City Council</dc:creator>
  <cp:keywords/>
  <cp:lastModifiedBy>DelFranco, Ruthie</cp:lastModifiedBy>
  <cp:revision>2</cp:revision>
  <cp:lastPrinted>2010-02-03T20:52:00Z</cp:lastPrinted>
  <dcterms:created xsi:type="dcterms:W3CDTF">2020-12-15T17:31:00Z</dcterms:created>
  <dcterms:modified xsi:type="dcterms:W3CDTF">2020-12-15T17:31:00Z</dcterms:modified>
</cp:coreProperties>
</file>