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 xml:space="preserve">Committee on </w:t>
      </w:r>
      <w:r w:rsidR="006F6A46">
        <w:rPr>
          <w:u w:val="single"/>
        </w:rPr>
        <w:t>Public Housing</w:t>
      </w:r>
    </w:p>
    <w:p w:rsidR="00891808" w:rsidRDefault="00891808" w:rsidP="008D5707">
      <w:pPr>
        <w:widowControl w:val="0"/>
        <w:suppressLineNumbers/>
        <w:spacing w:after="0" w:line="240" w:lineRule="auto"/>
        <w:jc w:val="right"/>
      </w:pPr>
      <w:r>
        <w:t>Audrey Son, Counsel</w:t>
      </w:r>
    </w:p>
    <w:p w:rsidR="00891808" w:rsidRDefault="00891808" w:rsidP="008D5707">
      <w:pPr>
        <w:widowControl w:val="0"/>
        <w:suppressLineNumbers/>
        <w:spacing w:after="0" w:line="240" w:lineRule="auto"/>
        <w:jc w:val="right"/>
      </w:pPr>
      <w:r>
        <w:t>Jose Conde, Senior Policy Analyst</w:t>
      </w:r>
    </w:p>
    <w:p w:rsidR="00891808" w:rsidRDefault="006F6A46" w:rsidP="008D5707">
      <w:pPr>
        <w:widowControl w:val="0"/>
        <w:suppressLineNumbers/>
        <w:spacing w:after="0" w:line="240" w:lineRule="auto"/>
        <w:jc w:val="right"/>
      </w:pPr>
      <w:r>
        <w:t>Ricky Chawla</w:t>
      </w:r>
      <w:r w:rsidR="00891808">
        <w:t>, Policy Analyst</w:t>
      </w:r>
    </w:p>
    <w:p w:rsidR="00891808" w:rsidRDefault="00891808" w:rsidP="008D5707">
      <w:pPr>
        <w:widowControl w:val="0"/>
        <w:suppressLineNumbers/>
        <w:spacing w:after="0" w:line="240" w:lineRule="auto"/>
        <w:jc w:val="right"/>
      </w:pPr>
      <w:r>
        <w:t>Sarah Gastelum, Principal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CD6309" w:rsidP="008D5707">
      <w:pPr>
        <w:widowControl w:val="0"/>
        <w:suppressLineNumbers/>
        <w:spacing w:after="0" w:line="240" w:lineRule="auto"/>
        <w:jc w:val="center"/>
        <w:rPr>
          <w:b/>
        </w:rP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w:t>
      </w:r>
      <w:r w:rsidR="006F6A46">
        <w:rPr>
          <w:rFonts w:ascii="Times New Roman Bold" w:hAnsi="Times New Roman Bold"/>
          <w:b/>
          <w:smallCaps/>
          <w:u w:val="single"/>
        </w:rPr>
        <w:t xml:space="preserve"> Public</w:t>
      </w:r>
      <w:r>
        <w:rPr>
          <w:rFonts w:ascii="Times New Roman Bold" w:hAnsi="Times New Roman Bold"/>
          <w:b/>
          <w:smallCaps/>
          <w:u w:val="single"/>
        </w:rPr>
        <w:t xml:space="preserve"> Housing </w:t>
      </w:r>
    </w:p>
    <w:p w:rsidR="00891808" w:rsidRDefault="00891808" w:rsidP="008D5707">
      <w:pPr>
        <w:widowControl w:val="0"/>
        <w:suppressLineNumbers/>
        <w:spacing w:after="0" w:line="240" w:lineRule="auto"/>
        <w:jc w:val="center"/>
      </w:pPr>
      <w:r>
        <w:t>Hon.</w:t>
      </w:r>
      <w:r w:rsidR="006F6A46">
        <w:t xml:space="preserve"> Alicka Ampry-Samuel</w:t>
      </w:r>
      <w:r>
        <w:t>, Chair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Pr="00891808" w:rsidRDefault="006F6A46" w:rsidP="008D5707">
      <w:pPr>
        <w:widowControl w:val="0"/>
        <w:suppressLineNumbers/>
        <w:spacing w:after="0" w:line="240" w:lineRule="auto"/>
        <w:jc w:val="center"/>
        <w:rPr>
          <w:rFonts w:ascii="Times New Roman Bold" w:hAnsi="Times New Roman Bold"/>
        </w:rPr>
      </w:pPr>
      <w:r>
        <w:rPr>
          <w:b/>
        </w:rPr>
        <w:t>December 10</w:t>
      </w:r>
      <w:r w:rsidR="00891808">
        <w:rPr>
          <w:b/>
        </w:rPr>
        <w:t>, 2020</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90502C" w:rsidRPr="009C6FB3" w:rsidRDefault="0090502C" w:rsidP="009C6FB3">
      <w:pPr>
        <w:suppressLineNumbers/>
        <w:ind w:left="4320" w:hanging="4320"/>
        <w:rPr>
          <w:szCs w:val="24"/>
        </w:rPr>
      </w:pPr>
      <w:r w:rsidRPr="000F3DAF">
        <w:rPr>
          <w:rFonts w:ascii="Times New Roman Bold" w:hAnsi="Times New Roman Bold"/>
          <w:b/>
          <w:smallCaps/>
          <w:szCs w:val="24"/>
          <w:u w:val="single"/>
        </w:rPr>
        <w:t>Int. No.</w:t>
      </w:r>
      <w:r w:rsidR="00C77659">
        <w:rPr>
          <w:rFonts w:ascii="Times New Roman Bold" w:hAnsi="Times New Roman Bold"/>
          <w:b/>
          <w:smallCaps/>
          <w:szCs w:val="24"/>
          <w:u w:val="single"/>
        </w:rPr>
        <w:t xml:space="preserve"> </w:t>
      </w:r>
      <w:r w:rsidR="006F6A46">
        <w:rPr>
          <w:rFonts w:ascii="Times New Roman Bold" w:hAnsi="Times New Roman Bold"/>
          <w:b/>
          <w:smallCaps/>
          <w:szCs w:val="24"/>
          <w:u w:val="single"/>
        </w:rPr>
        <w:t>1911</w:t>
      </w:r>
      <w:r w:rsidR="00787B18">
        <w:rPr>
          <w:rFonts w:ascii="Times New Roman Bold" w:hAnsi="Times New Roman Bold"/>
          <w:b/>
          <w:smallCaps/>
          <w:szCs w:val="24"/>
          <w:u w:val="single"/>
        </w:rPr>
        <w:t>-A</w:t>
      </w:r>
      <w:r>
        <w:rPr>
          <w:b/>
          <w:szCs w:val="24"/>
          <w:u w:val="single"/>
        </w:rPr>
        <w:t>:</w:t>
      </w:r>
      <w:r w:rsidRPr="00E50863">
        <w:rPr>
          <w:szCs w:val="24"/>
        </w:rPr>
        <w:tab/>
      </w:r>
      <w:r>
        <w:rPr>
          <w:szCs w:val="24"/>
        </w:rPr>
        <w:t xml:space="preserve">By </w:t>
      </w:r>
      <w:r w:rsidR="004B1691">
        <w:rPr>
          <w:lang w:val="de-DE"/>
        </w:rPr>
        <w:t xml:space="preserve">Council </w:t>
      </w:r>
      <w:r w:rsidR="006732C1">
        <w:rPr>
          <w:lang w:val="de-DE"/>
        </w:rPr>
        <w:t>Member</w:t>
      </w:r>
      <w:r w:rsidR="00787B18">
        <w:rPr>
          <w:lang w:val="de-DE"/>
        </w:rPr>
        <w:t>s</w:t>
      </w:r>
      <w:r w:rsidR="006F6A46">
        <w:rPr>
          <w:lang w:val="de-DE"/>
        </w:rPr>
        <w:t xml:space="preserve"> Torres</w:t>
      </w:r>
      <w:r w:rsidR="00787B18">
        <w:rPr>
          <w:lang w:val="de-DE"/>
        </w:rPr>
        <w:t>, Ampry-Samuel, Ayala, Gibson, Rosenthal and Barron</w:t>
      </w:r>
    </w:p>
    <w:p w:rsidR="00DC7E0E" w:rsidRPr="001566FE" w:rsidRDefault="00DC7E0E" w:rsidP="00DC7E0E">
      <w:pPr>
        <w:suppressLineNumbers/>
        <w:ind w:left="4320" w:hanging="4320"/>
        <w:rPr>
          <w:rFonts w:cs="Times New Roman"/>
          <w:color w:val="000000" w:themeColor="text1"/>
        </w:rPr>
      </w:pPr>
      <w:r w:rsidRPr="001566FE">
        <w:rPr>
          <w:rFonts w:cs="Times New Roman"/>
          <w:b/>
          <w:smallCaps/>
          <w:color w:val="000000" w:themeColor="text1"/>
          <w:u w:val="single"/>
        </w:rPr>
        <w:t>Title:</w:t>
      </w:r>
      <w:r w:rsidRPr="001566FE">
        <w:rPr>
          <w:rFonts w:cs="Times New Roman"/>
          <w:color w:val="000000" w:themeColor="text1"/>
        </w:rPr>
        <w:tab/>
        <w:t xml:space="preserve">A Local Law in relation to </w:t>
      </w:r>
      <w:r w:rsidR="00787B18">
        <w:rPr>
          <w:rFonts w:cs="Times New Roman"/>
          <w:color w:val="000000" w:themeColor="text1"/>
        </w:rPr>
        <w:t>the provision of information to tenants of the New York city housing authority regarding the mold ombudsperson</w:t>
      </w:r>
    </w:p>
    <w:p w:rsidR="00DC7E0E" w:rsidRPr="001566FE" w:rsidRDefault="00DC7E0E" w:rsidP="00DC7E0E">
      <w:pPr>
        <w:suppressLineNumbers/>
        <w:rPr>
          <w:rFonts w:cs="Times New Roman"/>
          <w:b/>
          <w:color w:val="000000" w:themeColor="text1"/>
          <w:u w:val="single"/>
        </w:rPr>
      </w:pPr>
    </w:p>
    <w:p w:rsidR="00DC7E0E" w:rsidRDefault="00DC7E0E" w:rsidP="008D5707">
      <w:pPr>
        <w:widowControl w:val="0"/>
        <w:suppressLineNumbers/>
        <w:spacing w:after="0" w:line="480" w:lineRule="auto"/>
        <w:jc w:val="center"/>
        <w:rPr>
          <w:rFonts w:ascii="Times New Roman Bold" w:hAnsi="Times New Roman Bold"/>
          <w:b/>
          <w:smallCaps/>
          <w:u w:val="single"/>
        </w:rPr>
      </w:pPr>
    </w:p>
    <w:p w:rsidR="000F3D63" w:rsidRDefault="000F3D63" w:rsidP="008D5707">
      <w:pPr>
        <w:widowControl w:val="0"/>
        <w:suppressLineNumbers/>
        <w:spacing w:after="0" w:line="480" w:lineRule="auto"/>
        <w:jc w:val="center"/>
        <w:rPr>
          <w:rFonts w:ascii="Times New Roman Bold" w:hAnsi="Times New Roman Bold"/>
          <w:b/>
          <w:smallCaps/>
          <w:u w:val="single"/>
        </w:rPr>
      </w:pPr>
    </w:p>
    <w:p w:rsidR="00891808" w:rsidRDefault="0079338F" w:rsidP="008D5707">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lastRenderedPageBreak/>
        <w:t>Introduction</w:t>
      </w:r>
    </w:p>
    <w:p w:rsidR="0079338F" w:rsidRDefault="00DC7E0E" w:rsidP="008D5707">
      <w:pPr>
        <w:widowControl w:val="0"/>
        <w:suppressLineNumbers/>
        <w:spacing w:after="0" w:line="480" w:lineRule="auto"/>
        <w:ind w:firstLine="720"/>
        <w:jc w:val="both"/>
        <w:rPr>
          <w:rStyle w:val="Hyperlink"/>
        </w:rPr>
      </w:pPr>
      <w:r>
        <w:t xml:space="preserve">On </w:t>
      </w:r>
      <w:r w:rsidR="00787B18">
        <w:t>December 10</w:t>
      </w:r>
      <w:r w:rsidR="0079338F">
        <w:t>, 2020, the Committee on</w:t>
      </w:r>
      <w:r w:rsidR="00787B18">
        <w:t xml:space="preserve"> Public Housing</w:t>
      </w:r>
      <w:r w:rsidR="0079338F">
        <w:t xml:space="preserve">, chaired by Council Member </w:t>
      </w:r>
      <w:r w:rsidR="00787B18">
        <w:t>Alicka Ampry-Samuel</w:t>
      </w:r>
      <w:r w:rsidR="0079338F">
        <w:t xml:space="preserve">, </w:t>
      </w:r>
      <w:r w:rsidR="00711FCF">
        <w:t>held</w:t>
      </w:r>
      <w:r w:rsidR="0079338F">
        <w:t xml:space="preserve"> a hea</w:t>
      </w:r>
      <w:r>
        <w:t xml:space="preserve">ring on </w:t>
      </w:r>
      <w:r w:rsidR="0090502C">
        <w:t xml:space="preserve">Int. No. </w:t>
      </w:r>
      <w:r w:rsidR="00787B18">
        <w:t>1911-A</w:t>
      </w:r>
      <w:r w:rsidR="0079338F">
        <w:t xml:space="preserve">, </w:t>
      </w:r>
      <w:r>
        <w:t xml:space="preserve">in relation to </w:t>
      </w:r>
      <w:r w:rsidR="00787B18">
        <w:t>the provision of information to tenants of the New York city housing authority regarding the mold ombudsperson</w:t>
      </w:r>
      <w:r w:rsidR="00224939">
        <w:t>. Th</w:t>
      </w:r>
      <w:r w:rsidR="00BB18C9">
        <w:t>e original</w:t>
      </w:r>
      <w:r w:rsidR="00224939">
        <w:t xml:space="preserve"> bill</w:t>
      </w:r>
      <w:r w:rsidR="00DB40DF">
        <w:t xml:space="preserve"> w</w:t>
      </w:r>
      <w:r>
        <w:t xml:space="preserve">as first heard on </w:t>
      </w:r>
      <w:r w:rsidR="00787B18">
        <w:t xml:space="preserve">October </w:t>
      </w:r>
      <w:r w:rsidR="00DB40DF">
        <w:t>7</w:t>
      </w:r>
      <w:r w:rsidR="0090502C">
        <w:t>, 2020</w:t>
      </w:r>
      <w:r w:rsidR="0079338F">
        <w:t>. More information about this bill, along with the materials fo</w:t>
      </w:r>
      <w:r w:rsidR="00171750">
        <w:t xml:space="preserve">r that hearing, can be found at </w:t>
      </w:r>
      <w:hyperlink r:id="rId8" w:history="1">
        <w:r w:rsidR="00787B18" w:rsidRPr="00EA4D12">
          <w:rPr>
            <w:rStyle w:val="Hyperlink"/>
          </w:rPr>
          <w:t>https://go.usa.gov/x7SKT</w:t>
        </w:r>
      </w:hyperlink>
      <w:r w:rsidR="00787B18">
        <w:t>.</w:t>
      </w:r>
      <w:r w:rsidR="00D514E8">
        <w:t xml:space="preserve"> </w:t>
      </w:r>
      <w:r w:rsidR="007E31ED">
        <w:t xml:space="preserve"> </w:t>
      </w:r>
      <w:r w:rsidR="00171750">
        <w:t xml:space="preserve"> </w:t>
      </w:r>
      <w:r w:rsidR="0090502C">
        <w:rPr>
          <w:rStyle w:val="Hyperlink"/>
        </w:rPr>
        <w:t xml:space="preserve"> </w:t>
      </w:r>
    </w:p>
    <w:p w:rsidR="0079338F" w:rsidRDefault="0079338F" w:rsidP="008D5707">
      <w:pPr>
        <w:widowControl w:val="0"/>
        <w:suppressLineNumbers/>
        <w:spacing w:after="0" w:line="480" w:lineRule="auto"/>
        <w:jc w:val="both"/>
        <w:rPr>
          <w:rStyle w:val="Hyperlink"/>
        </w:rPr>
      </w:pPr>
    </w:p>
    <w:p w:rsidR="0079338F" w:rsidRPr="0079338F" w:rsidRDefault="0090502C" w:rsidP="008D5707">
      <w:pPr>
        <w:widowControl w:val="0"/>
        <w:suppressLineNumbers/>
        <w:spacing w:after="0" w:line="480" w:lineRule="auto"/>
        <w:jc w:val="center"/>
      </w:pPr>
      <w:r>
        <w:rPr>
          <w:rFonts w:ascii="Times New Roman Bold" w:hAnsi="Times New Roman Bold"/>
          <w:b/>
          <w:szCs w:val="24"/>
          <w:u w:val="single"/>
        </w:rPr>
        <w:t xml:space="preserve">Int. No. </w:t>
      </w:r>
      <w:r w:rsidR="00787B18">
        <w:rPr>
          <w:rFonts w:ascii="Times New Roman Bold" w:hAnsi="Times New Roman Bold"/>
          <w:b/>
          <w:szCs w:val="24"/>
          <w:u w:val="single"/>
        </w:rPr>
        <w:t>1911</w:t>
      </w:r>
      <w:r w:rsidR="00495A38">
        <w:rPr>
          <w:rFonts w:ascii="Times New Roman Bold" w:hAnsi="Times New Roman Bold"/>
          <w:b/>
          <w:szCs w:val="24"/>
          <w:u w:val="single"/>
        </w:rPr>
        <w:t>-A</w:t>
      </w:r>
    </w:p>
    <w:p w:rsidR="004774C5" w:rsidRPr="004774C5" w:rsidRDefault="004774C5" w:rsidP="0029410B">
      <w:pPr>
        <w:pStyle w:val="NoSpacing"/>
        <w:suppressLineNumbers/>
        <w:spacing w:line="480" w:lineRule="auto"/>
        <w:ind w:firstLine="720"/>
        <w:rPr>
          <w:rFonts w:ascii="Times New Roman" w:hAnsi="Times New Roman"/>
          <w:sz w:val="24"/>
          <w:szCs w:val="24"/>
        </w:rPr>
      </w:pPr>
      <w:r>
        <w:rPr>
          <w:rFonts w:ascii="Times New Roman" w:hAnsi="Times New Roman"/>
          <w:sz w:val="24"/>
          <w:szCs w:val="24"/>
        </w:rPr>
        <w:t xml:space="preserve">In 2013, a group of plaintiffs filed a class action lawsuit </w:t>
      </w:r>
      <w:r w:rsidR="00312FB1">
        <w:rPr>
          <w:rFonts w:ascii="Times New Roman" w:hAnsi="Times New Roman"/>
          <w:sz w:val="24"/>
          <w:szCs w:val="24"/>
        </w:rPr>
        <w:t xml:space="preserve">on behalf of </w:t>
      </w:r>
      <w:r w:rsidR="00456AF2">
        <w:rPr>
          <w:rFonts w:ascii="Times New Roman" w:hAnsi="Times New Roman"/>
          <w:sz w:val="24"/>
          <w:szCs w:val="24"/>
        </w:rPr>
        <w:t>New York City Housing Authority (</w:t>
      </w:r>
      <w:r w:rsidR="00312FB1">
        <w:rPr>
          <w:rFonts w:ascii="Times New Roman" w:hAnsi="Times New Roman"/>
          <w:sz w:val="24"/>
          <w:szCs w:val="24"/>
        </w:rPr>
        <w:t>NYCHA</w:t>
      </w:r>
      <w:r w:rsidR="00456AF2">
        <w:rPr>
          <w:rFonts w:ascii="Times New Roman" w:hAnsi="Times New Roman"/>
          <w:sz w:val="24"/>
          <w:szCs w:val="24"/>
        </w:rPr>
        <w:t>)</w:t>
      </w:r>
      <w:r w:rsidR="00312FB1">
        <w:rPr>
          <w:rFonts w:ascii="Times New Roman" w:hAnsi="Times New Roman"/>
          <w:sz w:val="24"/>
          <w:szCs w:val="24"/>
        </w:rPr>
        <w:t xml:space="preserve"> residents and nonprofit organizations </w:t>
      </w:r>
      <w:r>
        <w:rPr>
          <w:rFonts w:ascii="Times New Roman" w:hAnsi="Times New Roman"/>
          <w:sz w:val="24"/>
          <w:szCs w:val="24"/>
        </w:rPr>
        <w:t>against NYCHA for NYCHA’s failure to make reasonable accommodations and modifications in its policies, practices, and procedures to effectively abate mold and excessive moisture in tenants’ apartments.</w:t>
      </w:r>
      <w:r w:rsidR="00495A38" w:rsidRPr="00455027">
        <w:rPr>
          <w:rStyle w:val="FootnoteReference"/>
          <w:rFonts w:ascii="Times New Roman" w:hAnsi="Times New Roman"/>
          <w:sz w:val="24"/>
          <w:szCs w:val="24"/>
        </w:rPr>
        <w:footnoteReference w:id="1"/>
      </w:r>
      <w:r>
        <w:rPr>
          <w:rFonts w:ascii="Times New Roman" w:hAnsi="Times New Roman"/>
          <w:sz w:val="24"/>
          <w:szCs w:val="24"/>
        </w:rPr>
        <w:t xml:space="preserve"> </w:t>
      </w:r>
      <w:r w:rsidR="00495A38">
        <w:rPr>
          <w:rFonts w:ascii="Times New Roman" w:hAnsi="Times New Roman"/>
          <w:sz w:val="24"/>
          <w:szCs w:val="24"/>
        </w:rPr>
        <w:t>On April 17, 2014, the</w:t>
      </w:r>
      <w:r>
        <w:rPr>
          <w:rFonts w:ascii="Times New Roman" w:hAnsi="Times New Roman"/>
          <w:sz w:val="24"/>
          <w:szCs w:val="24"/>
        </w:rPr>
        <w:t xml:space="preserve"> case </w:t>
      </w:r>
      <w:r w:rsidR="00495A38">
        <w:rPr>
          <w:rFonts w:ascii="Times New Roman" w:hAnsi="Times New Roman"/>
          <w:sz w:val="24"/>
          <w:szCs w:val="24"/>
        </w:rPr>
        <w:t>settled</w:t>
      </w:r>
      <w:r>
        <w:rPr>
          <w:rFonts w:ascii="Times New Roman" w:hAnsi="Times New Roman"/>
          <w:sz w:val="24"/>
          <w:szCs w:val="24"/>
        </w:rPr>
        <w:t xml:space="preserve"> and the </w:t>
      </w:r>
      <w:r w:rsidR="00456AF2">
        <w:rPr>
          <w:rFonts w:ascii="Times New Roman" w:hAnsi="Times New Roman"/>
          <w:sz w:val="24"/>
          <w:szCs w:val="24"/>
        </w:rPr>
        <w:t>C</w:t>
      </w:r>
      <w:r>
        <w:rPr>
          <w:rFonts w:ascii="Times New Roman" w:hAnsi="Times New Roman"/>
          <w:sz w:val="24"/>
          <w:szCs w:val="24"/>
        </w:rPr>
        <w:t xml:space="preserve">ourt approved a </w:t>
      </w:r>
      <w:r w:rsidR="00495A38">
        <w:rPr>
          <w:rFonts w:ascii="Times New Roman" w:hAnsi="Times New Roman"/>
          <w:sz w:val="24"/>
          <w:szCs w:val="24"/>
        </w:rPr>
        <w:t>Stipulation and Order of Settlement (“</w:t>
      </w:r>
      <w:r>
        <w:rPr>
          <w:rFonts w:ascii="Times New Roman" w:hAnsi="Times New Roman"/>
          <w:sz w:val="24"/>
          <w:szCs w:val="24"/>
        </w:rPr>
        <w:t>Consent Decree</w:t>
      </w:r>
      <w:r w:rsidR="00495A38">
        <w:rPr>
          <w:rFonts w:ascii="Times New Roman" w:hAnsi="Times New Roman"/>
          <w:sz w:val="24"/>
          <w:szCs w:val="24"/>
        </w:rPr>
        <w:t>”)</w:t>
      </w:r>
      <w:r>
        <w:rPr>
          <w:rFonts w:ascii="Times New Roman" w:hAnsi="Times New Roman"/>
          <w:sz w:val="24"/>
          <w:szCs w:val="24"/>
        </w:rPr>
        <w:t xml:space="preserve"> </w:t>
      </w:r>
      <w:r w:rsidR="00495A38">
        <w:rPr>
          <w:rFonts w:ascii="Times New Roman" w:hAnsi="Times New Roman"/>
          <w:sz w:val="24"/>
          <w:szCs w:val="24"/>
        </w:rPr>
        <w:t>imposing</w:t>
      </w:r>
      <w:r>
        <w:rPr>
          <w:rFonts w:ascii="Times New Roman" w:hAnsi="Times New Roman"/>
          <w:sz w:val="24"/>
          <w:szCs w:val="24"/>
        </w:rPr>
        <w:t xml:space="preserve"> certain mold, leak, and excessive moisture repair requirements on NYCHA.</w:t>
      </w:r>
      <w:r w:rsidR="00495A38">
        <w:rPr>
          <w:rStyle w:val="FootnoteReference"/>
          <w:rFonts w:ascii="Times New Roman" w:hAnsi="Times New Roman"/>
          <w:sz w:val="24"/>
          <w:szCs w:val="24"/>
        </w:rPr>
        <w:footnoteReference w:id="2"/>
      </w:r>
      <w:r>
        <w:rPr>
          <w:rFonts w:ascii="Times New Roman" w:hAnsi="Times New Roman"/>
          <w:sz w:val="24"/>
          <w:szCs w:val="24"/>
        </w:rPr>
        <w:t xml:space="preserve"> </w:t>
      </w:r>
      <w:r w:rsidR="001A1796">
        <w:rPr>
          <w:rFonts w:ascii="Times New Roman" w:hAnsi="Times New Roman"/>
          <w:sz w:val="24"/>
          <w:szCs w:val="24"/>
        </w:rPr>
        <w:t>In November 2018, the Court approved a revised settlement agreement,</w:t>
      </w:r>
      <w:r w:rsidR="001A1796">
        <w:rPr>
          <w:rStyle w:val="FootnoteReference"/>
          <w:rFonts w:ascii="Times New Roman" w:hAnsi="Times New Roman"/>
          <w:sz w:val="24"/>
          <w:szCs w:val="24"/>
        </w:rPr>
        <w:footnoteReference w:id="3"/>
      </w:r>
      <w:r w:rsidR="001A1796">
        <w:rPr>
          <w:rFonts w:ascii="Times New Roman" w:hAnsi="Times New Roman"/>
          <w:sz w:val="24"/>
          <w:szCs w:val="24"/>
        </w:rPr>
        <w:t xml:space="preserve"> extending the terms of the original Consent Decree, requiring the appointment of an</w:t>
      </w:r>
      <w:r w:rsidR="00D90F43">
        <w:rPr>
          <w:rFonts w:ascii="Times New Roman" w:hAnsi="Times New Roman"/>
          <w:sz w:val="24"/>
          <w:szCs w:val="24"/>
        </w:rPr>
        <w:t xml:space="preserve"> independent</w:t>
      </w:r>
      <w:r w:rsidR="001A1796">
        <w:rPr>
          <w:rFonts w:ascii="Times New Roman" w:hAnsi="Times New Roman"/>
          <w:sz w:val="24"/>
          <w:szCs w:val="24"/>
        </w:rPr>
        <w:t xml:space="preserve"> ombudsperson, and removing the Consent Decree’s sunset provision.</w:t>
      </w:r>
      <w:r w:rsidR="001A1796">
        <w:rPr>
          <w:rStyle w:val="FootnoteReference"/>
          <w:rFonts w:ascii="Times New Roman" w:hAnsi="Times New Roman"/>
          <w:sz w:val="24"/>
          <w:szCs w:val="24"/>
        </w:rPr>
        <w:footnoteReference w:id="4"/>
      </w:r>
      <w:r w:rsidR="00D90F43">
        <w:rPr>
          <w:rFonts w:ascii="Times New Roman" w:hAnsi="Times New Roman"/>
          <w:sz w:val="24"/>
          <w:szCs w:val="24"/>
        </w:rPr>
        <w:t xml:space="preserve"> T</w:t>
      </w:r>
      <w:r>
        <w:rPr>
          <w:rFonts w:ascii="Times New Roman" w:hAnsi="Times New Roman"/>
          <w:sz w:val="24"/>
          <w:szCs w:val="24"/>
        </w:rPr>
        <w:t xml:space="preserve">he Mold Ombudsperson is responsible for receiving complaints from </w:t>
      </w:r>
      <w:r w:rsidR="00D27AD3">
        <w:rPr>
          <w:rFonts w:ascii="Times New Roman" w:hAnsi="Times New Roman"/>
          <w:sz w:val="24"/>
          <w:szCs w:val="24"/>
        </w:rPr>
        <w:t>NYCHA tenants</w:t>
      </w:r>
      <w:r>
        <w:rPr>
          <w:rFonts w:ascii="Times New Roman" w:hAnsi="Times New Roman"/>
          <w:sz w:val="24"/>
          <w:szCs w:val="24"/>
        </w:rPr>
        <w:t xml:space="preserve"> through its Ombudsperson Call Center</w:t>
      </w:r>
      <w:r w:rsidR="00D90F43">
        <w:rPr>
          <w:rFonts w:ascii="Times New Roman" w:hAnsi="Times New Roman"/>
          <w:sz w:val="24"/>
          <w:szCs w:val="24"/>
        </w:rPr>
        <w:t xml:space="preserve"> when NYCHA fails to comply with the terms of the </w:t>
      </w:r>
      <w:r w:rsidR="00312FB1">
        <w:rPr>
          <w:rFonts w:ascii="Times New Roman" w:hAnsi="Times New Roman"/>
          <w:sz w:val="24"/>
          <w:szCs w:val="24"/>
        </w:rPr>
        <w:t>Consent Decree</w:t>
      </w:r>
      <w:r w:rsidR="00D27AD3">
        <w:rPr>
          <w:rFonts w:ascii="Times New Roman" w:hAnsi="Times New Roman"/>
          <w:sz w:val="24"/>
          <w:szCs w:val="24"/>
        </w:rPr>
        <w:t>, and after NYCHA tenants have exhausted ordinary channels to address mold and excessive moisture concerns</w:t>
      </w:r>
      <w:r>
        <w:rPr>
          <w:rFonts w:ascii="Times New Roman" w:hAnsi="Times New Roman"/>
          <w:sz w:val="24"/>
          <w:szCs w:val="24"/>
        </w:rPr>
        <w:t>.</w:t>
      </w:r>
      <w:r w:rsidR="00DD208D">
        <w:rPr>
          <w:rStyle w:val="FootnoteReference"/>
          <w:rFonts w:ascii="Times New Roman" w:hAnsi="Times New Roman"/>
          <w:sz w:val="24"/>
          <w:szCs w:val="24"/>
        </w:rPr>
        <w:footnoteReference w:id="5"/>
      </w:r>
      <w:r>
        <w:rPr>
          <w:rFonts w:ascii="Times New Roman" w:hAnsi="Times New Roman"/>
          <w:sz w:val="24"/>
          <w:szCs w:val="24"/>
        </w:rPr>
        <w:t xml:space="preserve"> </w:t>
      </w:r>
    </w:p>
    <w:p w:rsidR="00787B18" w:rsidRPr="00F00118" w:rsidRDefault="00787B18" w:rsidP="0029410B">
      <w:pPr>
        <w:suppressLineNumbers/>
        <w:spacing w:after="0" w:line="480" w:lineRule="auto"/>
        <w:ind w:firstLine="720"/>
        <w:jc w:val="both"/>
        <w:rPr>
          <w:rFonts w:eastAsia="Times New Roman"/>
          <w:color w:val="000000"/>
          <w:szCs w:val="24"/>
        </w:rPr>
      </w:pPr>
      <w:r>
        <w:rPr>
          <w:rFonts w:eastAsia="Times New Roman"/>
          <w:color w:val="000000"/>
          <w:szCs w:val="24"/>
        </w:rPr>
        <w:t>Int. No. 1911-A</w:t>
      </w:r>
      <w:r w:rsidRPr="00455027">
        <w:rPr>
          <w:rFonts w:eastAsia="Times New Roman"/>
          <w:color w:val="000000"/>
          <w:szCs w:val="24"/>
        </w:rPr>
        <w:t xml:space="preserve"> would require an office or agency designated by the Mayor to </w:t>
      </w:r>
      <w:r>
        <w:rPr>
          <w:rFonts w:eastAsia="Times New Roman"/>
          <w:color w:val="000000"/>
          <w:szCs w:val="24"/>
        </w:rPr>
        <w:t>distribute</w:t>
      </w:r>
      <w:r w:rsidRPr="00455027">
        <w:rPr>
          <w:rFonts w:eastAsia="Times New Roman"/>
          <w:color w:val="000000"/>
          <w:szCs w:val="24"/>
        </w:rPr>
        <w:t xml:space="preserve"> to each tenant of </w:t>
      </w:r>
      <w:r>
        <w:rPr>
          <w:rFonts w:eastAsia="Times New Roman"/>
          <w:color w:val="000000"/>
          <w:szCs w:val="24"/>
        </w:rPr>
        <w:t>NYCHA</w:t>
      </w:r>
      <w:r w:rsidRPr="00455027">
        <w:rPr>
          <w:rFonts w:eastAsia="Times New Roman"/>
          <w:color w:val="000000"/>
          <w:szCs w:val="24"/>
        </w:rPr>
        <w:t xml:space="preserve"> a pamphlet </w:t>
      </w:r>
      <w:r>
        <w:rPr>
          <w:rFonts w:eastAsia="Times New Roman"/>
          <w:color w:val="000000"/>
          <w:szCs w:val="24"/>
        </w:rPr>
        <w:t xml:space="preserve">or other printed document </w:t>
      </w:r>
      <w:r w:rsidRPr="00455027">
        <w:rPr>
          <w:rFonts w:eastAsia="Times New Roman"/>
          <w:color w:val="000000"/>
          <w:szCs w:val="24"/>
        </w:rPr>
        <w:t xml:space="preserve">that contains information about the </w:t>
      </w:r>
      <w:r w:rsidR="00F00118">
        <w:rPr>
          <w:rFonts w:eastAsia="Times New Roman"/>
          <w:color w:val="000000"/>
          <w:szCs w:val="24"/>
        </w:rPr>
        <w:t>mold o</w:t>
      </w:r>
      <w:r w:rsidRPr="00455027">
        <w:rPr>
          <w:rFonts w:eastAsia="Times New Roman"/>
          <w:color w:val="000000"/>
          <w:szCs w:val="24"/>
        </w:rPr>
        <w:t>mbudsperson, the mold ombudsperson’s call center, and how to make a complaint to the mold ombudsperson. The office would also be required to</w:t>
      </w:r>
      <w:r>
        <w:rPr>
          <w:rFonts w:eastAsia="Times New Roman"/>
          <w:color w:val="000000"/>
          <w:szCs w:val="24"/>
        </w:rPr>
        <w:t xml:space="preserve"> communicate this information to each tenant by telephone. For tenants enrolled in electronic billing, the</w:t>
      </w:r>
      <w:r w:rsidR="00312FB1">
        <w:rPr>
          <w:rFonts w:eastAsia="Times New Roman"/>
          <w:color w:val="000000"/>
          <w:szCs w:val="24"/>
        </w:rPr>
        <w:t xml:space="preserve"> designated</w:t>
      </w:r>
      <w:r>
        <w:rPr>
          <w:rFonts w:eastAsia="Times New Roman"/>
          <w:color w:val="000000"/>
          <w:szCs w:val="24"/>
        </w:rPr>
        <w:t xml:space="preserve"> office can opt to send the information via e-mail instead of distributing a paper copy.</w:t>
      </w:r>
      <w:r w:rsidRPr="00455027">
        <w:rPr>
          <w:rFonts w:eastAsia="Times New Roman"/>
          <w:color w:val="000000"/>
          <w:szCs w:val="24"/>
        </w:rPr>
        <w:t xml:space="preserve"> </w:t>
      </w:r>
      <w:r>
        <w:rPr>
          <w:rFonts w:eastAsia="Times New Roman"/>
          <w:color w:val="000000"/>
          <w:szCs w:val="24"/>
        </w:rPr>
        <w:t>Int. No. 1911-A also requires the designated office to distribute</w:t>
      </w:r>
      <w:r w:rsidRPr="00455027">
        <w:rPr>
          <w:rFonts w:eastAsia="Times New Roman"/>
          <w:color w:val="000000"/>
          <w:szCs w:val="24"/>
        </w:rPr>
        <w:t xml:space="preserve"> such pamphlet to </w:t>
      </w:r>
      <w:r>
        <w:rPr>
          <w:rFonts w:eastAsia="Times New Roman"/>
          <w:color w:val="000000"/>
          <w:szCs w:val="24"/>
        </w:rPr>
        <w:t>certain</w:t>
      </w:r>
      <w:r w:rsidRPr="00455027">
        <w:rPr>
          <w:rFonts w:eastAsia="Times New Roman"/>
          <w:color w:val="000000"/>
          <w:szCs w:val="24"/>
        </w:rPr>
        <w:t xml:space="preserve"> elected officials and community representatives</w:t>
      </w:r>
      <w:r>
        <w:rPr>
          <w:rFonts w:eastAsia="Times New Roman"/>
          <w:color w:val="000000"/>
          <w:szCs w:val="24"/>
        </w:rPr>
        <w:t>,</w:t>
      </w:r>
      <w:r w:rsidRPr="00455027">
        <w:rPr>
          <w:rFonts w:eastAsia="Times New Roman"/>
          <w:color w:val="000000"/>
          <w:szCs w:val="24"/>
        </w:rPr>
        <w:t xml:space="preserve"> and </w:t>
      </w:r>
      <w:r>
        <w:rPr>
          <w:rFonts w:eastAsia="Times New Roman"/>
          <w:color w:val="000000"/>
          <w:szCs w:val="24"/>
        </w:rPr>
        <w:t xml:space="preserve">to </w:t>
      </w:r>
      <w:r w:rsidRPr="00455027">
        <w:rPr>
          <w:rFonts w:eastAsia="Times New Roman"/>
          <w:color w:val="000000"/>
          <w:szCs w:val="24"/>
        </w:rPr>
        <w:t>hold a public briefing at least once a year to</w:t>
      </w:r>
      <w:r w:rsidR="00F00118">
        <w:rPr>
          <w:rFonts w:eastAsia="Times New Roman"/>
          <w:color w:val="000000"/>
          <w:szCs w:val="24"/>
        </w:rPr>
        <w:t xml:space="preserve"> provide information about the mold o</w:t>
      </w:r>
      <w:r w:rsidRPr="00455027">
        <w:rPr>
          <w:rFonts w:eastAsia="Times New Roman"/>
          <w:color w:val="000000"/>
          <w:szCs w:val="24"/>
        </w:rPr>
        <w:t>mbudsperson.</w:t>
      </w:r>
    </w:p>
    <w:p w:rsidR="0090502C" w:rsidRDefault="0090502C" w:rsidP="00787B18">
      <w:pPr>
        <w:suppressLineNumbers/>
        <w:spacing w:line="480" w:lineRule="auto"/>
        <w:ind w:firstLine="720"/>
        <w:jc w:val="both"/>
      </w:pPr>
      <w:r>
        <w:t>This legislation would take effect immediately</w:t>
      </w:r>
      <w:r w:rsidR="00787B18">
        <w:t xml:space="preserve"> and would expire and be deemed repealed on the date that the mold ombudsperson or any subsequently appointed person with similar duties ceases to be appointed</w:t>
      </w:r>
      <w:r>
        <w:t>.</w:t>
      </w:r>
    </w:p>
    <w:p w:rsidR="00711FCF" w:rsidRDefault="00711FCF" w:rsidP="00711FCF">
      <w:pPr>
        <w:suppressLineNumbers/>
        <w:spacing w:line="480" w:lineRule="auto"/>
        <w:jc w:val="center"/>
      </w:pPr>
      <w:r>
        <w:rPr>
          <w:b/>
          <w:u w:val="single"/>
        </w:rPr>
        <w:t>Update</w:t>
      </w:r>
    </w:p>
    <w:p w:rsidR="00711FCF" w:rsidRDefault="00711FCF" w:rsidP="00711FCF">
      <w:pPr>
        <w:suppressLineNumbers/>
        <w:spacing w:line="480" w:lineRule="auto"/>
        <w:ind w:firstLine="720"/>
        <w:contextualSpacing/>
      </w:pPr>
      <w:r>
        <w:t xml:space="preserve">On Thursday, December 10, 2020, the Committee adopted </w:t>
      </w:r>
      <w:r w:rsidRPr="00F10FB6">
        <w:t xml:space="preserve">Int. No. </w:t>
      </w:r>
      <w:r>
        <w:t xml:space="preserve">1911-A by a vote of </w:t>
      </w:r>
      <w:r w:rsidR="00CC54E8">
        <w:t>ten</w:t>
      </w:r>
      <w:r>
        <w:t xml:space="preserve"> in the affirmative, zero in the negative, and zero abstentions.</w:t>
      </w:r>
    </w:p>
    <w:p w:rsidR="00711FCF" w:rsidRDefault="00711FCF" w:rsidP="00711FCF">
      <w:pPr>
        <w:suppressLineNumbers/>
        <w:spacing w:line="480" w:lineRule="auto"/>
        <w:jc w:val="both"/>
      </w:pPr>
    </w:p>
    <w:p w:rsidR="00CD6309" w:rsidRDefault="00CD6309" w:rsidP="008D5707">
      <w:pPr>
        <w:widowControl w:val="0"/>
        <w:suppressLineNumbers/>
      </w:pPr>
      <w:r>
        <w:br w:type="page"/>
      </w:r>
    </w:p>
    <w:p w:rsidR="007978D0" w:rsidRDefault="007978D0" w:rsidP="007978D0">
      <w:pPr>
        <w:suppressLineNumbers/>
        <w:jc w:val="center"/>
      </w:pPr>
    </w:p>
    <w:p w:rsidR="007978D0" w:rsidRDefault="007978D0" w:rsidP="007978D0">
      <w:pPr>
        <w:suppressLineNumbers/>
      </w:pPr>
    </w:p>
    <w:p w:rsidR="007978D0" w:rsidRDefault="007978D0"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0444C2" w:rsidRDefault="000444C2" w:rsidP="007978D0">
      <w:pPr>
        <w:suppressLineNumbers/>
        <w:jc w:val="center"/>
      </w:pPr>
    </w:p>
    <w:p w:rsidR="000444C2" w:rsidRDefault="000444C2" w:rsidP="007978D0">
      <w:pPr>
        <w:suppressLineNumbers/>
        <w:jc w:val="center"/>
      </w:pPr>
    </w:p>
    <w:p w:rsidR="000444C2" w:rsidRDefault="000444C2" w:rsidP="007978D0">
      <w:pPr>
        <w:suppressLineNumbers/>
        <w:jc w:val="center"/>
      </w:pPr>
    </w:p>
    <w:p w:rsidR="000F3D63" w:rsidRDefault="000F3D63" w:rsidP="007978D0">
      <w:pPr>
        <w:suppressLineNumbers/>
        <w:jc w:val="center"/>
      </w:pPr>
    </w:p>
    <w:p w:rsidR="000F3D63" w:rsidRDefault="000F3D63" w:rsidP="007978D0">
      <w:pPr>
        <w:suppressLineNumbers/>
        <w:jc w:val="center"/>
      </w:pPr>
    </w:p>
    <w:p w:rsidR="007978D0" w:rsidRDefault="007978D0" w:rsidP="007978D0">
      <w:pPr>
        <w:suppressLineNumbers/>
        <w:jc w:val="center"/>
      </w:pPr>
      <w:r>
        <w:t>[THIS PAGE INTENTIONALLY LEFT BLANK]</w:t>
      </w: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7978D0" w:rsidRDefault="007978D0" w:rsidP="007978D0">
      <w:pPr>
        <w:suppressLineNumbers/>
        <w:jc w:val="center"/>
      </w:pPr>
    </w:p>
    <w:p w:rsidR="0029410B" w:rsidRDefault="0029410B" w:rsidP="0029410B">
      <w:pPr>
        <w:suppressLineNumbers/>
      </w:pPr>
      <w:r>
        <w:br w:type="page"/>
      </w:r>
    </w:p>
    <w:p w:rsidR="001931EB" w:rsidRPr="00173B6A" w:rsidRDefault="001931EB" w:rsidP="001931EB">
      <w:pPr>
        <w:suppressLineNumbers/>
        <w:spacing w:after="0" w:line="240" w:lineRule="auto"/>
        <w:jc w:val="center"/>
        <w:rPr>
          <w:rFonts w:eastAsia="Times New Roman" w:cs="Times New Roman"/>
          <w:szCs w:val="24"/>
        </w:rPr>
      </w:pPr>
      <w:r w:rsidRPr="00173B6A">
        <w:rPr>
          <w:rFonts w:eastAsia="Times New Roman" w:cs="Times New Roman"/>
          <w:szCs w:val="24"/>
        </w:rPr>
        <w:t>Int. No.</w:t>
      </w:r>
      <w:r>
        <w:rPr>
          <w:rFonts w:eastAsia="Times New Roman" w:cs="Times New Roman"/>
          <w:szCs w:val="24"/>
        </w:rPr>
        <w:t xml:space="preserve"> 1911-A</w:t>
      </w:r>
    </w:p>
    <w:p w:rsidR="001931EB" w:rsidRPr="00173B6A" w:rsidRDefault="001931EB" w:rsidP="001931EB">
      <w:pPr>
        <w:suppressLineNumbers/>
        <w:spacing w:after="0" w:line="240" w:lineRule="auto"/>
        <w:jc w:val="center"/>
        <w:rPr>
          <w:rFonts w:eastAsia="Times New Roman" w:cs="Times New Roman"/>
          <w:szCs w:val="24"/>
        </w:rPr>
      </w:pPr>
    </w:p>
    <w:p w:rsidR="001931EB" w:rsidRDefault="001931EB" w:rsidP="001931EB">
      <w:pPr>
        <w:suppressLineNumbers/>
        <w:spacing w:after="0" w:line="240" w:lineRule="auto"/>
        <w:jc w:val="both"/>
        <w:rPr>
          <w:rFonts w:eastAsia="Times New Roman" w:cs="Times New Roman"/>
          <w:szCs w:val="24"/>
        </w:rPr>
      </w:pPr>
      <w:r>
        <w:rPr>
          <w:rFonts w:eastAsia="Times New Roman" w:cs="Times New Roman"/>
          <w:szCs w:val="24"/>
        </w:rPr>
        <w:t>By Council Members Torres, Ampry-Samuel, Ayala, Gibson, Rosenthal and Barron</w:t>
      </w:r>
    </w:p>
    <w:p w:rsidR="001931EB" w:rsidRPr="00173B6A" w:rsidRDefault="001931EB" w:rsidP="001931EB">
      <w:pPr>
        <w:suppressLineNumbers/>
        <w:spacing w:after="0" w:line="240" w:lineRule="auto"/>
        <w:jc w:val="both"/>
        <w:rPr>
          <w:rFonts w:eastAsia="Times New Roman" w:cs="Times New Roman"/>
          <w:szCs w:val="24"/>
        </w:rPr>
      </w:pPr>
    </w:p>
    <w:p w:rsidR="001931EB" w:rsidRPr="0085253D" w:rsidRDefault="001931EB" w:rsidP="001931EB">
      <w:pPr>
        <w:suppressLineNumbers/>
        <w:spacing w:after="0" w:line="240" w:lineRule="auto"/>
        <w:jc w:val="both"/>
        <w:rPr>
          <w:rFonts w:eastAsia="Times New Roman" w:cs="Times New Roman"/>
          <w:vanish/>
          <w:szCs w:val="24"/>
        </w:rPr>
      </w:pPr>
      <w:r w:rsidRPr="0085253D">
        <w:rPr>
          <w:rFonts w:eastAsia="Times New Roman" w:cs="Times New Roman"/>
          <w:vanish/>
          <w:szCs w:val="24"/>
        </w:rPr>
        <w:t>..Title</w:t>
      </w:r>
    </w:p>
    <w:p w:rsidR="001931EB" w:rsidRDefault="001931EB" w:rsidP="001931EB">
      <w:pPr>
        <w:suppressLineNumbers/>
        <w:spacing w:after="0" w:line="240" w:lineRule="auto"/>
        <w:jc w:val="both"/>
        <w:rPr>
          <w:rFonts w:eastAsia="Times New Roman" w:cs="Times New Roman"/>
          <w:szCs w:val="24"/>
        </w:rPr>
      </w:pPr>
      <w:r>
        <w:rPr>
          <w:rFonts w:eastAsia="Times New Roman" w:cs="Times New Roman"/>
          <w:szCs w:val="24"/>
        </w:rPr>
        <w:t>A Local Law i</w:t>
      </w:r>
      <w:r w:rsidRPr="00173B6A">
        <w:rPr>
          <w:rFonts w:eastAsia="Times New Roman" w:cs="Times New Roman"/>
          <w:szCs w:val="24"/>
        </w:rPr>
        <w:t xml:space="preserve">n relation to </w:t>
      </w:r>
      <w:r>
        <w:rPr>
          <w:rFonts w:eastAsia="Times New Roman" w:cs="Times New Roman"/>
          <w:szCs w:val="24"/>
        </w:rPr>
        <w:t>the provision of information to tenants of the New York city housing authority regarding the mold ombudsperson</w:t>
      </w:r>
    </w:p>
    <w:p w:rsidR="001931EB" w:rsidRPr="0085253D" w:rsidRDefault="001931EB" w:rsidP="001931EB">
      <w:pPr>
        <w:suppressLineNumbers/>
        <w:spacing w:after="0" w:line="240" w:lineRule="auto"/>
        <w:jc w:val="both"/>
        <w:rPr>
          <w:rFonts w:eastAsia="Times New Roman" w:cs="Times New Roman"/>
          <w:vanish/>
          <w:szCs w:val="24"/>
        </w:rPr>
      </w:pPr>
      <w:r w:rsidRPr="0085253D">
        <w:rPr>
          <w:rFonts w:eastAsia="Times New Roman" w:cs="Times New Roman"/>
          <w:vanish/>
          <w:szCs w:val="24"/>
        </w:rPr>
        <w:t>..Body</w:t>
      </w:r>
    </w:p>
    <w:p w:rsidR="001931EB" w:rsidRPr="00173B6A" w:rsidRDefault="001931EB" w:rsidP="001931EB">
      <w:pPr>
        <w:suppressLineNumbers/>
        <w:spacing w:after="0" w:line="240" w:lineRule="auto"/>
        <w:jc w:val="both"/>
        <w:rPr>
          <w:rFonts w:eastAsia="Times New Roman" w:cs="Times New Roman"/>
          <w:szCs w:val="24"/>
          <w:u w:val="single"/>
        </w:rPr>
      </w:pPr>
    </w:p>
    <w:p w:rsidR="001931EB" w:rsidRPr="00173B6A" w:rsidRDefault="001931EB" w:rsidP="001931EB">
      <w:pPr>
        <w:suppressLineNumbers/>
        <w:spacing w:after="0" w:line="240" w:lineRule="auto"/>
        <w:jc w:val="both"/>
        <w:rPr>
          <w:rFonts w:eastAsia="Times New Roman" w:cs="Times New Roman"/>
          <w:szCs w:val="24"/>
        </w:rPr>
      </w:pPr>
      <w:r w:rsidRPr="00173B6A">
        <w:rPr>
          <w:rFonts w:eastAsia="Times New Roman" w:cs="Times New Roman"/>
          <w:szCs w:val="24"/>
          <w:u w:val="single"/>
        </w:rPr>
        <w:t>Be it enacted by the Council as follows:</w:t>
      </w:r>
    </w:p>
    <w:p w:rsidR="001931EB" w:rsidRPr="00173B6A" w:rsidRDefault="001931EB" w:rsidP="001931EB">
      <w:pPr>
        <w:suppressLineNumbers/>
        <w:spacing w:after="0" w:line="240" w:lineRule="auto"/>
        <w:ind w:firstLine="720"/>
        <w:jc w:val="both"/>
        <w:rPr>
          <w:rFonts w:eastAsia="Times New Roman" w:cs="Times New Roman"/>
          <w:szCs w:val="24"/>
        </w:rPr>
      </w:pPr>
    </w:p>
    <w:p w:rsidR="001931EB" w:rsidRPr="00173B6A" w:rsidRDefault="001931EB" w:rsidP="001931EB">
      <w:pPr>
        <w:spacing w:after="0" w:line="480" w:lineRule="auto"/>
        <w:ind w:firstLine="720"/>
        <w:jc w:val="both"/>
        <w:rPr>
          <w:rFonts w:eastAsia="Times New Roman" w:cs="Times New Roman"/>
          <w:szCs w:val="24"/>
        </w:rPr>
      </w:pPr>
      <w:r w:rsidRPr="00173B6A">
        <w:rPr>
          <w:rFonts w:eastAsia="Times New Roman" w:cs="Times New Roman"/>
          <w:szCs w:val="24"/>
        </w:rPr>
        <w:t>Section 1. Definitions. For purposes of this local law, the following terms have the following meanings:</w:t>
      </w:r>
    </w:p>
    <w:p w:rsidR="001931EB" w:rsidRDefault="001931EB" w:rsidP="001931EB">
      <w:pPr>
        <w:spacing w:after="0" w:line="480" w:lineRule="auto"/>
        <w:ind w:firstLine="720"/>
        <w:jc w:val="both"/>
        <w:rPr>
          <w:rFonts w:eastAsia="Times New Roman" w:cs="Times New Roman"/>
          <w:szCs w:val="24"/>
        </w:rPr>
      </w:pPr>
      <w:r>
        <w:rPr>
          <w:rFonts w:eastAsia="Times New Roman" w:cs="Times New Roman"/>
          <w:szCs w:val="24"/>
        </w:rPr>
        <w:t>Call center. The term “call center” means the ombudsperson’s call center established pursuant to the court order.</w:t>
      </w:r>
    </w:p>
    <w:p w:rsidR="001931EB" w:rsidRDefault="001931EB" w:rsidP="001931EB">
      <w:pPr>
        <w:spacing w:after="0" w:line="480" w:lineRule="auto"/>
        <w:ind w:firstLine="720"/>
        <w:jc w:val="both"/>
        <w:rPr>
          <w:rFonts w:eastAsia="Times New Roman" w:cs="Times New Roman"/>
          <w:szCs w:val="24"/>
        </w:rPr>
      </w:pPr>
      <w:r w:rsidRPr="00173B6A">
        <w:rPr>
          <w:rFonts w:eastAsia="Times New Roman" w:cs="Times New Roman"/>
          <w:szCs w:val="24"/>
        </w:rPr>
        <w:t>City. The term “city” means the city of New York.</w:t>
      </w:r>
    </w:p>
    <w:p w:rsidR="001931EB" w:rsidRDefault="001931EB" w:rsidP="001931EB">
      <w:pPr>
        <w:spacing w:after="0" w:line="480" w:lineRule="auto"/>
        <w:ind w:firstLine="720"/>
        <w:jc w:val="both"/>
        <w:rPr>
          <w:rFonts w:eastAsia="Times New Roman" w:cs="Times New Roman"/>
          <w:szCs w:val="24"/>
        </w:rPr>
      </w:pPr>
      <w:r>
        <w:rPr>
          <w:rFonts w:eastAsia="Times New Roman" w:cs="Times New Roman"/>
          <w:szCs w:val="24"/>
        </w:rPr>
        <w:t xml:space="preserve">Court order. The term “court order” means the court order issued on September 20, 2019 in the case </w:t>
      </w:r>
      <w:r w:rsidRPr="00045EBA">
        <w:rPr>
          <w:rFonts w:eastAsia="Times New Roman" w:cs="Times New Roman"/>
          <w:szCs w:val="24"/>
        </w:rPr>
        <w:t>Baez et al</w:t>
      </w:r>
      <w:r>
        <w:rPr>
          <w:rFonts w:eastAsia="Times New Roman" w:cs="Times New Roman"/>
          <w:szCs w:val="24"/>
        </w:rPr>
        <w:t>.</w:t>
      </w:r>
      <w:r w:rsidRPr="00045EBA">
        <w:rPr>
          <w:rFonts w:eastAsia="Times New Roman" w:cs="Times New Roman"/>
          <w:szCs w:val="24"/>
        </w:rPr>
        <w:t xml:space="preserve"> v. New York City Housing Authority</w:t>
      </w:r>
      <w:r>
        <w:rPr>
          <w:rFonts w:eastAsia="Times New Roman" w:cs="Times New Roman"/>
          <w:szCs w:val="24"/>
        </w:rPr>
        <w:t xml:space="preserve"> by the United States district court in the southern district of New York.</w:t>
      </w:r>
    </w:p>
    <w:p w:rsidR="001931EB" w:rsidRDefault="001931EB" w:rsidP="001931EB">
      <w:pPr>
        <w:spacing w:after="0" w:line="480" w:lineRule="auto"/>
        <w:ind w:firstLine="720"/>
        <w:jc w:val="both"/>
        <w:rPr>
          <w:rFonts w:eastAsia="Times New Roman" w:cs="Times New Roman"/>
          <w:szCs w:val="24"/>
        </w:rPr>
      </w:pPr>
      <w:r>
        <w:rPr>
          <w:rFonts w:eastAsia="Times New Roman" w:cs="Times New Roman"/>
          <w:szCs w:val="24"/>
        </w:rPr>
        <w:t>Elected officials and community representatives. The term “elected officials and community representatives” means each council member, borough president and community board in the city, each state senator and state assembly member representing a district that is wholly or partly within the city, each United States congress member representing a district that is wholly or partly within the city, and each tenant organization and community-based organization identified by the office as providing services to tenants.</w:t>
      </w:r>
    </w:p>
    <w:p w:rsidR="001931EB" w:rsidRDefault="001931EB" w:rsidP="001931EB">
      <w:pPr>
        <w:spacing w:after="0" w:line="480" w:lineRule="auto"/>
        <w:ind w:firstLine="720"/>
        <w:jc w:val="both"/>
        <w:rPr>
          <w:rFonts w:eastAsia="Times New Roman" w:cs="Times New Roman"/>
          <w:szCs w:val="24"/>
        </w:rPr>
      </w:pPr>
      <w:r>
        <w:rPr>
          <w:rFonts w:eastAsia="Times New Roman" w:cs="Times New Roman"/>
          <w:szCs w:val="24"/>
        </w:rPr>
        <w:t xml:space="preserve">Mold </w:t>
      </w:r>
      <w:r w:rsidRPr="000C4ECC">
        <w:rPr>
          <w:rFonts w:eastAsia="Times New Roman" w:cs="Times New Roman"/>
          <w:szCs w:val="24"/>
        </w:rPr>
        <w:t>ombudsperson</w:t>
      </w:r>
      <w:r>
        <w:rPr>
          <w:rFonts w:eastAsia="Times New Roman" w:cs="Times New Roman"/>
          <w:szCs w:val="24"/>
        </w:rPr>
        <w:t>. The term “mold ombudsperson” means the ombudsperson appointed pursuant to the court order</w:t>
      </w:r>
      <w:r w:rsidRPr="00664B40">
        <w:rPr>
          <w:rFonts w:eastAsia="Times New Roman" w:cs="Times New Roman"/>
          <w:szCs w:val="24"/>
        </w:rPr>
        <w:t xml:space="preserve"> </w:t>
      </w:r>
      <w:r>
        <w:rPr>
          <w:rFonts w:eastAsia="Times New Roman" w:cs="Times New Roman"/>
          <w:szCs w:val="24"/>
        </w:rPr>
        <w:t>or any subsequently appointed person with similar duties.</w:t>
      </w:r>
    </w:p>
    <w:p w:rsidR="001931EB" w:rsidRDefault="001931EB" w:rsidP="001931EB">
      <w:pPr>
        <w:spacing w:after="0" w:line="480" w:lineRule="auto"/>
        <w:ind w:firstLine="720"/>
        <w:jc w:val="both"/>
        <w:rPr>
          <w:rFonts w:eastAsia="Times New Roman" w:cs="Times New Roman"/>
          <w:szCs w:val="24"/>
        </w:rPr>
      </w:pPr>
      <w:r w:rsidRPr="00173B6A">
        <w:rPr>
          <w:rFonts w:eastAsia="Times New Roman" w:cs="Times New Roman"/>
          <w:szCs w:val="24"/>
        </w:rPr>
        <w:t xml:space="preserve">§ 2. </w:t>
      </w:r>
      <w:r>
        <w:rPr>
          <w:rFonts w:eastAsia="Times New Roman" w:cs="Times New Roman"/>
          <w:szCs w:val="24"/>
        </w:rPr>
        <w:t>Provision of information about the mold ombudsperson</w:t>
      </w:r>
      <w:r w:rsidRPr="00173B6A">
        <w:rPr>
          <w:rFonts w:eastAsia="Times New Roman" w:cs="Times New Roman"/>
          <w:szCs w:val="24"/>
        </w:rPr>
        <w:t>. T</w:t>
      </w:r>
      <w:r>
        <w:rPr>
          <w:rFonts w:eastAsia="Times New Roman" w:cs="Times New Roman"/>
          <w:szCs w:val="24"/>
        </w:rPr>
        <w:t>he mayor shall designate an office or agency to distribute to each unit in a development of the New York city housing authority a non-electronic pamphlet, flyer or other printed material containing information about the mold ombudsperson and the right of a tenant of the New York city housing authority to contact the mold ombudsperson</w:t>
      </w:r>
      <w:r w:rsidRPr="00173B6A">
        <w:rPr>
          <w:rFonts w:eastAsia="Times New Roman" w:cs="Times New Roman"/>
          <w:szCs w:val="24"/>
        </w:rPr>
        <w:t>.</w:t>
      </w:r>
      <w:r>
        <w:rPr>
          <w:rFonts w:eastAsia="Times New Roman" w:cs="Times New Roman"/>
          <w:szCs w:val="24"/>
        </w:rPr>
        <w:t xml:space="preserve"> Such pamphlet, flyer or other printed material shall include information </w:t>
      </w:r>
      <w:r w:rsidRPr="00067E75">
        <w:rPr>
          <w:rFonts w:eastAsia="Times New Roman" w:cs="Times New Roman"/>
          <w:szCs w:val="24"/>
        </w:rPr>
        <w:t>in Engl</w:t>
      </w:r>
      <w:r>
        <w:rPr>
          <w:rFonts w:eastAsia="Times New Roman" w:cs="Times New Roman"/>
          <w:szCs w:val="24"/>
        </w:rPr>
        <w:t xml:space="preserve">ish and each of the designated </w:t>
      </w:r>
      <w:r w:rsidRPr="00067E75">
        <w:rPr>
          <w:rFonts w:eastAsia="Times New Roman" w:cs="Times New Roman"/>
          <w:szCs w:val="24"/>
        </w:rPr>
        <w:t>citywide languages</w:t>
      </w:r>
      <w:r>
        <w:rPr>
          <w:rFonts w:eastAsia="Times New Roman" w:cs="Times New Roman"/>
          <w:szCs w:val="24"/>
        </w:rPr>
        <w:t>,</w:t>
      </w:r>
      <w:r w:rsidRPr="00067E75">
        <w:rPr>
          <w:rFonts w:eastAsia="Times New Roman" w:cs="Times New Roman"/>
          <w:szCs w:val="24"/>
        </w:rPr>
        <w:t xml:space="preserve"> as defined in section 23-1101 of the administrative code</w:t>
      </w:r>
      <w:r>
        <w:rPr>
          <w:rFonts w:eastAsia="Times New Roman" w:cs="Times New Roman"/>
          <w:szCs w:val="24"/>
        </w:rPr>
        <w:t xml:space="preserve"> of the city of New York, about how to contact the mold ombudsperson, including through the call center, with a complaint about mold and what information to include in such complaint. </w:t>
      </w:r>
      <w:r w:rsidRPr="0027311A">
        <w:rPr>
          <w:rFonts w:eastAsia="Times New Roman" w:cs="Times New Roman"/>
          <w:szCs w:val="24"/>
        </w:rPr>
        <w:t>Such pamphlet</w:t>
      </w:r>
      <w:r>
        <w:rPr>
          <w:rFonts w:eastAsia="Times New Roman" w:cs="Times New Roman"/>
          <w:szCs w:val="24"/>
        </w:rPr>
        <w:t>, flyer or other printed material</w:t>
      </w:r>
      <w:r w:rsidRPr="0027311A">
        <w:rPr>
          <w:rFonts w:eastAsia="Times New Roman" w:cs="Times New Roman"/>
          <w:szCs w:val="24"/>
        </w:rPr>
        <w:t xml:space="preserve"> shall be provided to each </w:t>
      </w:r>
      <w:r>
        <w:rPr>
          <w:rFonts w:eastAsia="Times New Roman" w:cs="Times New Roman"/>
          <w:szCs w:val="24"/>
        </w:rPr>
        <w:t xml:space="preserve">unit in a development of the New York city housing authority and to each elected official and community representative </w:t>
      </w:r>
      <w:r w:rsidRPr="0027311A">
        <w:rPr>
          <w:rFonts w:eastAsia="Times New Roman" w:cs="Times New Roman"/>
          <w:szCs w:val="24"/>
        </w:rPr>
        <w:t>no later than 60 days after the effective date of this local law</w:t>
      </w:r>
      <w:r>
        <w:rPr>
          <w:rFonts w:eastAsia="Times New Roman" w:cs="Times New Roman"/>
          <w:szCs w:val="24"/>
        </w:rPr>
        <w:t>. Thereafter, such pamphlet, flyer or other printed material shall be provided to each unit in a development of the New York city housing authority and to each elected official and community representative at least annually. The designated office shall additionally communicate such information about the mold ombudsperson via telephonic communication at least once annually to each unit in a development of the New York city housing authority. For tenants who receive rent statements electronically, the designated office may distribute such pamphlet or flyer via electronic mail.</w:t>
      </w:r>
    </w:p>
    <w:p w:rsidR="001931EB" w:rsidRPr="00173B6A" w:rsidRDefault="001931EB" w:rsidP="001931EB">
      <w:pPr>
        <w:spacing w:after="0" w:line="480" w:lineRule="auto"/>
        <w:ind w:firstLine="720"/>
        <w:jc w:val="both"/>
        <w:rPr>
          <w:rFonts w:eastAsia="Times New Roman" w:cs="Times New Roman"/>
          <w:szCs w:val="24"/>
        </w:rPr>
      </w:pPr>
      <w:r>
        <w:rPr>
          <w:rFonts w:eastAsia="Times New Roman" w:cs="Times New Roman"/>
          <w:szCs w:val="24"/>
        </w:rPr>
        <w:t>§ 3</w:t>
      </w:r>
      <w:r w:rsidRPr="00173B6A">
        <w:rPr>
          <w:rFonts w:eastAsia="Times New Roman" w:cs="Times New Roman"/>
          <w:szCs w:val="24"/>
        </w:rPr>
        <w:t>.</w:t>
      </w:r>
      <w:r>
        <w:rPr>
          <w:rFonts w:eastAsia="Times New Roman" w:cs="Times New Roman"/>
          <w:szCs w:val="24"/>
        </w:rPr>
        <w:t xml:space="preserve"> Public briefing. N</w:t>
      </w:r>
      <w:r w:rsidRPr="0027311A">
        <w:rPr>
          <w:rFonts w:eastAsia="Times New Roman" w:cs="Times New Roman"/>
          <w:szCs w:val="24"/>
        </w:rPr>
        <w:t>o later than 60 days after the effective date of this local law,</w:t>
      </w:r>
      <w:r>
        <w:rPr>
          <w:rFonts w:eastAsia="Times New Roman" w:cs="Times New Roman"/>
          <w:szCs w:val="24"/>
        </w:rPr>
        <w:t xml:space="preserve"> and at least annually thereafter, the office or agency designated pursuant to section two shall hold a public briefing for elected officials and community representatives for the purpose of providing information about the functions and responsibilities of the mold ombudsperson.</w:t>
      </w:r>
    </w:p>
    <w:p w:rsidR="001931EB" w:rsidRPr="00173B6A" w:rsidRDefault="001931EB" w:rsidP="001931EB">
      <w:pPr>
        <w:spacing w:after="0" w:line="480" w:lineRule="auto"/>
        <w:ind w:firstLine="720"/>
        <w:jc w:val="both"/>
        <w:rPr>
          <w:rFonts w:eastAsia="Times New Roman" w:cs="Times New Roman"/>
          <w:szCs w:val="24"/>
        </w:rPr>
      </w:pPr>
      <w:r>
        <w:rPr>
          <w:rFonts w:eastAsia="Times New Roman" w:cs="Times New Roman"/>
          <w:szCs w:val="24"/>
        </w:rPr>
        <w:t>§ 4</w:t>
      </w:r>
      <w:r w:rsidRPr="00173B6A">
        <w:rPr>
          <w:rFonts w:eastAsia="Times New Roman" w:cs="Times New Roman"/>
          <w:szCs w:val="24"/>
        </w:rPr>
        <w:t>. This local law takes effect</w:t>
      </w:r>
      <w:r>
        <w:rPr>
          <w:rFonts w:eastAsia="Times New Roman" w:cs="Times New Roman"/>
          <w:szCs w:val="24"/>
        </w:rPr>
        <w:t xml:space="preserve"> immediately and </w:t>
      </w:r>
      <w:r w:rsidRPr="000C4ECC">
        <w:rPr>
          <w:rFonts w:eastAsia="Times New Roman" w:cs="Times New Roman"/>
          <w:szCs w:val="24"/>
        </w:rPr>
        <w:t xml:space="preserve">expires and </w:t>
      </w:r>
      <w:r>
        <w:rPr>
          <w:rFonts w:eastAsia="Times New Roman" w:cs="Times New Roman"/>
          <w:szCs w:val="24"/>
        </w:rPr>
        <w:t>is deemed repealed on the date that the mold ombudsperson or any subsequently appointed person with similar duties ceases to be appointed.</w:t>
      </w:r>
    </w:p>
    <w:p w:rsidR="001931EB" w:rsidRDefault="001931EB" w:rsidP="001931EB">
      <w:pPr>
        <w:suppressLineNumbers/>
        <w:spacing w:after="0" w:line="240" w:lineRule="auto"/>
        <w:jc w:val="both"/>
        <w:rPr>
          <w:rFonts w:eastAsia="Times New Roman" w:cs="Times New Roman"/>
          <w:sz w:val="18"/>
          <w:szCs w:val="18"/>
        </w:rPr>
      </w:pPr>
    </w:p>
    <w:p w:rsidR="001931EB" w:rsidRPr="00173B6A" w:rsidRDefault="001931EB" w:rsidP="001931EB">
      <w:pPr>
        <w:suppressLineNumbers/>
        <w:spacing w:after="0" w:line="240" w:lineRule="auto"/>
        <w:jc w:val="both"/>
        <w:rPr>
          <w:rFonts w:eastAsia="Times New Roman" w:cs="Times New Roman"/>
          <w:sz w:val="18"/>
          <w:szCs w:val="18"/>
        </w:rPr>
      </w:pPr>
      <w:r>
        <w:rPr>
          <w:rFonts w:eastAsia="Times New Roman" w:cs="Times New Roman"/>
          <w:sz w:val="18"/>
          <w:szCs w:val="18"/>
        </w:rPr>
        <w:t>NAB/AS</w:t>
      </w:r>
    </w:p>
    <w:p w:rsidR="001931EB" w:rsidRPr="00173B6A" w:rsidRDefault="001931EB" w:rsidP="001931EB">
      <w:pPr>
        <w:suppressLineNumbers/>
        <w:spacing w:after="0" w:line="240" w:lineRule="auto"/>
        <w:jc w:val="both"/>
        <w:rPr>
          <w:rFonts w:eastAsia="Times New Roman" w:cs="Times New Roman"/>
          <w:sz w:val="18"/>
          <w:szCs w:val="18"/>
        </w:rPr>
      </w:pPr>
      <w:r>
        <w:rPr>
          <w:rFonts w:eastAsia="Times New Roman" w:cs="Times New Roman"/>
          <w:sz w:val="18"/>
          <w:szCs w:val="18"/>
        </w:rPr>
        <w:t>LS #12389</w:t>
      </w:r>
    </w:p>
    <w:p w:rsidR="001931EB" w:rsidRDefault="001931EB" w:rsidP="001931EB">
      <w:pPr>
        <w:suppressLineNumbers/>
        <w:spacing w:after="0" w:line="300" w:lineRule="auto"/>
        <w:rPr>
          <w:rFonts w:cs="Times New Roman"/>
          <w:szCs w:val="24"/>
        </w:rPr>
      </w:pPr>
      <w:r>
        <w:rPr>
          <w:rFonts w:eastAsia="Times New Roman" w:cs="Times New Roman"/>
          <w:sz w:val="18"/>
          <w:szCs w:val="18"/>
        </w:rPr>
        <w:t>11/10/2020 7:52 pm</w:t>
      </w:r>
    </w:p>
    <w:p w:rsidR="00CD6309" w:rsidRPr="008D5707" w:rsidRDefault="00CD6309" w:rsidP="001931EB">
      <w:pPr>
        <w:suppressLineNumbers/>
        <w:jc w:val="center"/>
      </w:pPr>
    </w:p>
    <w:sectPr w:rsidR="00CD6309" w:rsidRPr="008D5707" w:rsidSect="00762D1B">
      <w:headerReference w:type="even" r:id="rId9"/>
      <w:headerReference w:type="default" r:id="rId10"/>
      <w:footerReference w:type="default" r:id="rId11"/>
      <w:head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862CCB">
          <w:rPr>
            <w:noProof/>
          </w:rPr>
          <w:t>6</w:t>
        </w:r>
        <w:r>
          <w:rPr>
            <w:noProof/>
          </w:rPr>
          <w:fldChar w:fldCharType="end"/>
        </w:r>
      </w:p>
    </w:sdtContent>
  </w:sdt>
  <w:p w:rsidR="00CD6309" w:rsidRDefault="00CD6309" w:rsidP="00CD63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 w:id="1">
    <w:p w:rsidR="00495A38" w:rsidRPr="00DD208D" w:rsidRDefault="00495A38" w:rsidP="00495A38">
      <w:pPr>
        <w:spacing w:after="0"/>
        <w:rPr>
          <w:rFonts w:eastAsia="Times New Roman" w:cs="Times New Roman"/>
          <w:sz w:val="20"/>
          <w:szCs w:val="20"/>
        </w:rPr>
      </w:pPr>
      <w:r w:rsidRPr="00DD208D">
        <w:rPr>
          <w:rStyle w:val="FootnoteReference"/>
          <w:rFonts w:cs="Times New Roman"/>
          <w:sz w:val="20"/>
          <w:szCs w:val="20"/>
        </w:rPr>
        <w:footnoteRef/>
      </w:r>
      <w:r w:rsidRPr="00DD208D">
        <w:rPr>
          <w:rFonts w:cs="Times New Roman"/>
          <w:sz w:val="20"/>
          <w:szCs w:val="20"/>
        </w:rPr>
        <w:t xml:space="preserve"> </w:t>
      </w:r>
      <w:r w:rsidRPr="00DD208D">
        <w:rPr>
          <w:rFonts w:eastAsia="Times New Roman" w:cs="Times New Roman"/>
          <w:i/>
          <w:sz w:val="20"/>
          <w:szCs w:val="20"/>
        </w:rPr>
        <w:t>Baez v. New York City Hous. Auth.,</w:t>
      </w:r>
      <w:r w:rsidRPr="00DD208D">
        <w:rPr>
          <w:rFonts w:eastAsia="Times New Roman" w:cs="Times New Roman"/>
          <w:sz w:val="20"/>
          <w:szCs w:val="20"/>
        </w:rPr>
        <w:t xml:space="preserve"> 2013 WL 6632355 (S.D.N.Y</w:t>
      </w:r>
      <w:r w:rsidR="001A1796" w:rsidRPr="00DD208D">
        <w:rPr>
          <w:rFonts w:eastAsia="Times New Roman" w:cs="Times New Roman"/>
          <w:sz w:val="20"/>
          <w:szCs w:val="20"/>
        </w:rPr>
        <w:t>.).</w:t>
      </w:r>
    </w:p>
  </w:footnote>
  <w:footnote w:id="2">
    <w:p w:rsidR="00495A38" w:rsidRPr="00DD208D" w:rsidRDefault="00495A38">
      <w:pPr>
        <w:pStyle w:val="FootnoteText"/>
        <w:rPr>
          <w:rFonts w:ascii="Times New Roman" w:hAnsi="Times New Roman" w:cs="Times New Roman"/>
        </w:rPr>
      </w:pPr>
      <w:r w:rsidRPr="00DD208D">
        <w:rPr>
          <w:rStyle w:val="FootnoteReference"/>
          <w:rFonts w:ascii="Times New Roman" w:hAnsi="Times New Roman" w:cs="Times New Roman"/>
        </w:rPr>
        <w:footnoteRef/>
      </w:r>
      <w:r w:rsidRPr="00DD208D">
        <w:rPr>
          <w:rFonts w:ascii="Times New Roman" w:hAnsi="Times New Roman" w:cs="Times New Roman"/>
        </w:rPr>
        <w:t xml:space="preserve"> </w:t>
      </w:r>
      <w:r w:rsidRPr="00DD208D">
        <w:rPr>
          <w:rFonts w:ascii="Times New Roman" w:hAnsi="Times New Roman" w:cs="Times New Roman"/>
          <w:i/>
        </w:rPr>
        <w:t>Id.</w:t>
      </w:r>
    </w:p>
  </w:footnote>
  <w:footnote w:id="3">
    <w:p w:rsidR="001A1796" w:rsidRPr="00DD208D" w:rsidRDefault="001A1796" w:rsidP="001A1796">
      <w:pPr>
        <w:spacing w:after="0" w:line="240" w:lineRule="auto"/>
        <w:jc w:val="both"/>
        <w:rPr>
          <w:rFonts w:cs="Times New Roman"/>
          <w:sz w:val="20"/>
          <w:szCs w:val="20"/>
        </w:rPr>
      </w:pPr>
      <w:r w:rsidRPr="00DD208D">
        <w:rPr>
          <w:rStyle w:val="FootnoteReference"/>
          <w:rFonts w:cs="Times New Roman"/>
          <w:sz w:val="20"/>
          <w:szCs w:val="20"/>
        </w:rPr>
        <w:footnoteRef/>
      </w:r>
      <w:r w:rsidRPr="00DD208D">
        <w:rPr>
          <w:rFonts w:cs="Times New Roman"/>
          <w:sz w:val="20"/>
          <w:szCs w:val="20"/>
        </w:rPr>
        <w:t xml:space="preserve"> </w:t>
      </w:r>
      <w:r w:rsidRPr="00DD208D">
        <w:rPr>
          <w:rFonts w:cs="Times New Roman"/>
          <w:i/>
          <w:iCs/>
          <w:sz w:val="20"/>
          <w:szCs w:val="20"/>
        </w:rPr>
        <w:t>Baez v. New York City Hous. Auth.</w:t>
      </w:r>
      <w:r w:rsidRPr="00DD208D">
        <w:rPr>
          <w:rFonts w:cs="Times New Roman"/>
          <w:sz w:val="20"/>
          <w:szCs w:val="20"/>
        </w:rPr>
        <w:t>, No. 13CV8916, 2018 WL 6242224 (S.D.N.Y. Nov. 29, 2018).</w:t>
      </w:r>
    </w:p>
  </w:footnote>
  <w:footnote w:id="4">
    <w:p w:rsidR="001A1796" w:rsidRPr="00DD208D" w:rsidRDefault="001A1796" w:rsidP="001A1796">
      <w:pPr>
        <w:pStyle w:val="FootnoteText"/>
        <w:rPr>
          <w:rFonts w:ascii="Times New Roman" w:hAnsi="Times New Roman" w:cs="Times New Roman"/>
        </w:rPr>
      </w:pPr>
      <w:r w:rsidRPr="00DD208D">
        <w:rPr>
          <w:rStyle w:val="FootnoteReference"/>
          <w:rFonts w:ascii="Times New Roman" w:hAnsi="Times New Roman" w:cs="Times New Roman"/>
        </w:rPr>
        <w:footnoteRef/>
      </w:r>
      <w:r w:rsidRPr="00DD208D">
        <w:rPr>
          <w:rFonts w:ascii="Times New Roman" w:hAnsi="Times New Roman" w:cs="Times New Roman"/>
        </w:rPr>
        <w:t xml:space="preserve"> </w:t>
      </w:r>
      <w:r w:rsidRPr="00DD208D">
        <w:rPr>
          <w:rFonts w:ascii="Times New Roman" w:hAnsi="Times New Roman" w:cs="Times New Roman"/>
          <w:i/>
          <w:iCs/>
        </w:rPr>
        <w:t>Id.</w:t>
      </w:r>
      <w:r w:rsidRPr="00DD208D">
        <w:rPr>
          <w:rFonts w:ascii="Times New Roman" w:hAnsi="Times New Roman" w:cs="Times New Roman"/>
        </w:rPr>
        <w:t xml:space="preserve"> at 5.</w:t>
      </w:r>
    </w:p>
  </w:footnote>
  <w:footnote w:id="5">
    <w:p w:rsidR="00DD208D" w:rsidRPr="00DD208D" w:rsidRDefault="00DD208D">
      <w:pPr>
        <w:pStyle w:val="FootnoteText"/>
        <w:rPr>
          <w:rFonts w:ascii="Times New Roman" w:hAnsi="Times New Roman" w:cs="Times New Roman"/>
        </w:rPr>
      </w:pPr>
      <w:r w:rsidRPr="00DD208D">
        <w:rPr>
          <w:rStyle w:val="FootnoteReference"/>
          <w:rFonts w:ascii="Times New Roman" w:hAnsi="Times New Roman" w:cs="Times New Roman"/>
        </w:rPr>
        <w:footnoteRef/>
      </w:r>
      <w:r w:rsidRPr="00DD208D">
        <w:rPr>
          <w:rFonts w:ascii="Times New Roman" w:hAnsi="Times New Roman" w:cs="Times New Roman"/>
        </w:rPr>
        <w:t xml:space="preserve"> Mold and Leak Ombudsperson Call Center (OCC) – For NYCHA Residents, </w:t>
      </w:r>
      <w:r w:rsidRPr="00DD208D">
        <w:rPr>
          <w:rFonts w:ascii="Times New Roman" w:hAnsi="Times New Roman" w:cs="Times New Roman"/>
          <w:i/>
        </w:rPr>
        <w:t>available at</w:t>
      </w:r>
      <w:r w:rsidRPr="00DD208D">
        <w:rPr>
          <w:rFonts w:ascii="Times New Roman" w:hAnsi="Times New Roman" w:cs="Times New Roman"/>
        </w:rPr>
        <w:t xml:space="preserve"> </w:t>
      </w:r>
      <w:hyperlink r:id="rId1" w:history="1">
        <w:r w:rsidRPr="00DD208D">
          <w:rPr>
            <w:rStyle w:val="Hyperlink"/>
            <w:rFonts w:ascii="Times New Roman" w:hAnsi="Times New Roman" w:cs="Times New Roman"/>
          </w:rPr>
          <w:t>https://ombnyc.com/home</w:t>
        </w:r>
      </w:hyperlink>
      <w:r w:rsidR="00312FB1">
        <w:rPr>
          <w:rFonts w:ascii="Times New Roman" w:hAnsi="Times New Roman" w:cs="Times New Roman"/>
        </w:rPr>
        <w:t xml:space="preserve"> (last accessed Dec. 8</w:t>
      </w:r>
      <w:r w:rsidRPr="00DD208D">
        <w:rPr>
          <w:rFonts w:ascii="Times New Roman" w:hAnsi="Times New Roman" w:cs="Times New Roma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21022"/>
    <w:rsid w:val="000444C2"/>
    <w:rsid w:val="000D01DA"/>
    <w:rsid w:val="000F3D63"/>
    <w:rsid w:val="00164614"/>
    <w:rsid w:val="00171750"/>
    <w:rsid w:val="00176E7E"/>
    <w:rsid w:val="001931EB"/>
    <w:rsid w:val="001A1796"/>
    <w:rsid w:val="001F5C15"/>
    <w:rsid w:val="00224939"/>
    <w:rsid w:val="00280E84"/>
    <w:rsid w:val="0029410B"/>
    <w:rsid w:val="00312FB1"/>
    <w:rsid w:val="003644D4"/>
    <w:rsid w:val="003B228A"/>
    <w:rsid w:val="004222BA"/>
    <w:rsid w:val="00423A8A"/>
    <w:rsid w:val="00456AF2"/>
    <w:rsid w:val="004774C5"/>
    <w:rsid w:val="00495A38"/>
    <w:rsid w:val="004B1691"/>
    <w:rsid w:val="004F38DC"/>
    <w:rsid w:val="00597D43"/>
    <w:rsid w:val="005C1147"/>
    <w:rsid w:val="005E4A68"/>
    <w:rsid w:val="006475FF"/>
    <w:rsid w:val="006732C1"/>
    <w:rsid w:val="00687C1A"/>
    <w:rsid w:val="006F6A46"/>
    <w:rsid w:val="00711FCF"/>
    <w:rsid w:val="00762D1B"/>
    <w:rsid w:val="00787B18"/>
    <w:rsid w:val="0079338F"/>
    <w:rsid w:val="007978D0"/>
    <w:rsid w:val="007C5D5B"/>
    <w:rsid w:val="007E31ED"/>
    <w:rsid w:val="008265F2"/>
    <w:rsid w:val="00827374"/>
    <w:rsid w:val="00860117"/>
    <w:rsid w:val="00862CCB"/>
    <w:rsid w:val="00864782"/>
    <w:rsid w:val="00876B22"/>
    <w:rsid w:val="00891808"/>
    <w:rsid w:val="008C2D3F"/>
    <w:rsid w:val="008D5707"/>
    <w:rsid w:val="008E1A9F"/>
    <w:rsid w:val="0090502C"/>
    <w:rsid w:val="00951599"/>
    <w:rsid w:val="00996C02"/>
    <w:rsid w:val="009A77C8"/>
    <w:rsid w:val="009C6FB3"/>
    <w:rsid w:val="00BB18C9"/>
    <w:rsid w:val="00C77659"/>
    <w:rsid w:val="00CC54E8"/>
    <w:rsid w:val="00CD6309"/>
    <w:rsid w:val="00D27AD3"/>
    <w:rsid w:val="00D43006"/>
    <w:rsid w:val="00D514E8"/>
    <w:rsid w:val="00D7623E"/>
    <w:rsid w:val="00D90F43"/>
    <w:rsid w:val="00DB40DF"/>
    <w:rsid w:val="00DB5140"/>
    <w:rsid w:val="00DC7E0E"/>
    <w:rsid w:val="00DD208D"/>
    <w:rsid w:val="00DD3E0F"/>
    <w:rsid w:val="00E02A5C"/>
    <w:rsid w:val="00E8379C"/>
    <w:rsid w:val="00F00118"/>
    <w:rsid w:val="00F56B8D"/>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iPriority w:val="99"/>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uiPriority w:val="99"/>
    <w:rsid w:val="00D514E8"/>
    <w:rPr>
      <w:rFonts w:asciiTheme="minorHAnsi" w:hAnsiTheme="minorHAnsi"/>
      <w:sz w:val="20"/>
      <w:szCs w:val="20"/>
    </w:rPr>
  </w:style>
  <w:style w:type="character" w:styleId="FootnoteReference">
    <w:name w:val="footnote reference"/>
    <w:basedOn w:val="DefaultParagraphFont"/>
    <w:uiPriority w:val="99"/>
    <w:unhideWhenUsed/>
    <w:rsid w:val="00D51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7SK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mbnyc.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8453-4A33-448A-A533-A848DF73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2020-09-16T13:17:00Z</cp:lastPrinted>
  <dcterms:created xsi:type="dcterms:W3CDTF">2020-12-10T16:28:00Z</dcterms:created>
  <dcterms:modified xsi:type="dcterms:W3CDTF">2020-12-10T16:28:00Z</dcterms:modified>
</cp:coreProperties>
</file>