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725EF0" w:rsidRDefault="00E8426E" w:rsidP="00E8426E">
      <w:pPr>
        <w:jc w:val="center"/>
        <w:rPr>
          <w:rFonts w:ascii="Century" w:hAnsi="Century"/>
          <w:color w:val="000000"/>
          <w:sz w:val="26"/>
          <w:szCs w:val="26"/>
        </w:rPr>
      </w:pPr>
      <w:bookmarkStart w:id="0" w:name="_GoBack"/>
      <w:bookmarkEnd w:id="0"/>
    </w:p>
    <w:p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b/>
          <w:bCs/>
          <w:color w:val="000000"/>
          <w:sz w:val="26"/>
          <w:szCs w:val="26"/>
        </w:rPr>
        <w:t>THE COUNCIL OF THE CITY OF NEW YORK</w:t>
      </w: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noProof/>
          <w:snapToGrid/>
          <w:sz w:val="26"/>
          <w:szCs w:val="26"/>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rPr>
      </w:pPr>
    </w:p>
    <w:p w:rsidR="00E8426E" w:rsidRPr="000B3D38" w:rsidRDefault="00E8426E" w:rsidP="00E8426E">
      <w:pPr>
        <w:jc w:val="center"/>
        <w:rPr>
          <w:rFonts w:ascii="Palatino Linotype" w:hAnsi="Palatino Linotype"/>
          <w:b/>
          <w:bCs/>
          <w:color w:val="000000"/>
          <w:sz w:val="26"/>
          <w:szCs w:val="26"/>
          <w:u w:val="single"/>
        </w:rPr>
      </w:pPr>
      <w:r w:rsidRPr="000B3D38">
        <w:rPr>
          <w:rFonts w:ascii="Palatino Linotype" w:hAnsi="Palatino Linotype"/>
          <w:b/>
          <w:bCs/>
          <w:color w:val="000000"/>
          <w:sz w:val="26"/>
          <w:szCs w:val="26"/>
          <w:u w:val="single"/>
        </w:rPr>
        <w:t>COMMITTEE REPORT OF THE</w:t>
      </w:r>
    </w:p>
    <w:p w:rsidR="00E8426E" w:rsidRPr="000B3D38" w:rsidRDefault="00E8426E" w:rsidP="00E8426E">
      <w:pPr>
        <w:jc w:val="center"/>
        <w:rPr>
          <w:rFonts w:ascii="Palatino Linotype" w:hAnsi="Palatino Linotype"/>
          <w:b/>
          <w:bCs/>
          <w:color w:val="000000"/>
          <w:sz w:val="26"/>
          <w:szCs w:val="26"/>
          <w:u w:val="single"/>
        </w:rPr>
      </w:pPr>
      <w:r w:rsidRPr="000B3D38">
        <w:rPr>
          <w:rFonts w:ascii="Palatino Linotype" w:hAnsi="Palatino Linotype"/>
          <w:b/>
          <w:bCs/>
          <w:color w:val="000000"/>
          <w:sz w:val="26"/>
          <w:szCs w:val="26"/>
          <w:u w:val="single"/>
        </w:rPr>
        <w:t>COMMITTEE ON RULES, PRIVILEGES AND ELECTIONS</w:t>
      </w:r>
    </w:p>
    <w:p w:rsidR="00E8426E" w:rsidRPr="000B3D38" w:rsidRDefault="00E8426E" w:rsidP="00E8426E">
      <w:pPr>
        <w:jc w:val="center"/>
        <w:rPr>
          <w:rFonts w:ascii="Palatino Linotype" w:hAnsi="Palatino Linotype"/>
          <w:b/>
          <w:bCs/>
          <w:color w:val="000000"/>
          <w:sz w:val="26"/>
          <w:szCs w:val="26"/>
        </w:rPr>
      </w:pPr>
      <w:r w:rsidRPr="000B3D38">
        <w:rPr>
          <w:rFonts w:ascii="Palatino Linotype" w:hAnsi="Palatino Linotype"/>
          <w:b/>
          <w:bCs/>
          <w:color w:val="000000"/>
          <w:sz w:val="26"/>
          <w:szCs w:val="26"/>
        </w:rPr>
        <w:t xml:space="preserve">Hon. </w:t>
      </w:r>
      <w:r w:rsidR="00EE66D4">
        <w:rPr>
          <w:rFonts w:ascii="Palatino Linotype" w:hAnsi="Palatino Linotype"/>
          <w:b/>
          <w:bCs/>
          <w:color w:val="000000"/>
          <w:sz w:val="26"/>
          <w:szCs w:val="26"/>
        </w:rPr>
        <w:t>Karen Koslowitz</w:t>
      </w:r>
      <w:r w:rsidRPr="000B3D38">
        <w:rPr>
          <w:rFonts w:ascii="Palatino Linotype" w:hAnsi="Palatino Linotype"/>
          <w:b/>
          <w:bCs/>
          <w:color w:val="000000"/>
          <w:sz w:val="26"/>
          <w:szCs w:val="26"/>
        </w:rPr>
        <w:t>, Chairperson</w:t>
      </w:r>
    </w:p>
    <w:p w:rsidR="00E8426E" w:rsidRPr="000B3D38" w:rsidRDefault="00E8426E" w:rsidP="00E8426E">
      <w:pPr>
        <w:jc w:val="center"/>
        <w:rPr>
          <w:rFonts w:ascii="Palatino Linotype" w:hAnsi="Palatino Linotype"/>
          <w:b/>
          <w:bCs/>
          <w:color w:val="000000"/>
          <w:sz w:val="26"/>
          <w:szCs w:val="26"/>
        </w:rPr>
      </w:pPr>
    </w:p>
    <w:p w:rsidR="00E8426E" w:rsidRPr="000B3D38" w:rsidRDefault="00853EBB" w:rsidP="00E8426E">
      <w:pPr>
        <w:jc w:val="center"/>
        <w:rPr>
          <w:rFonts w:ascii="Palatino Linotype" w:hAnsi="Palatino Linotype"/>
          <w:b/>
          <w:bCs/>
          <w:color w:val="000000"/>
          <w:sz w:val="26"/>
          <w:szCs w:val="26"/>
        </w:rPr>
      </w:pPr>
      <w:r>
        <w:rPr>
          <w:rFonts w:ascii="Palatino Linotype" w:hAnsi="Palatino Linotype"/>
          <w:b/>
          <w:bCs/>
          <w:color w:val="000000"/>
          <w:sz w:val="26"/>
          <w:szCs w:val="26"/>
        </w:rPr>
        <w:t>November 19</w:t>
      </w:r>
      <w:r w:rsidR="000B3D38" w:rsidRPr="000B3D38">
        <w:rPr>
          <w:rFonts w:ascii="Palatino Linotype" w:hAnsi="Palatino Linotype"/>
          <w:b/>
          <w:bCs/>
          <w:color w:val="000000"/>
          <w:sz w:val="26"/>
          <w:szCs w:val="26"/>
        </w:rPr>
        <w:t>, 20</w:t>
      </w:r>
      <w:r w:rsidR="00EE66D4">
        <w:rPr>
          <w:rFonts w:ascii="Palatino Linotype" w:hAnsi="Palatino Linotype"/>
          <w:b/>
          <w:bCs/>
          <w:color w:val="000000"/>
          <w:sz w:val="26"/>
          <w:szCs w:val="26"/>
        </w:rPr>
        <w:t>20</w:t>
      </w:r>
    </w:p>
    <w:p w:rsidR="00E8426E" w:rsidRPr="000B3D38" w:rsidRDefault="00E8426E" w:rsidP="00E8426E">
      <w:pPr>
        <w:rPr>
          <w:rFonts w:ascii="Palatino Linotype" w:hAnsi="Palatino Linotype"/>
          <w:b/>
          <w:bCs/>
          <w:color w:val="000000"/>
          <w:sz w:val="26"/>
          <w:szCs w:val="26"/>
        </w:rPr>
      </w:pPr>
    </w:p>
    <w:p w:rsidR="00E8426E" w:rsidRPr="000B3D38" w:rsidRDefault="00EE66D4" w:rsidP="00EE66D4">
      <w:pPr>
        <w:jc w:val="center"/>
        <w:rPr>
          <w:rFonts w:ascii="Palatino Linotype" w:hAnsi="Palatino Linotype"/>
          <w:b/>
          <w:sz w:val="26"/>
          <w:szCs w:val="26"/>
        </w:rPr>
      </w:pPr>
      <w:r>
        <w:rPr>
          <w:rFonts w:ascii="Palatino Linotype" w:hAnsi="Palatino Linotype"/>
          <w:b/>
          <w:sz w:val="26"/>
          <w:szCs w:val="26"/>
        </w:rPr>
        <w:t>VIRTUAL HEARING ROOM</w:t>
      </w:r>
    </w:p>
    <w:p w:rsidR="003C6183" w:rsidRPr="000B3D38" w:rsidRDefault="003C6183" w:rsidP="003C6183">
      <w:pPr>
        <w:pStyle w:val="Heading2"/>
        <w:ind w:left="0"/>
        <w:rPr>
          <w:rFonts w:ascii="Palatino Linotype" w:hAnsi="Palatino Linotype" w:cs="Tahoma"/>
          <w:b/>
          <w:sz w:val="24"/>
          <w:szCs w:val="24"/>
        </w:rPr>
      </w:pPr>
    </w:p>
    <w:p w:rsidR="003C6183" w:rsidRPr="000B3D38" w:rsidRDefault="003C6183" w:rsidP="001B61CC">
      <w:pPr>
        <w:pStyle w:val="Heading2"/>
        <w:ind w:left="0"/>
        <w:rPr>
          <w:rFonts w:ascii="Palatino Linotype" w:hAnsi="Palatino Linotype" w:cs="Tahoma"/>
          <w:sz w:val="24"/>
          <w:szCs w:val="24"/>
        </w:rPr>
      </w:pPr>
    </w:p>
    <w:p w:rsidR="00ED3CE8" w:rsidRPr="000B3D38" w:rsidRDefault="00ED3CE8" w:rsidP="000B3D38">
      <w:pPr>
        <w:snapToGrid w:val="0"/>
        <w:jc w:val="both"/>
        <w:rPr>
          <w:rFonts w:ascii="Palatino Linotype" w:hAnsi="Palatino Linotype"/>
          <w:b/>
          <w:bCs/>
          <w:iCs/>
          <w:u w:val="single"/>
        </w:rPr>
      </w:pPr>
    </w:p>
    <w:p w:rsidR="00174868" w:rsidRPr="00E9211D" w:rsidRDefault="00174868" w:rsidP="000B3D38">
      <w:pPr>
        <w:pStyle w:val="NoSpacing"/>
        <w:jc w:val="both"/>
        <w:rPr>
          <w:rFonts w:ascii="Palatino Linotype" w:hAnsi="Palatino Linotype"/>
          <w:szCs w:val="24"/>
        </w:rPr>
      </w:pPr>
    </w:p>
    <w:p w:rsidR="009D7396" w:rsidRPr="00E9211D" w:rsidRDefault="009D7396" w:rsidP="009D7396">
      <w:pPr>
        <w:widowControl/>
        <w:jc w:val="both"/>
        <w:rPr>
          <w:rFonts w:ascii="Palatino Linotype" w:hAnsi="Palatino Linotype"/>
          <w:b/>
          <w:bCs/>
          <w:snapToGrid/>
          <w:szCs w:val="24"/>
        </w:rPr>
      </w:pPr>
      <w:r w:rsidRPr="00E9211D">
        <w:rPr>
          <w:rFonts w:ascii="Palatino Linotype" w:hAnsi="Palatino Linotype"/>
          <w:b/>
          <w:bCs/>
          <w:i/>
          <w:iCs/>
          <w:snapToGrid/>
          <w:szCs w:val="24"/>
        </w:rPr>
        <w:t xml:space="preserve">New York City Board of Elections – (Candidate for </w:t>
      </w:r>
      <w:r w:rsidR="00E9211D" w:rsidRPr="00E9211D">
        <w:rPr>
          <w:rFonts w:ascii="Palatino Linotype" w:hAnsi="Palatino Linotype"/>
          <w:b/>
          <w:bCs/>
          <w:i/>
          <w:iCs/>
          <w:snapToGrid/>
          <w:szCs w:val="24"/>
        </w:rPr>
        <w:t>re-</w:t>
      </w:r>
      <w:r w:rsidRPr="00E9211D">
        <w:rPr>
          <w:rFonts w:ascii="Palatino Linotype" w:hAnsi="Palatino Linotype"/>
          <w:b/>
          <w:bCs/>
          <w:i/>
          <w:iCs/>
          <w:snapToGrid/>
          <w:szCs w:val="24"/>
        </w:rPr>
        <w:t>appointment by the Council</w:t>
      </w:r>
      <w:r w:rsidRPr="00E9211D">
        <w:rPr>
          <w:rFonts w:ascii="Palatino Linotype" w:hAnsi="Palatino Linotype"/>
          <w:b/>
          <w:bCs/>
          <w:snapToGrid/>
          <w:szCs w:val="24"/>
        </w:rPr>
        <w:t>)</w:t>
      </w:r>
    </w:p>
    <w:p w:rsidR="009D7396" w:rsidRPr="00E9211D" w:rsidRDefault="009D7396" w:rsidP="009D7396">
      <w:pPr>
        <w:widowControl/>
        <w:jc w:val="both"/>
        <w:rPr>
          <w:rFonts w:ascii="Palatino Linotype" w:hAnsi="Palatino Linotype"/>
          <w:b/>
          <w:bCs/>
          <w:snapToGrid/>
          <w:szCs w:val="24"/>
        </w:rPr>
      </w:pPr>
    </w:p>
    <w:p w:rsidR="009D7396" w:rsidRPr="00E9211D" w:rsidRDefault="00853EBB" w:rsidP="00E9211D">
      <w:pPr>
        <w:pStyle w:val="ListParagraph"/>
        <w:widowControl/>
        <w:numPr>
          <w:ilvl w:val="0"/>
          <w:numId w:val="11"/>
        </w:numPr>
        <w:jc w:val="both"/>
        <w:rPr>
          <w:rFonts w:ascii="Palatino Linotype" w:hAnsi="Palatino Linotype"/>
          <w:b/>
          <w:bCs/>
          <w:snapToGrid/>
          <w:szCs w:val="24"/>
        </w:rPr>
      </w:pPr>
      <w:r>
        <w:rPr>
          <w:rFonts w:ascii="Palatino Linotype" w:hAnsi="Palatino Linotype"/>
          <w:b/>
          <w:bCs/>
          <w:snapToGrid/>
          <w:szCs w:val="24"/>
        </w:rPr>
        <w:t>Rodney Pepe-Souvenir</w:t>
      </w:r>
      <w:r w:rsidR="00A04BD9">
        <w:rPr>
          <w:rFonts w:ascii="Palatino Linotype" w:hAnsi="Palatino Linotype"/>
          <w:b/>
          <w:bCs/>
          <w:snapToGrid/>
          <w:szCs w:val="24"/>
        </w:rPr>
        <w:t xml:space="preserve"> [M-257]</w:t>
      </w:r>
    </w:p>
    <w:p w:rsidR="009D7396" w:rsidRPr="00E9211D" w:rsidRDefault="009D7396" w:rsidP="009D7396">
      <w:pPr>
        <w:widowControl/>
        <w:rPr>
          <w:rFonts w:ascii="Palatino Linotype" w:hAnsi="Palatino Linotype"/>
          <w:b/>
          <w:bCs/>
          <w:snapToGrid/>
          <w:szCs w:val="24"/>
        </w:rPr>
      </w:pPr>
    </w:p>
    <w:p w:rsidR="009D7396" w:rsidRPr="00E9211D" w:rsidRDefault="009D7396" w:rsidP="00E9211D">
      <w:pPr>
        <w:snapToGrid w:val="0"/>
        <w:jc w:val="both"/>
        <w:rPr>
          <w:rFonts w:ascii="Palatino Linotype" w:hAnsi="Palatino Linotype"/>
          <w:snapToGrid/>
          <w:szCs w:val="24"/>
        </w:rPr>
      </w:pPr>
      <w:r w:rsidRPr="00E9211D">
        <w:rPr>
          <w:rFonts w:ascii="Palatino Linotype" w:hAnsi="Palatino Linotype"/>
          <w:snapToGrid/>
          <w:szCs w:val="24"/>
        </w:rPr>
        <w:t>The New York City Board of Elections (“BOE”) consists of ten commissioners, two from each of the City’s five counties, who are directly appointed by the New York City Council.  Not more than two commissioners shall be registered voters of the same county. Each commissioner serves a term of four years or until a successor is appointed. Commissioners shall be registered voters from each of the major parties in the county for which they are appointed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3-200(3)].  </w:t>
      </w:r>
    </w:p>
    <w:p w:rsidR="009D7396" w:rsidRPr="00E9211D" w:rsidRDefault="009D7396" w:rsidP="009D7396">
      <w:pPr>
        <w:widowControl/>
        <w:ind w:firstLine="720"/>
        <w:jc w:val="both"/>
        <w:rPr>
          <w:rFonts w:ascii="Palatino Linotype" w:hAnsi="Palatino Linotype"/>
          <w:snapToGrid/>
          <w:szCs w:val="24"/>
        </w:rPr>
      </w:pPr>
    </w:p>
    <w:p w:rsidR="009D7396" w:rsidRPr="00E9211D" w:rsidRDefault="009D7396" w:rsidP="00E9211D">
      <w:pPr>
        <w:widowControl/>
        <w:jc w:val="both"/>
        <w:rPr>
          <w:rFonts w:ascii="Palatino Linotype" w:hAnsi="Palatino Linotype"/>
          <w:snapToGrid/>
          <w:szCs w:val="24"/>
        </w:rPr>
      </w:pPr>
      <w:r w:rsidRPr="00E9211D">
        <w:rPr>
          <w:rFonts w:ascii="Palatino Linotype" w:hAnsi="Palatino Linotype"/>
          <w:snapToGrid/>
          <w:szCs w:val="24"/>
        </w:rPr>
        <w:t>Party recommendations for election commissioner shall be made by the County Committee, or in such fashion as the rules of a party may provide.  Each of the major political parties shall be eligible to recommend appointment of an equal number of commissioners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w:t>
      </w:r>
      <w:r w:rsidRPr="00E9211D">
        <w:rPr>
          <w:rFonts w:ascii="Palatino Linotype" w:hAnsi="Palatino Linotype"/>
          <w:i/>
          <w:iCs/>
          <w:snapToGrid/>
          <w:szCs w:val="24"/>
        </w:rPr>
        <w:t>§ 3-200(2)</w:t>
      </w:r>
      <w:r w:rsidRPr="00E9211D">
        <w:rPr>
          <w:rFonts w:ascii="Palatino Linotype" w:hAnsi="Palatino Linotype"/>
          <w:snapToGrid/>
          <w:szCs w:val="24"/>
        </w:rPr>
        <w:t xml:space="preserve">]. The BOE and its commissioners are responsible for the maintenance and administration of voting records and elections.  The BOE also exercises quasi-judicial powers by conducting hearings to validate </w:t>
      </w:r>
      <w:r w:rsidRPr="00E9211D">
        <w:rPr>
          <w:rFonts w:ascii="Palatino Linotype" w:hAnsi="Palatino Linotype"/>
          <w:snapToGrid/>
          <w:szCs w:val="24"/>
        </w:rPr>
        <w:lastRenderedPageBreak/>
        <w:t>nominating petitions of candidates for nomination to elective office.  The BOE is required to make an annual report</w:t>
      </w:r>
      <w:r w:rsidRPr="00E9211D">
        <w:rPr>
          <w:rFonts w:ascii="Palatino Linotype" w:hAnsi="Palatino Linotype"/>
          <w:snapToGrid/>
          <w:szCs w:val="24"/>
          <w:vertAlign w:val="superscript"/>
        </w:rPr>
        <w:footnoteReference w:id="1"/>
      </w:r>
      <w:r w:rsidRPr="00E9211D">
        <w:rPr>
          <w:rFonts w:ascii="Palatino Linotype" w:hAnsi="Palatino Linotype"/>
          <w:snapToGrid/>
          <w:szCs w:val="24"/>
        </w:rPr>
        <w:t xml:space="preserve"> of its affairs and proceedings to the New York City Council once every twelve months and no later than the last day of January in any year.  A copy of said annual report shall be filed with the New York State Board of Elections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3-212(4)(a)]. </w:t>
      </w:r>
    </w:p>
    <w:p w:rsidR="009D7396" w:rsidRPr="00E9211D" w:rsidRDefault="009D7396" w:rsidP="009D7396">
      <w:pPr>
        <w:widowControl/>
        <w:ind w:firstLine="720"/>
        <w:jc w:val="both"/>
        <w:rPr>
          <w:rFonts w:ascii="Palatino Linotype" w:hAnsi="Palatino Linotype"/>
          <w:snapToGrid/>
          <w:szCs w:val="24"/>
        </w:rPr>
      </w:pPr>
    </w:p>
    <w:p w:rsidR="009D7396" w:rsidRPr="005A3A6C" w:rsidRDefault="009D7396" w:rsidP="00E9211D">
      <w:pPr>
        <w:widowControl/>
        <w:jc w:val="both"/>
        <w:rPr>
          <w:rFonts w:ascii="Palatino Linotype" w:hAnsi="Palatino Linotype"/>
          <w:snapToGrid/>
          <w:szCs w:val="24"/>
        </w:rPr>
      </w:pPr>
      <w:r w:rsidRPr="00E9211D">
        <w:rPr>
          <w:rFonts w:ascii="Palatino Linotype" w:hAnsi="Palatino Linotype"/>
          <w:snapToGrid/>
          <w:szCs w:val="24"/>
        </w:rPr>
        <w:t xml:space="preserve">At least thirty days before the first day of January of any year on which an elections commissioner is to be appointed, the Chair or Secretary of the appropriate party County Committee shall file a </w:t>
      </w:r>
      <w:r w:rsidRPr="00E9211D">
        <w:rPr>
          <w:rFonts w:ascii="Palatino Linotype" w:hAnsi="Palatino Linotype"/>
          <w:i/>
          <w:iCs/>
          <w:snapToGrid/>
          <w:szCs w:val="24"/>
        </w:rPr>
        <w:t>Certificate of Party Recommendation</w:t>
      </w:r>
      <w:r w:rsidRPr="00E9211D">
        <w:rPr>
          <w:rFonts w:ascii="Palatino Linotype" w:hAnsi="Palatino Linotype"/>
          <w:snapToGrid/>
          <w:szCs w:val="24"/>
        </w:rPr>
        <w:t xml:space="preserve"> with the Clerk of the appropriate local legislative body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3-204(1)].  In New York City, the City Clerk serves as the Clerk of the Council.  If the Council fails to appoint an individual recommended by a party for appointment as a Commissioner within thirty days after the filing of a </w:t>
      </w:r>
      <w:r w:rsidRPr="00E9211D">
        <w:rPr>
          <w:rFonts w:ascii="Palatino Linotype" w:hAnsi="Palatino Linotype"/>
          <w:i/>
          <w:iCs/>
          <w:snapToGrid/>
          <w:szCs w:val="24"/>
        </w:rPr>
        <w:t>Certificate of Party Recommendation</w:t>
      </w:r>
      <w:r w:rsidRPr="00E9211D">
        <w:rPr>
          <w:rFonts w:ascii="Palatino Linotype" w:hAnsi="Palatino Linotype"/>
          <w:snapToGrid/>
          <w:szCs w:val="24"/>
        </w:rPr>
        <w:t xml:space="preserve"> with the Council, then members of the Council who are members of the political party that filed the certificate may appoint such person.  If none of the persons named in any of the certificates filed by a party are appointed within sixty days of the filing of the designating certificate, then such party may file another certificate within thirty days after the expiration of any such sixty day period recommending a different person for such appointment.  </w:t>
      </w:r>
      <w:r w:rsidRPr="005A3A6C">
        <w:rPr>
          <w:rFonts w:ascii="Palatino Linotype" w:hAnsi="Palatino Linotype"/>
          <w:snapToGrid/>
          <w:szCs w:val="24"/>
        </w:rPr>
        <w:t xml:space="preserve">If the party fails to file a </w:t>
      </w:r>
      <w:r w:rsidRPr="005A3A6C">
        <w:rPr>
          <w:rFonts w:ascii="Palatino Linotype" w:hAnsi="Palatino Linotype"/>
          <w:i/>
          <w:iCs/>
          <w:snapToGrid/>
          <w:szCs w:val="24"/>
        </w:rPr>
        <w:t>Certificate of Party Recommendation</w:t>
      </w:r>
      <w:r w:rsidRPr="005A3A6C">
        <w:rPr>
          <w:rFonts w:ascii="Palatino Linotype" w:hAnsi="Palatino Linotype"/>
          <w:snapToGrid/>
          <w:szCs w:val="24"/>
        </w:rPr>
        <w:t xml:space="preserve"> within the time prescribed, the members of the Council who are members of such party may appoint any eligible person to such office [</w:t>
      </w:r>
      <w:r w:rsidRPr="005A3A6C">
        <w:rPr>
          <w:rFonts w:ascii="Palatino Linotype" w:hAnsi="Palatino Linotype"/>
          <w:i/>
          <w:iCs/>
          <w:snapToGrid/>
          <w:szCs w:val="24"/>
        </w:rPr>
        <w:t>New York State Election Law</w:t>
      </w:r>
      <w:r w:rsidRPr="005A3A6C">
        <w:rPr>
          <w:rFonts w:ascii="Palatino Linotype" w:hAnsi="Palatino Linotype"/>
          <w:snapToGrid/>
          <w:szCs w:val="24"/>
        </w:rPr>
        <w:t xml:space="preserve"> § 3-204(4)].</w:t>
      </w:r>
    </w:p>
    <w:p w:rsidR="009D7396" w:rsidRPr="00E9211D" w:rsidRDefault="009D7396" w:rsidP="009D7396">
      <w:pPr>
        <w:widowControl/>
        <w:ind w:firstLine="720"/>
        <w:jc w:val="both"/>
        <w:rPr>
          <w:rFonts w:ascii="Palatino Linotype" w:hAnsi="Palatino Linotype"/>
          <w:snapToGrid/>
          <w:szCs w:val="24"/>
        </w:rPr>
      </w:pPr>
    </w:p>
    <w:p w:rsidR="009D7396" w:rsidRPr="00E9211D" w:rsidRDefault="009D7396" w:rsidP="00E9211D">
      <w:pPr>
        <w:widowControl/>
        <w:jc w:val="both"/>
        <w:rPr>
          <w:rFonts w:ascii="Palatino Linotype" w:hAnsi="Palatino Linotype"/>
          <w:snapToGrid/>
          <w:szCs w:val="24"/>
        </w:rPr>
      </w:pPr>
      <w:r w:rsidRPr="00E9211D">
        <w:rPr>
          <w:rFonts w:ascii="Palatino Linotype" w:hAnsi="Palatino Linotype"/>
          <w:snapToGrid/>
          <w:szCs w:val="24"/>
        </w:rPr>
        <w:t>If at any time a vacancy occurs in the office of any election commissioner other than by expiration of term of office, party recommendations to fill such vacancy shall be made by the county committee in such fashion as the rules of the party may provide.</w:t>
      </w:r>
      <w:r w:rsidRPr="00E9211D">
        <w:rPr>
          <w:rFonts w:ascii="Palatino Linotype" w:hAnsi="Palatino Linotype"/>
          <w:snapToGrid/>
          <w:szCs w:val="24"/>
          <w:vertAlign w:val="superscript"/>
        </w:rPr>
        <w:footnoteReference w:id="2"/>
      </w:r>
      <w:r w:rsidRPr="00E9211D">
        <w:rPr>
          <w:rFonts w:ascii="Palatino Linotype" w:hAnsi="Palatino Linotype"/>
          <w:snapToGrid/>
          <w:szCs w:val="24"/>
        </w:rPr>
        <w:t xml:space="preserve">  </w:t>
      </w:r>
      <w:r w:rsidRPr="00E9211D">
        <w:rPr>
          <w:rFonts w:ascii="Palatino Linotype" w:hAnsi="Palatino Linotype"/>
          <w:i/>
          <w:iCs/>
          <w:snapToGrid/>
          <w:szCs w:val="24"/>
        </w:rPr>
        <w:t>Certificates of Party Recommendation</w:t>
      </w:r>
      <w:r w:rsidRPr="00E9211D">
        <w:rPr>
          <w:rFonts w:ascii="Palatino Linotype" w:hAnsi="Palatino Linotype"/>
          <w:snapToGrid/>
          <w:szCs w:val="24"/>
        </w:rPr>
        <w:t xml:space="preserve"> to fill such vacancy shall be filed no later than forty-five days after the creation of a vacancy.  Anyone who fills a vacancy shall hold such office during the remainder of the term of the commissioner in whose place he/she shall serve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3-204(5)].</w:t>
      </w:r>
    </w:p>
    <w:p w:rsidR="009D7396" w:rsidRPr="00E9211D" w:rsidRDefault="009D7396" w:rsidP="009D7396">
      <w:pPr>
        <w:widowControl/>
        <w:ind w:firstLine="720"/>
        <w:jc w:val="both"/>
        <w:rPr>
          <w:rFonts w:ascii="Palatino Linotype" w:hAnsi="Palatino Linotype"/>
          <w:snapToGrid/>
          <w:szCs w:val="24"/>
        </w:rPr>
      </w:pPr>
    </w:p>
    <w:p w:rsidR="009D7396" w:rsidRPr="00E9211D" w:rsidRDefault="009D7396" w:rsidP="00E9211D">
      <w:pPr>
        <w:widowControl/>
        <w:jc w:val="both"/>
        <w:rPr>
          <w:rFonts w:ascii="Palatino Linotype" w:hAnsi="Palatino Linotype"/>
          <w:snapToGrid/>
          <w:szCs w:val="24"/>
        </w:rPr>
      </w:pPr>
      <w:r w:rsidRPr="00E9211D">
        <w:rPr>
          <w:rFonts w:ascii="Palatino Linotype" w:hAnsi="Palatino Linotype"/>
          <w:snapToGrid/>
          <w:szCs w:val="24"/>
        </w:rPr>
        <w:t>BOE elects a President and a Secretary who cannot belong to the same political party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3-312(1)]. The commissioners receive a $300 per-diem for each day’s attendance at meetings of the BOE or any of its committees, with a maximum of $30,000 per year [</w:t>
      </w:r>
      <w:r w:rsidRPr="00E9211D">
        <w:rPr>
          <w:rFonts w:ascii="Palatino Linotype" w:hAnsi="Palatino Linotype"/>
          <w:i/>
          <w:iCs/>
          <w:snapToGrid/>
          <w:szCs w:val="24"/>
        </w:rPr>
        <w:t>New York State Election Law</w:t>
      </w:r>
      <w:r w:rsidRPr="00E9211D">
        <w:rPr>
          <w:rFonts w:ascii="Palatino Linotype" w:hAnsi="Palatino Linotype"/>
          <w:snapToGrid/>
          <w:szCs w:val="24"/>
        </w:rPr>
        <w:t xml:space="preserve"> § 3-208].</w:t>
      </w:r>
    </w:p>
    <w:p w:rsidR="009D7396" w:rsidRPr="00E9211D" w:rsidRDefault="009D7396" w:rsidP="009D7396">
      <w:pPr>
        <w:widowControl/>
        <w:jc w:val="both"/>
        <w:rPr>
          <w:rFonts w:ascii="Palatino Linotype" w:hAnsi="Palatino Linotype"/>
          <w:snapToGrid/>
          <w:szCs w:val="24"/>
        </w:rPr>
      </w:pPr>
    </w:p>
    <w:p w:rsidR="00E01077" w:rsidRDefault="00E01077" w:rsidP="00E01077">
      <w:pPr>
        <w:jc w:val="both"/>
        <w:rPr>
          <w:rFonts w:ascii="Palatino Linotype" w:hAnsi="Palatino Linotype"/>
          <w:snapToGrid/>
        </w:rPr>
      </w:pPr>
      <w:r>
        <w:rPr>
          <w:rFonts w:ascii="Palatino Linotype" w:hAnsi="Palatino Linotype"/>
        </w:rPr>
        <w:t xml:space="preserve">A </w:t>
      </w:r>
      <w:r>
        <w:rPr>
          <w:rFonts w:ascii="Palatino Linotype" w:hAnsi="Palatino Linotype"/>
          <w:i/>
          <w:iCs/>
        </w:rPr>
        <w:t>Certificate of Party Recommendation</w:t>
      </w:r>
      <w:r>
        <w:rPr>
          <w:rFonts w:ascii="Palatino Linotype" w:hAnsi="Palatino Linotype"/>
        </w:rPr>
        <w:t xml:space="preserve"> referencing M</w:t>
      </w:r>
      <w:r w:rsidR="00A04BD9">
        <w:rPr>
          <w:rFonts w:ascii="Palatino Linotype" w:hAnsi="Palatino Linotype"/>
        </w:rPr>
        <w:t>s</w:t>
      </w:r>
      <w:r>
        <w:rPr>
          <w:rFonts w:ascii="Palatino Linotype" w:hAnsi="Palatino Linotype"/>
        </w:rPr>
        <w:t xml:space="preserve">. </w:t>
      </w:r>
      <w:r w:rsidR="00A04BD9">
        <w:rPr>
          <w:rFonts w:ascii="Palatino Linotype" w:hAnsi="Palatino Linotype"/>
        </w:rPr>
        <w:t>Pepe-Souvenir</w:t>
      </w:r>
      <w:r>
        <w:rPr>
          <w:rFonts w:ascii="Palatino Linotype" w:hAnsi="Palatino Linotype"/>
        </w:rPr>
        <w:t xml:space="preserve"> was filed with the Office of the City Clerk on </w:t>
      </w:r>
      <w:r w:rsidR="005A3A6C">
        <w:rPr>
          <w:rFonts w:ascii="Palatino Linotype" w:hAnsi="Palatino Linotype"/>
        </w:rPr>
        <w:t xml:space="preserve">October </w:t>
      </w:r>
      <w:r w:rsidR="00A04BD9">
        <w:rPr>
          <w:rFonts w:ascii="Palatino Linotype" w:hAnsi="Palatino Linotype"/>
        </w:rPr>
        <w:t>23</w:t>
      </w:r>
      <w:r w:rsidR="005A3A6C">
        <w:rPr>
          <w:rFonts w:ascii="Palatino Linotype" w:hAnsi="Palatino Linotype"/>
        </w:rPr>
        <w:t>, 2020</w:t>
      </w:r>
      <w:r>
        <w:rPr>
          <w:rFonts w:ascii="Palatino Linotype" w:hAnsi="Palatino Linotype"/>
        </w:rPr>
        <w:t xml:space="preserve"> at </w:t>
      </w:r>
      <w:r w:rsidR="00982A8E">
        <w:rPr>
          <w:rFonts w:ascii="Palatino Linotype" w:hAnsi="Palatino Linotype"/>
        </w:rPr>
        <w:t>11:49am</w:t>
      </w:r>
      <w:r>
        <w:rPr>
          <w:rFonts w:ascii="Palatino Linotype" w:hAnsi="Palatino Linotype"/>
        </w:rPr>
        <w:t xml:space="preserve">.  The Chair of the </w:t>
      </w:r>
      <w:r w:rsidR="00A04BD9">
        <w:rPr>
          <w:rFonts w:ascii="Palatino Linotype" w:hAnsi="Palatino Linotype"/>
        </w:rPr>
        <w:t>Kings</w:t>
      </w:r>
      <w:r>
        <w:rPr>
          <w:rFonts w:ascii="Palatino Linotype" w:hAnsi="Palatino Linotype"/>
        </w:rPr>
        <w:t xml:space="preserve"> County Democratic Party signed this document.  M</w:t>
      </w:r>
      <w:r w:rsidR="00A04BD9">
        <w:rPr>
          <w:rFonts w:ascii="Palatino Linotype" w:hAnsi="Palatino Linotype"/>
        </w:rPr>
        <w:t>s</w:t>
      </w:r>
      <w:r>
        <w:rPr>
          <w:rFonts w:ascii="Palatino Linotype" w:hAnsi="Palatino Linotype"/>
        </w:rPr>
        <w:t xml:space="preserve">. </w:t>
      </w:r>
      <w:r w:rsidR="00A04BD9">
        <w:rPr>
          <w:rFonts w:ascii="Palatino Linotype" w:hAnsi="Palatino Linotype"/>
        </w:rPr>
        <w:t>Pepe-Souvenir</w:t>
      </w:r>
      <w:r>
        <w:rPr>
          <w:rFonts w:ascii="Palatino Linotype" w:hAnsi="Palatino Linotype"/>
        </w:rPr>
        <w:t xml:space="preserve">, a registered Democrat from </w:t>
      </w:r>
      <w:r w:rsidR="00A04BD9">
        <w:rPr>
          <w:rFonts w:ascii="Palatino Linotype" w:hAnsi="Palatino Linotype"/>
        </w:rPr>
        <w:t>Kings</w:t>
      </w:r>
      <w:r>
        <w:rPr>
          <w:rFonts w:ascii="Palatino Linotype" w:hAnsi="Palatino Linotype"/>
        </w:rPr>
        <w:t xml:space="preserve"> County, is being recommended for </w:t>
      </w:r>
      <w:r w:rsidR="00A04BD9">
        <w:rPr>
          <w:rFonts w:ascii="Palatino Linotype" w:hAnsi="Palatino Linotype"/>
        </w:rPr>
        <w:t>re-</w:t>
      </w:r>
      <w:r>
        <w:rPr>
          <w:rFonts w:ascii="Palatino Linotype" w:hAnsi="Palatino Linotype"/>
        </w:rPr>
        <w:t>appointment to serve for the remainder of a four-year term that will begin on January 1, 2021 and ends on December 31, 2024</w:t>
      </w:r>
      <w:r w:rsidR="00A04BD9">
        <w:rPr>
          <w:rFonts w:ascii="Palatino Linotype" w:hAnsi="Palatino Linotype"/>
        </w:rPr>
        <w:t>.</w:t>
      </w:r>
      <w:r>
        <w:rPr>
          <w:rFonts w:ascii="Palatino Linotype" w:hAnsi="Palatino Linotype"/>
        </w:rPr>
        <w:t xml:space="preserve">  Copies of M</w:t>
      </w:r>
      <w:r w:rsidR="00A04BD9">
        <w:rPr>
          <w:rFonts w:ascii="Palatino Linotype" w:hAnsi="Palatino Linotype"/>
        </w:rPr>
        <w:t>s</w:t>
      </w:r>
      <w:r>
        <w:rPr>
          <w:rFonts w:ascii="Palatino Linotype" w:hAnsi="Palatino Linotype"/>
        </w:rPr>
        <w:t xml:space="preserve">. </w:t>
      </w:r>
      <w:r w:rsidR="00A04BD9">
        <w:rPr>
          <w:rFonts w:ascii="Palatino Linotype" w:hAnsi="Palatino Linotype"/>
        </w:rPr>
        <w:t>Pepe-Souvenir</w:t>
      </w:r>
      <w:r>
        <w:rPr>
          <w:rFonts w:ascii="Palatino Linotype" w:hAnsi="Palatino Linotype"/>
        </w:rPr>
        <w:t xml:space="preserve">’s résumé and Committee report/resolution are annexed to this briefing paper.        </w:t>
      </w:r>
    </w:p>
    <w:p w:rsidR="00E01077" w:rsidRDefault="00E01077" w:rsidP="00E9211D">
      <w:pPr>
        <w:snapToGrid w:val="0"/>
        <w:jc w:val="both"/>
        <w:rPr>
          <w:rFonts w:ascii="Palatino Linotype" w:hAnsi="Palatino Linotype" w:cs="Arial"/>
          <w:snapToGrid/>
          <w:szCs w:val="24"/>
        </w:rPr>
      </w:pPr>
    </w:p>
    <w:p w:rsidR="00E01077" w:rsidRDefault="00E01077" w:rsidP="00E9211D">
      <w:pPr>
        <w:snapToGrid w:val="0"/>
        <w:jc w:val="both"/>
        <w:rPr>
          <w:rFonts w:ascii="Palatino Linotype" w:hAnsi="Palatino Linotype" w:cs="Arial"/>
          <w:snapToGrid/>
          <w:szCs w:val="24"/>
        </w:rPr>
      </w:pPr>
    </w:p>
    <w:p w:rsidR="00327807" w:rsidRPr="00E9211D" w:rsidRDefault="00327807" w:rsidP="000B3D38">
      <w:pPr>
        <w:snapToGrid w:val="0"/>
        <w:jc w:val="both"/>
        <w:rPr>
          <w:rFonts w:ascii="Palatino Linotype" w:hAnsi="Palatino Linotype"/>
          <w:b/>
          <w:szCs w:val="24"/>
          <w:u w:val="single"/>
        </w:rPr>
      </w:pPr>
      <w:r w:rsidRPr="00E9211D">
        <w:rPr>
          <w:rFonts w:ascii="Palatino Linotype" w:hAnsi="Palatino Linotype"/>
          <w:b/>
          <w:szCs w:val="24"/>
          <w:u w:val="single"/>
        </w:rPr>
        <w:t>PROJECT STAFF</w:t>
      </w:r>
    </w:p>
    <w:p w:rsidR="00CA2A03" w:rsidRPr="00E9211D" w:rsidRDefault="00E9211D" w:rsidP="000B3D38">
      <w:pPr>
        <w:snapToGrid w:val="0"/>
        <w:jc w:val="both"/>
        <w:rPr>
          <w:rFonts w:ascii="Palatino Linotype" w:hAnsi="Palatino Linotype"/>
          <w:szCs w:val="24"/>
        </w:rPr>
      </w:pPr>
      <w:r w:rsidRPr="00E9211D">
        <w:rPr>
          <w:rFonts w:ascii="Palatino Linotype" w:hAnsi="Palatino Linotype"/>
          <w:szCs w:val="24"/>
        </w:rPr>
        <w:t>Lance Polivy</w:t>
      </w:r>
      <w:r w:rsidR="000B3D38" w:rsidRPr="00E9211D">
        <w:rPr>
          <w:rFonts w:ascii="Palatino Linotype" w:hAnsi="Palatino Linotype"/>
          <w:szCs w:val="24"/>
        </w:rPr>
        <w:t>, Counsel</w:t>
      </w:r>
    </w:p>
    <w:p w:rsidR="00202F73" w:rsidRPr="00E9211D" w:rsidRDefault="00202F73" w:rsidP="000B3D38">
      <w:pPr>
        <w:snapToGrid w:val="0"/>
        <w:jc w:val="both"/>
        <w:rPr>
          <w:rFonts w:ascii="Palatino Linotype" w:hAnsi="Palatino Linotype"/>
          <w:szCs w:val="24"/>
        </w:rPr>
      </w:pPr>
      <w:r w:rsidRPr="00E9211D">
        <w:rPr>
          <w:rFonts w:ascii="Palatino Linotype" w:hAnsi="Palatino Linotype"/>
          <w:szCs w:val="24"/>
        </w:rPr>
        <w:t>Charles W. Davis III, Director</w:t>
      </w:r>
      <w:r w:rsidR="00753423" w:rsidRPr="00E9211D">
        <w:rPr>
          <w:rFonts w:ascii="Palatino Linotype" w:hAnsi="Palatino Linotype"/>
          <w:szCs w:val="24"/>
        </w:rPr>
        <w:t xml:space="preserve"> of Investigations</w:t>
      </w:r>
    </w:p>
    <w:p w:rsidR="00202F73" w:rsidRPr="00E9211D" w:rsidRDefault="00202F73" w:rsidP="000B3D38">
      <w:pPr>
        <w:snapToGrid w:val="0"/>
        <w:jc w:val="both"/>
        <w:rPr>
          <w:rFonts w:ascii="Palatino Linotype" w:hAnsi="Palatino Linotype"/>
          <w:szCs w:val="24"/>
        </w:rPr>
      </w:pPr>
      <w:r w:rsidRPr="00E9211D">
        <w:rPr>
          <w:rFonts w:ascii="Palatino Linotype" w:hAnsi="Palatino Linotype"/>
          <w:szCs w:val="24"/>
        </w:rPr>
        <w:t xml:space="preserve">Alycia Vassell, </w:t>
      </w:r>
      <w:r w:rsidR="00E9211D" w:rsidRPr="00E9211D">
        <w:rPr>
          <w:rFonts w:ascii="Palatino Linotype" w:hAnsi="Palatino Linotype"/>
          <w:szCs w:val="24"/>
        </w:rPr>
        <w:t xml:space="preserve">Senior </w:t>
      </w:r>
      <w:r w:rsidRPr="00E9211D">
        <w:rPr>
          <w:rFonts w:ascii="Palatino Linotype" w:hAnsi="Palatino Linotype"/>
          <w:szCs w:val="24"/>
        </w:rPr>
        <w:t xml:space="preserve">Legislative </w:t>
      </w:r>
      <w:r w:rsidR="000B3D38" w:rsidRPr="00E9211D">
        <w:rPr>
          <w:rFonts w:ascii="Palatino Linotype" w:hAnsi="Palatino Linotype"/>
          <w:szCs w:val="24"/>
        </w:rPr>
        <w:t>Investigator</w:t>
      </w:r>
    </w:p>
    <w:p w:rsidR="000B3D38" w:rsidRPr="00E9211D" w:rsidRDefault="000B3D38" w:rsidP="000B3D38">
      <w:pPr>
        <w:snapToGrid w:val="0"/>
        <w:jc w:val="both"/>
        <w:rPr>
          <w:rFonts w:ascii="Palatino Linotype" w:hAnsi="Palatino Linotype"/>
          <w:szCs w:val="24"/>
        </w:rPr>
      </w:pPr>
      <w:r w:rsidRPr="00E9211D">
        <w:rPr>
          <w:rFonts w:ascii="Palatino Linotype" w:hAnsi="Palatino Linotype"/>
          <w:szCs w:val="24"/>
        </w:rPr>
        <w:t>Andre Johnson-Brown, Legislative Investigator</w:t>
      </w:r>
    </w:p>
    <w:p w:rsidR="00E9211D" w:rsidRPr="00E9211D" w:rsidRDefault="00E9211D" w:rsidP="000B3D38">
      <w:pPr>
        <w:snapToGrid w:val="0"/>
        <w:jc w:val="both"/>
        <w:rPr>
          <w:rFonts w:ascii="Palatino Linotype" w:hAnsi="Palatino Linotype"/>
          <w:szCs w:val="24"/>
        </w:rPr>
      </w:pPr>
      <w:r w:rsidRPr="00E9211D">
        <w:rPr>
          <w:rFonts w:ascii="Palatino Linotype" w:hAnsi="Palatino Linotype"/>
          <w:szCs w:val="24"/>
        </w:rPr>
        <w:t>Ramses Boutin, Legislative Investigator</w:t>
      </w:r>
    </w:p>
    <w:p w:rsidR="000B3D38" w:rsidRPr="00E9211D" w:rsidRDefault="000B3D38" w:rsidP="000B3D38">
      <w:pPr>
        <w:snapToGrid w:val="0"/>
        <w:jc w:val="both"/>
        <w:rPr>
          <w:rFonts w:ascii="Palatino Linotype" w:hAnsi="Palatino Linotype"/>
          <w:szCs w:val="24"/>
        </w:rPr>
      </w:pPr>
    </w:p>
    <w:p w:rsidR="00327807" w:rsidRPr="00E9211D" w:rsidRDefault="00327807" w:rsidP="000B3D38">
      <w:pPr>
        <w:pStyle w:val="BlockText"/>
        <w:ind w:left="0" w:right="0"/>
        <w:rPr>
          <w:rFonts w:ascii="Palatino Linotype" w:hAnsi="Palatino Linotype"/>
          <w:szCs w:val="24"/>
        </w:rPr>
      </w:pPr>
    </w:p>
    <w:p w:rsidR="003C6183" w:rsidRPr="00E9211D" w:rsidRDefault="003C6183" w:rsidP="000B3D38">
      <w:pPr>
        <w:jc w:val="both"/>
        <w:rPr>
          <w:rFonts w:ascii="Palatino Linotype" w:hAnsi="Palatino Linotype"/>
          <w:szCs w:val="24"/>
        </w:rPr>
      </w:pPr>
    </w:p>
    <w:sectPr w:rsidR="003C6183" w:rsidRPr="00E921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2A" w:rsidRDefault="00B96F2A" w:rsidP="00FE1F7D">
      <w:r>
        <w:separator/>
      </w:r>
    </w:p>
  </w:endnote>
  <w:endnote w:type="continuationSeparator" w:id="0">
    <w:p w:rsidR="00B96F2A" w:rsidRDefault="00B96F2A"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DA6618">
          <w:rPr>
            <w:noProof/>
          </w:rPr>
          <w:t>3</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2A" w:rsidRDefault="00B96F2A" w:rsidP="00FE1F7D">
      <w:r>
        <w:separator/>
      </w:r>
    </w:p>
  </w:footnote>
  <w:footnote w:type="continuationSeparator" w:id="0">
    <w:p w:rsidR="00B96F2A" w:rsidRDefault="00B96F2A" w:rsidP="00FE1F7D">
      <w:r>
        <w:continuationSeparator/>
      </w:r>
    </w:p>
  </w:footnote>
  <w:footnote w:id="1">
    <w:p w:rsidR="009D7396" w:rsidRPr="00E16141" w:rsidRDefault="009D7396" w:rsidP="009D7396">
      <w:pPr>
        <w:pStyle w:val="FootnoteText"/>
        <w:jc w:val="both"/>
        <w:rPr>
          <w:rFonts w:ascii="Century" w:hAnsi="Century" w:cs="Courier New"/>
          <w:b/>
          <w:bCs/>
          <w:sz w:val="18"/>
          <w:szCs w:val="18"/>
        </w:rPr>
      </w:pPr>
      <w:r w:rsidRPr="00E16141">
        <w:rPr>
          <w:rStyle w:val="FootnoteReference"/>
          <w:rFonts w:ascii="Century" w:hAnsi="Century"/>
          <w:sz w:val="18"/>
          <w:szCs w:val="18"/>
        </w:rPr>
        <w:footnoteRef/>
      </w:r>
      <w:r w:rsidRPr="00E16141">
        <w:rPr>
          <w:rFonts w:ascii="Century" w:hAnsi="Century"/>
          <w:sz w:val="18"/>
          <w:szCs w:val="18"/>
        </w:rPr>
        <w:t xml:space="preserve"> </w:t>
      </w:r>
      <w:r w:rsidRPr="00E16141">
        <w:rPr>
          <w:rFonts w:ascii="Century" w:hAnsi="Century" w:cs="Courier New"/>
          <w:sz w:val="18"/>
          <w:szCs w:val="18"/>
        </w:rPr>
        <w:t>The annual report shall include a detailed description of existing programs designed to enhance voter registration.  The report shall also include a voter registration action plan to increase registration opportunities [</w:t>
      </w:r>
      <w:r w:rsidRPr="00E16141">
        <w:rPr>
          <w:rFonts w:ascii="Century" w:hAnsi="Century" w:cs="Courier New"/>
          <w:i/>
          <w:iCs/>
          <w:sz w:val="18"/>
          <w:szCs w:val="18"/>
        </w:rPr>
        <w:t>New York State Election Law</w:t>
      </w:r>
      <w:r w:rsidRPr="00E16141">
        <w:rPr>
          <w:rFonts w:ascii="Century" w:hAnsi="Century" w:cs="Courier New"/>
          <w:sz w:val="18"/>
          <w:szCs w:val="18"/>
        </w:rPr>
        <w:t xml:space="preserve"> § 3-212(4)(b)].  </w:t>
      </w:r>
    </w:p>
  </w:footnote>
  <w:footnote w:id="2">
    <w:p w:rsidR="009D7396" w:rsidRPr="00E16141" w:rsidRDefault="009D7396" w:rsidP="009D7396">
      <w:pPr>
        <w:pStyle w:val="FootnoteText"/>
        <w:jc w:val="both"/>
        <w:rPr>
          <w:rFonts w:ascii="Century" w:hAnsi="Century"/>
          <w:sz w:val="18"/>
          <w:szCs w:val="18"/>
        </w:rPr>
      </w:pPr>
    </w:p>
    <w:p w:rsidR="009D7396" w:rsidRPr="00E16141" w:rsidRDefault="009D7396" w:rsidP="009D7396">
      <w:pPr>
        <w:pStyle w:val="FootnoteText"/>
        <w:jc w:val="both"/>
        <w:rPr>
          <w:rFonts w:ascii="Century" w:hAnsi="Century"/>
          <w:sz w:val="18"/>
          <w:szCs w:val="18"/>
        </w:rPr>
      </w:pPr>
      <w:r w:rsidRPr="00E16141">
        <w:rPr>
          <w:rStyle w:val="FootnoteReference"/>
          <w:rFonts w:ascii="Century" w:hAnsi="Century"/>
          <w:sz w:val="18"/>
          <w:szCs w:val="18"/>
        </w:rPr>
        <w:footnoteRef/>
      </w:r>
      <w:r w:rsidRPr="00E16141">
        <w:rPr>
          <w:rFonts w:ascii="Century" w:hAnsi="Century"/>
          <w:sz w:val="18"/>
          <w:szCs w:val="18"/>
        </w:rPr>
        <w:t xml:space="preserve"> According to </w:t>
      </w:r>
      <w:r w:rsidRPr="00E16141">
        <w:rPr>
          <w:rFonts w:ascii="Century" w:hAnsi="Century"/>
          <w:i/>
          <w:iCs/>
          <w:sz w:val="18"/>
          <w:szCs w:val="18"/>
        </w:rPr>
        <w:t>New York State Public Officers Law</w:t>
      </w:r>
      <w:r w:rsidRPr="00E16141">
        <w:rPr>
          <w:rFonts w:ascii="Century" w:hAnsi="Century"/>
          <w:sz w:val="18"/>
          <w:szCs w:val="18"/>
        </w:rPr>
        <w:t xml:space="preserve"> § 5, every officer except a judicial officer, a notary public, a commissioner of deeds and an officer whose term is fixed by the Constitution, having duly entered on the duties of his office, shall unless the office shall terminate or be abolished, hold over and continue to discharge the duties of his office after the expiration of the term for which he shall have been chosen, until his successor shall be chosen and qualified; but after the expiration of such term, the office shall be deemed vacant for the purpose of choosing his successor.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D62C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3A0423"/>
    <w:multiLevelType w:val="hybridMultilevel"/>
    <w:tmpl w:val="B47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0"/>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405D3"/>
    <w:rsid w:val="0005263D"/>
    <w:rsid w:val="00062D57"/>
    <w:rsid w:val="000670A6"/>
    <w:rsid w:val="000B3D38"/>
    <w:rsid w:val="000B55E7"/>
    <w:rsid w:val="000C7488"/>
    <w:rsid w:val="000D7C9C"/>
    <w:rsid w:val="00113339"/>
    <w:rsid w:val="00122005"/>
    <w:rsid w:val="00127DC2"/>
    <w:rsid w:val="00145660"/>
    <w:rsid w:val="001553C5"/>
    <w:rsid w:val="00155CCD"/>
    <w:rsid w:val="00160D71"/>
    <w:rsid w:val="00174868"/>
    <w:rsid w:val="00184DA0"/>
    <w:rsid w:val="001A0917"/>
    <w:rsid w:val="001B5407"/>
    <w:rsid w:val="001B61CC"/>
    <w:rsid w:val="001D051E"/>
    <w:rsid w:val="001D5680"/>
    <w:rsid w:val="001E59E3"/>
    <w:rsid w:val="00202F73"/>
    <w:rsid w:val="00204621"/>
    <w:rsid w:val="0020573C"/>
    <w:rsid w:val="00206EC6"/>
    <w:rsid w:val="002116B3"/>
    <w:rsid w:val="00214328"/>
    <w:rsid w:val="00220A63"/>
    <w:rsid w:val="00223F7F"/>
    <w:rsid w:val="00247141"/>
    <w:rsid w:val="0027276D"/>
    <w:rsid w:val="00282F54"/>
    <w:rsid w:val="002838E0"/>
    <w:rsid w:val="00292A63"/>
    <w:rsid w:val="002A1C10"/>
    <w:rsid w:val="002A2214"/>
    <w:rsid w:val="002D0619"/>
    <w:rsid w:val="002D7166"/>
    <w:rsid w:val="002E37EF"/>
    <w:rsid w:val="002F41D7"/>
    <w:rsid w:val="002F6C2B"/>
    <w:rsid w:val="0030015D"/>
    <w:rsid w:val="00327807"/>
    <w:rsid w:val="0033693D"/>
    <w:rsid w:val="00375624"/>
    <w:rsid w:val="003762EC"/>
    <w:rsid w:val="00380302"/>
    <w:rsid w:val="003B147B"/>
    <w:rsid w:val="003C1ADE"/>
    <w:rsid w:val="003C6183"/>
    <w:rsid w:val="003E7D56"/>
    <w:rsid w:val="00424C96"/>
    <w:rsid w:val="00437ADB"/>
    <w:rsid w:val="00451659"/>
    <w:rsid w:val="00452BE8"/>
    <w:rsid w:val="004877DF"/>
    <w:rsid w:val="00490AB4"/>
    <w:rsid w:val="004A2052"/>
    <w:rsid w:val="004E7572"/>
    <w:rsid w:val="004E79DF"/>
    <w:rsid w:val="004F1390"/>
    <w:rsid w:val="00514922"/>
    <w:rsid w:val="00516A6E"/>
    <w:rsid w:val="005258F4"/>
    <w:rsid w:val="005568E9"/>
    <w:rsid w:val="00573F4A"/>
    <w:rsid w:val="00575506"/>
    <w:rsid w:val="00591E8C"/>
    <w:rsid w:val="005A1937"/>
    <w:rsid w:val="005A3A6C"/>
    <w:rsid w:val="005B695F"/>
    <w:rsid w:val="006073BD"/>
    <w:rsid w:val="0061437D"/>
    <w:rsid w:val="00633DFA"/>
    <w:rsid w:val="00641737"/>
    <w:rsid w:val="00647148"/>
    <w:rsid w:val="00652072"/>
    <w:rsid w:val="006612C2"/>
    <w:rsid w:val="006643DD"/>
    <w:rsid w:val="006756A5"/>
    <w:rsid w:val="00686012"/>
    <w:rsid w:val="00687008"/>
    <w:rsid w:val="006A1643"/>
    <w:rsid w:val="006A601F"/>
    <w:rsid w:val="006A7D09"/>
    <w:rsid w:val="006B18FB"/>
    <w:rsid w:val="006B5656"/>
    <w:rsid w:val="006C0BCF"/>
    <w:rsid w:val="006C3945"/>
    <w:rsid w:val="006E5D5B"/>
    <w:rsid w:val="006F2BE4"/>
    <w:rsid w:val="007230FA"/>
    <w:rsid w:val="00725EF0"/>
    <w:rsid w:val="0074403D"/>
    <w:rsid w:val="007473A0"/>
    <w:rsid w:val="00753423"/>
    <w:rsid w:val="00753A26"/>
    <w:rsid w:val="007566F5"/>
    <w:rsid w:val="00770ED7"/>
    <w:rsid w:val="007713C8"/>
    <w:rsid w:val="00787013"/>
    <w:rsid w:val="007875F2"/>
    <w:rsid w:val="007B76E8"/>
    <w:rsid w:val="007F0762"/>
    <w:rsid w:val="007F2960"/>
    <w:rsid w:val="00812308"/>
    <w:rsid w:val="00821B55"/>
    <w:rsid w:val="00824277"/>
    <w:rsid w:val="00853EBB"/>
    <w:rsid w:val="008577C1"/>
    <w:rsid w:val="00865332"/>
    <w:rsid w:val="00873E78"/>
    <w:rsid w:val="00876288"/>
    <w:rsid w:val="00886EA4"/>
    <w:rsid w:val="008A105F"/>
    <w:rsid w:val="008C374B"/>
    <w:rsid w:val="008C5721"/>
    <w:rsid w:val="008D4827"/>
    <w:rsid w:val="008E5A05"/>
    <w:rsid w:val="0090632A"/>
    <w:rsid w:val="00923871"/>
    <w:rsid w:val="0093377E"/>
    <w:rsid w:val="00935D67"/>
    <w:rsid w:val="00962918"/>
    <w:rsid w:val="00976D30"/>
    <w:rsid w:val="0098228E"/>
    <w:rsid w:val="00982A8E"/>
    <w:rsid w:val="009A0D19"/>
    <w:rsid w:val="009C2F26"/>
    <w:rsid w:val="009C4D86"/>
    <w:rsid w:val="009D311F"/>
    <w:rsid w:val="009D5AF2"/>
    <w:rsid w:val="009D6E52"/>
    <w:rsid w:val="009D7396"/>
    <w:rsid w:val="00A04BD9"/>
    <w:rsid w:val="00A1319E"/>
    <w:rsid w:val="00A257D8"/>
    <w:rsid w:val="00A31500"/>
    <w:rsid w:val="00A32B5C"/>
    <w:rsid w:val="00A53C66"/>
    <w:rsid w:val="00AA02F1"/>
    <w:rsid w:val="00AA2EA9"/>
    <w:rsid w:val="00AA2EC8"/>
    <w:rsid w:val="00AB1805"/>
    <w:rsid w:val="00AC03D3"/>
    <w:rsid w:val="00AC682A"/>
    <w:rsid w:val="00AE5460"/>
    <w:rsid w:val="00B00324"/>
    <w:rsid w:val="00B03A83"/>
    <w:rsid w:val="00B20A05"/>
    <w:rsid w:val="00B20B3F"/>
    <w:rsid w:val="00B55E68"/>
    <w:rsid w:val="00B83929"/>
    <w:rsid w:val="00B855AC"/>
    <w:rsid w:val="00B96F2A"/>
    <w:rsid w:val="00B97086"/>
    <w:rsid w:val="00BB0EB6"/>
    <w:rsid w:val="00BB6FB0"/>
    <w:rsid w:val="00BF63B8"/>
    <w:rsid w:val="00C06286"/>
    <w:rsid w:val="00C31104"/>
    <w:rsid w:val="00C3508B"/>
    <w:rsid w:val="00C41367"/>
    <w:rsid w:val="00C4497E"/>
    <w:rsid w:val="00C543D5"/>
    <w:rsid w:val="00C62167"/>
    <w:rsid w:val="00C67C13"/>
    <w:rsid w:val="00C92FB2"/>
    <w:rsid w:val="00CA0AE2"/>
    <w:rsid w:val="00CA2A03"/>
    <w:rsid w:val="00CA39B7"/>
    <w:rsid w:val="00CE2B42"/>
    <w:rsid w:val="00CE4C5A"/>
    <w:rsid w:val="00CF6302"/>
    <w:rsid w:val="00D254F0"/>
    <w:rsid w:val="00D36318"/>
    <w:rsid w:val="00D41D4D"/>
    <w:rsid w:val="00D70F61"/>
    <w:rsid w:val="00D943E9"/>
    <w:rsid w:val="00D96B84"/>
    <w:rsid w:val="00DA5C3D"/>
    <w:rsid w:val="00DA6618"/>
    <w:rsid w:val="00DA71BD"/>
    <w:rsid w:val="00DD7F41"/>
    <w:rsid w:val="00DF5DEA"/>
    <w:rsid w:val="00DF7623"/>
    <w:rsid w:val="00E01077"/>
    <w:rsid w:val="00E10882"/>
    <w:rsid w:val="00E158D2"/>
    <w:rsid w:val="00E27DF9"/>
    <w:rsid w:val="00E674B9"/>
    <w:rsid w:val="00E824CB"/>
    <w:rsid w:val="00E8426E"/>
    <w:rsid w:val="00E9211D"/>
    <w:rsid w:val="00EA1029"/>
    <w:rsid w:val="00EC06FD"/>
    <w:rsid w:val="00EC0815"/>
    <w:rsid w:val="00ED3CE8"/>
    <w:rsid w:val="00ED479B"/>
    <w:rsid w:val="00EE076A"/>
    <w:rsid w:val="00EE44D1"/>
    <w:rsid w:val="00EE66D4"/>
    <w:rsid w:val="00EF5E62"/>
    <w:rsid w:val="00EF60BD"/>
    <w:rsid w:val="00F0406A"/>
    <w:rsid w:val="00F05C1D"/>
    <w:rsid w:val="00F120E6"/>
    <w:rsid w:val="00F1485E"/>
    <w:rsid w:val="00F346A5"/>
    <w:rsid w:val="00F518F1"/>
    <w:rsid w:val="00F54F1E"/>
    <w:rsid w:val="00F744D1"/>
    <w:rsid w:val="00F80BAA"/>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DD2455-FB7D-4B54-BA7C-72D0E62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456295679">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55A7-7336-419F-999E-9F3802DD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2015-10-14T20:15:00Z</cp:lastPrinted>
  <dcterms:created xsi:type="dcterms:W3CDTF">2020-11-18T17:32:00Z</dcterms:created>
  <dcterms:modified xsi:type="dcterms:W3CDTF">2020-11-18T17:32:00Z</dcterms:modified>
</cp:coreProperties>
</file>