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890" w:rsidRPr="008B4CB7" w:rsidRDefault="003F6890" w:rsidP="002C32F3">
      <w:pPr>
        <w:tabs>
          <w:tab w:val="center" w:pos="4680"/>
        </w:tabs>
        <w:jc w:val="center"/>
        <w:rPr>
          <w:rFonts w:ascii="Times New Roman" w:hAnsi="Times New Roman"/>
          <w:szCs w:val="24"/>
        </w:rPr>
      </w:pPr>
      <w:r w:rsidRPr="008B4CB7">
        <w:rPr>
          <w:rFonts w:ascii="Times New Roman" w:hAnsi="Times New Roman"/>
          <w:b/>
          <w:szCs w:val="24"/>
        </w:rPr>
        <w:t>THE COUNCIL OF THE CITY OF NEW YORK</w:t>
      </w:r>
    </w:p>
    <w:p w:rsidR="003F6890" w:rsidRPr="008B4CB7" w:rsidRDefault="003F6890" w:rsidP="00DE39C1">
      <w:pPr>
        <w:tabs>
          <w:tab w:val="left" w:pos="720"/>
          <w:tab w:val="center" w:pos="4680"/>
        </w:tabs>
        <w:jc w:val="center"/>
        <w:rPr>
          <w:rFonts w:ascii="Times New Roman" w:hAnsi="Times New Roman"/>
          <w:szCs w:val="24"/>
        </w:rPr>
      </w:pPr>
      <w:r w:rsidRPr="008B4CB7">
        <w:rPr>
          <w:rFonts w:ascii="Times New Roman" w:hAnsi="Times New Roman"/>
          <w:b/>
          <w:szCs w:val="24"/>
        </w:rPr>
        <w:t xml:space="preserve">RESOLUTION NO. </w:t>
      </w:r>
      <w:r w:rsidR="000C1539">
        <w:rPr>
          <w:rFonts w:ascii="Times New Roman" w:hAnsi="Times New Roman"/>
          <w:b/>
          <w:szCs w:val="24"/>
        </w:rPr>
        <w:t>1451</w:t>
      </w:r>
      <w:bookmarkStart w:id="0" w:name="_GoBack"/>
      <w:bookmarkEnd w:id="0"/>
    </w:p>
    <w:p w:rsidR="003F6890" w:rsidRPr="008B4CB7" w:rsidRDefault="003F6890" w:rsidP="00DE39C1">
      <w:pPr>
        <w:jc w:val="both"/>
        <w:rPr>
          <w:rFonts w:ascii="Times New Roman" w:hAnsi="Times New Roman"/>
          <w:szCs w:val="24"/>
        </w:rPr>
      </w:pPr>
    </w:p>
    <w:p w:rsidR="002C32F3" w:rsidRPr="00A71CBF" w:rsidRDefault="002C32F3" w:rsidP="00DE39C1">
      <w:pPr>
        <w:jc w:val="both"/>
        <w:rPr>
          <w:rFonts w:ascii="Times New Roman" w:hAnsi="Times New Roman"/>
          <w:b/>
          <w:vanish/>
          <w:szCs w:val="24"/>
        </w:rPr>
      </w:pPr>
      <w:r w:rsidRPr="00A71CBF">
        <w:rPr>
          <w:rFonts w:ascii="Times New Roman" w:hAnsi="Times New Roman"/>
          <w:b/>
          <w:vanish/>
          <w:szCs w:val="24"/>
        </w:rPr>
        <w:t>..Title</w:t>
      </w:r>
    </w:p>
    <w:p w:rsidR="003F6890" w:rsidRPr="00A71CBF" w:rsidRDefault="003F6890" w:rsidP="00A71CBF">
      <w:pPr>
        <w:suppressAutoHyphens/>
        <w:overflowPunct w:val="0"/>
        <w:autoSpaceDE w:val="0"/>
        <w:autoSpaceDN w:val="0"/>
        <w:adjustRightInd w:val="0"/>
        <w:jc w:val="both"/>
        <w:textAlignment w:val="baseline"/>
        <w:rPr>
          <w:rFonts w:ascii="Times New Roman" w:hAnsi="Times New Roman"/>
          <w:b/>
          <w:snapToGrid/>
          <w:szCs w:val="24"/>
        </w:rPr>
      </w:pPr>
      <w:r w:rsidRPr="00A71CBF">
        <w:rPr>
          <w:rFonts w:ascii="Times New Roman" w:hAnsi="Times New Roman"/>
          <w:b/>
          <w:szCs w:val="24"/>
        </w:rPr>
        <w:t xml:space="preserve">Resolution approving an Urban Development Action Area Project </w:t>
      </w:r>
      <w:r w:rsidR="001F0D52" w:rsidRPr="00A71CBF">
        <w:rPr>
          <w:rFonts w:ascii="Times New Roman" w:hAnsi="Times New Roman"/>
          <w:b/>
          <w:szCs w:val="24"/>
        </w:rPr>
        <w:t xml:space="preserve">pursuant to Article 16 of the General Municipal Law </w:t>
      </w:r>
      <w:r w:rsidR="00FD4934" w:rsidRPr="00A71CBF">
        <w:rPr>
          <w:rFonts w:ascii="Times New Roman" w:hAnsi="Times New Roman"/>
          <w:b/>
          <w:szCs w:val="24"/>
        </w:rPr>
        <w:t xml:space="preserve">and a real property tax exemption pursuant to Article XI of the Private Housing Finance Law </w:t>
      </w:r>
      <w:r w:rsidR="001F0D52" w:rsidRPr="00A71CBF">
        <w:rPr>
          <w:rFonts w:ascii="Times New Roman" w:hAnsi="Times New Roman"/>
          <w:b/>
          <w:szCs w:val="24"/>
        </w:rPr>
        <w:t xml:space="preserve">for property </w:t>
      </w:r>
      <w:r w:rsidRPr="00A71CBF">
        <w:rPr>
          <w:rFonts w:ascii="Times New Roman" w:hAnsi="Times New Roman"/>
          <w:b/>
          <w:szCs w:val="24"/>
        </w:rPr>
        <w:t>located at</w:t>
      </w:r>
      <w:r w:rsidR="00A71CBF" w:rsidRPr="00A71CBF">
        <w:rPr>
          <w:rFonts w:ascii="Times New Roman" w:hAnsi="Times New Roman"/>
          <w:b/>
          <w:szCs w:val="24"/>
        </w:rPr>
        <w:t xml:space="preserve"> </w:t>
      </w:r>
      <w:r w:rsidR="00A71CBF" w:rsidRPr="002C01EF">
        <w:rPr>
          <w:rFonts w:ascii="Times New Roman" w:hAnsi="Times New Roman"/>
          <w:b/>
          <w:snapToGrid/>
          <w:szCs w:val="24"/>
        </w:rPr>
        <w:t>358 Malcolm X Boulevard</w:t>
      </w:r>
      <w:r w:rsidR="00A71CBF" w:rsidRPr="00A71CBF">
        <w:rPr>
          <w:rFonts w:ascii="Times New Roman" w:hAnsi="Times New Roman"/>
          <w:b/>
          <w:snapToGrid/>
          <w:szCs w:val="24"/>
        </w:rPr>
        <w:t xml:space="preserve"> </w:t>
      </w:r>
      <w:r w:rsidR="00A71CBF" w:rsidRPr="002C01EF">
        <w:rPr>
          <w:rFonts w:ascii="Times New Roman" w:hAnsi="Times New Roman"/>
          <w:b/>
          <w:snapToGrid/>
          <w:szCs w:val="24"/>
        </w:rPr>
        <w:t>(Block 1686, Lot 48)</w:t>
      </w:r>
      <w:r w:rsidR="00A71CBF" w:rsidRPr="00A71CBF">
        <w:rPr>
          <w:rFonts w:ascii="Times New Roman" w:hAnsi="Times New Roman"/>
          <w:b/>
          <w:snapToGrid/>
          <w:szCs w:val="24"/>
        </w:rPr>
        <w:t xml:space="preserve">, </w:t>
      </w:r>
      <w:r w:rsidR="00A71CBF" w:rsidRPr="002C01EF">
        <w:rPr>
          <w:rFonts w:ascii="Times New Roman" w:hAnsi="Times New Roman"/>
          <w:b/>
          <w:snapToGrid/>
          <w:szCs w:val="24"/>
        </w:rPr>
        <w:t>1662 Bergen Street</w:t>
      </w:r>
      <w:r w:rsidR="00A71CBF" w:rsidRPr="00A71CBF">
        <w:rPr>
          <w:rFonts w:ascii="Times New Roman" w:hAnsi="Times New Roman"/>
          <w:b/>
          <w:snapToGrid/>
          <w:szCs w:val="24"/>
        </w:rPr>
        <w:t xml:space="preserve"> </w:t>
      </w:r>
      <w:r w:rsidR="00A71CBF" w:rsidRPr="002C01EF">
        <w:rPr>
          <w:rFonts w:ascii="Times New Roman" w:hAnsi="Times New Roman"/>
          <w:b/>
          <w:snapToGrid/>
          <w:szCs w:val="24"/>
        </w:rPr>
        <w:t>(Block 1356, Lot 6)</w:t>
      </w:r>
      <w:r w:rsidR="00A71CBF" w:rsidRPr="00A71CBF">
        <w:rPr>
          <w:rFonts w:ascii="Times New Roman" w:hAnsi="Times New Roman"/>
          <w:b/>
          <w:snapToGrid/>
          <w:szCs w:val="24"/>
        </w:rPr>
        <w:t xml:space="preserve">, </w:t>
      </w:r>
      <w:r w:rsidR="00A71CBF" w:rsidRPr="002C01EF">
        <w:rPr>
          <w:rFonts w:ascii="Times New Roman" w:hAnsi="Times New Roman"/>
          <w:b/>
          <w:snapToGrid/>
          <w:szCs w:val="24"/>
        </w:rPr>
        <w:t>821 Willoughby Avenue</w:t>
      </w:r>
      <w:r w:rsidR="00A71CBF" w:rsidRPr="00A71CBF">
        <w:rPr>
          <w:rFonts w:ascii="Times New Roman" w:hAnsi="Times New Roman"/>
          <w:b/>
          <w:snapToGrid/>
          <w:szCs w:val="24"/>
        </w:rPr>
        <w:t xml:space="preserve"> (</w:t>
      </w:r>
      <w:r w:rsidR="00A71CBF" w:rsidRPr="002C01EF">
        <w:rPr>
          <w:rFonts w:ascii="Times New Roman" w:hAnsi="Times New Roman"/>
          <w:b/>
          <w:snapToGrid/>
          <w:szCs w:val="24"/>
        </w:rPr>
        <w:t>Block 1589, Lot 58)</w:t>
      </w:r>
      <w:r w:rsidR="00A71CBF" w:rsidRPr="00A71CBF">
        <w:rPr>
          <w:rFonts w:ascii="Times New Roman" w:hAnsi="Times New Roman"/>
          <w:b/>
          <w:snapToGrid/>
          <w:szCs w:val="24"/>
        </w:rPr>
        <w:t xml:space="preserve">, </w:t>
      </w:r>
      <w:r w:rsidR="00A71CBF" w:rsidRPr="002C01EF">
        <w:rPr>
          <w:rFonts w:ascii="Times New Roman" w:hAnsi="Times New Roman"/>
          <w:b/>
          <w:snapToGrid/>
          <w:szCs w:val="24"/>
        </w:rPr>
        <w:t>697A Jefferson Avenue</w:t>
      </w:r>
      <w:r w:rsidR="00A71CBF" w:rsidRPr="00A71CBF">
        <w:rPr>
          <w:rFonts w:ascii="Times New Roman" w:hAnsi="Times New Roman"/>
          <w:b/>
          <w:snapToGrid/>
          <w:szCs w:val="24"/>
        </w:rPr>
        <w:t xml:space="preserve"> </w:t>
      </w:r>
      <w:r w:rsidR="00A71CBF" w:rsidRPr="002C01EF">
        <w:rPr>
          <w:rFonts w:ascii="Times New Roman" w:hAnsi="Times New Roman"/>
          <w:b/>
          <w:snapToGrid/>
          <w:szCs w:val="24"/>
        </w:rPr>
        <w:t>(Block 1651, Lot 52)</w:t>
      </w:r>
      <w:r w:rsidR="00A71CBF" w:rsidRPr="00A71CBF">
        <w:rPr>
          <w:rFonts w:ascii="Times New Roman" w:hAnsi="Times New Roman"/>
          <w:b/>
          <w:snapToGrid/>
          <w:szCs w:val="24"/>
        </w:rPr>
        <w:t xml:space="preserve">, </w:t>
      </w:r>
      <w:r w:rsidR="00A71CBF" w:rsidRPr="002C01EF">
        <w:rPr>
          <w:rFonts w:ascii="Times New Roman" w:hAnsi="Times New Roman"/>
          <w:b/>
          <w:snapToGrid/>
          <w:szCs w:val="24"/>
        </w:rPr>
        <w:t>687A Hancock Street</w:t>
      </w:r>
      <w:r w:rsidR="00A71CBF" w:rsidRPr="00A71CBF">
        <w:rPr>
          <w:rFonts w:ascii="Times New Roman" w:hAnsi="Times New Roman"/>
          <w:b/>
          <w:snapToGrid/>
          <w:szCs w:val="24"/>
        </w:rPr>
        <w:t xml:space="preserve"> </w:t>
      </w:r>
      <w:r w:rsidR="00A71CBF" w:rsidRPr="002C01EF">
        <w:rPr>
          <w:rFonts w:ascii="Times New Roman" w:hAnsi="Times New Roman"/>
          <w:b/>
          <w:snapToGrid/>
          <w:szCs w:val="24"/>
        </w:rPr>
        <w:t>(Block 1657, Lot 59)</w:t>
      </w:r>
      <w:r w:rsidR="00A71CBF" w:rsidRPr="00A71CBF">
        <w:rPr>
          <w:rFonts w:ascii="Times New Roman" w:hAnsi="Times New Roman"/>
          <w:b/>
          <w:snapToGrid/>
          <w:szCs w:val="24"/>
        </w:rPr>
        <w:t xml:space="preserve">, </w:t>
      </w:r>
      <w:r w:rsidR="00A71CBF" w:rsidRPr="002C01EF">
        <w:rPr>
          <w:rFonts w:ascii="Times New Roman" w:hAnsi="Times New Roman"/>
          <w:b/>
          <w:snapToGrid/>
          <w:szCs w:val="24"/>
        </w:rPr>
        <w:t>278 Bainbridge Street</w:t>
      </w:r>
      <w:r w:rsidR="00A71CBF" w:rsidRPr="00A71CBF">
        <w:rPr>
          <w:rFonts w:ascii="Times New Roman" w:hAnsi="Times New Roman"/>
          <w:b/>
          <w:snapToGrid/>
          <w:szCs w:val="24"/>
        </w:rPr>
        <w:t xml:space="preserve"> </w:t>
      </w:r>
      <w:r w:rsidR="00A71CBF" w:rsidRPr="002C01EF">
        <w:rPr>
          <w:rFonts w:ascii="Times New Roman" w:hAnsi="Times New Roman"/>
          <w:b/>
          <w:snapToGrid/>
          <w:szCs w:val="24"/>
        </w:rPr>
        <w:t>(Block 1687, Lot 47)</w:t>
      </w:r>
      <w:r w:rsidR="00A71CBF" w:rsidRPr="00A71CBF">
        <w:rPr>
          <w:rFonts w:ascii="Times New Roman" w:hAnsi="Times New Roman"/>
          <w:b/>
          <w:snapToGrid/>
          <w:szCs w:val="24"/>
        </w:rPr>
        <w:t xml:space="preserve">, 191 Chauncey Street </w:t>
      </w:r>
      <w:r w:rsidR="00A71CBF" w:rsidRPr="002C01EF">
        <w:rPr>
          <w:rFonts w:ascii="Times New Roman" w:hAnsi="Times New Roman"/>
          <w:b/>
          <w:snapToGrid/>
          <w:szCs w:val="24"/>
        </w:rPr>
        <w:t>(Block 1687, Lot 73)</w:t>
      </w:r>
      <w:r w:rsidR="00A71CBF" w:rsidRPr="00A71CBF">
        <w:rPr>
          <w:rFonts w:ascii="Times New Roman" w:hAnsi="Times New Roman"/>
          <w:b/>
          <w:snapToGrid/>
          <w:szCs w:val="24"/>
        </w:rPr>
        <w:t xml:space="preserve">, </w:t>
      </w:r>
      <w:r w:rsidR="00A71CBF" w:rsidRPr="002C01EF">
        <w:rPr>
          <w:rFonts w:ascii="Times New Roman" w:hAnsi="Times New Roman"/>
          <w:b/>
          <w:snapToGrid/>
          <w:szCs w:val="24"/>
        </w:rPr>
        <w:t>191R Chauncey Street</w:t>
      </w:r>
      <w:r w:rsidR="00A71CBF" w:rsidRPr="00A71CBF">
        <w:rPr>
          <w:rFonts w:ascii="Times New Roman" w:hAnsi="Times New Roman"/>
          <w:b/>
          <w:snapToGrid/>
          <w:szCs w:val="24"/>
        </w:rPr>
        <w:t xml:space="preserve"> </w:t>
      </w:r>
      <w:r w:rsidR="00A71CBF" w:rsidRPr="002C01EF">
        <w:rPr>
          <w:rFonts w:ascii="Times New Roman" w:hAnsi="Times New Roman"/>
          <w:b/>
          <w:snapToGrid/>
          <w:szCs w:val="24"/>
        </w:rPr>
        <w:t>(Block 1687, Lot 173)</w:t>
      </w:r>
      <w:r w:rsidR="00A71CBF" w:rsidRPr="00A71CBF">
        <w:rPr>
          <w:rFonts w:ascii="Times New Roman" w:hAnsi="Times New Roman"/>
          <w:b/>
          <w:snapToGrid/>
          <w:szCs w:val="24"/>
        </w:rPr>
        <w:t xml:space="preserve">, 179 Chauncey Street </w:t>
      </w:r>
      <w:r w:rsidR="00A71CBF" w:rsidRPr="002C01EF">
        <w:rPr>
          <w:rFonts w:ascii="Times New Roman" w:hAnsi="Times New Roman"/>
          <w:b/>
          <w:snapToGrid/>
          <w:szCs w:val="24"/>
        </w:rPr>
        <w:t>(Block 1687, Lot 80)</w:t>
      </w:r>
      <w:r w:rsidR="00A71CBF" w:rsidRPr="00A71CBF">
        <w:rPr>
          <w:rFonts w:ascii="Times New Roman" w:hAnsi="Times New Roman"/>
          <w:b/>
          <w:snapToGrid/>
          <w:szCs w:val="24"/>
        </w:rPr>
        <w:t xml:space="preserve">, </w:t>
      </w:r>
      <w:r w:rsidR="00A71CBF" w:rsidRPr="002C01EF">
        <w:rPr>
          <w:rFonts w:ascii="Times New Roman" w:hAnsi="Times New Roman"/>
          <w:b/>
          <w:snapToGrid/>
          <w:szCs w:val="24"/>
        </w:rPr>
        <w:t>13 Hunterfly Place</w:t>
      </w:r>
      <w:r w:rsidR="00A71CBF" w:rsidRPr="00A71CBF">
        <w:rPr>
          <w:rFonts w:ascii="Times New Roman" w:hAnsi="Times New Roman"/>
          <w:b/>
          <w:snapToGrid/>
          <w:szCs w:val="24"/>
        </w:rPr>
        <w:t xml:space="preserve"> </w:t>
      </w:r>
      <w:r w:rsidR="00A71CBF" w:rsidRPr="002C01EF">
        <w:rPr>
          <w:rFonts w:ascii="Times New Roman" w:hAnsi="Times New Roman"/>
          <w:b/>
          <w:snapToGrid/>
          <w:szCs w:val="24"/>
        </w:rPr>
        <w:t>(Block 1708, Lot 67)</w:t>
      </w:r>
      <w:r w:rsidR="00A71CBF" w:rsidRPr="00A71CBF">
        <w:rPr>
          <w:rFonts w:ascii="Times New Roman" w:hAnsi="Times New Roman"/>
          <w:b/>
          <w:snapToGrid/>
          <w:szCs w:val="24"/>
        </w:rPr>
        <w:t xml:space="preserve">, </w:t>
      </w:r>
      <w:r w:rsidR="00A71CBF" w:rsidRPr="002C01EF">
        <w:rPr>
          <w:rFonts w:ascii="Times New Roman" w:hAnsi="Times New Roman"/>
          <w:b/>
          <w:snapToGrid/>
          <w:szCs w:val="24"/>
        </w:rPr>
        <w:t>50 Buffalo Avenue</w:t>
      </w:r>
      <w:r w:rsidR="00A71CBF" w:rsidRPr="00A71CBF">
        <w:rPr>
          <w:rFonts w:ascii="Times New Roman" w:hAnsi="Times New Roman"/>
          <w:b/>
          <w:snapToGrid/>
          <w:szCs w:val="24"/>
        </w:rPr>
        <w:t xml:space="preserve"> </w:t>
      </w:r>
      <w:r w:rsidR="00A71CBF" w:rsidRPr="002C01EF">
        <w:rPr>
          <w:rFonts w:ascii="Times New Roman" w:hAnsi="Times New Roman"/>
          <w:b/>
          <w:snapToGrid/>
          <w:szCs w:val="24"/>
        </w:rPr>
        <w:t>(Block 1710, Lot 49)</w:t>
      </w:r>
      <w:r w:rsidR="00A71CBF" w:rsidRPr="00A71CBF">
        <w:rPr>
          <w:rFonts w:ascii="Times New Roman" w:hAnsi="Times New Roman"/>
          <w:b/>
          <w:snapToGrid/>
          <w:szCs w:val="24"/>
        </w:rPr>
        <w:t xml:space="preserve">, </w:t>
      </w:r>
      <w:r w:rsidR="00A71CBF" w:rsidRPr="002C01EF">
        <w:rPr>
          <w:rFonts w:ascii="Times New Roman" w:hAnsi="Times New Roman"/>
          <w:b/>
          <w:snapToGrid/>
          <w:szCs w:val="24"/>
        </w:rPr>
        <w:t>54 Buffalo Avenue</w:t>
      </w:r>
      <w:r w:rsidR="00A71CBF" w:rsidRPr="00A71CBF">
        <w:rPr>
          <w:rFonts w:ascii="Times New Roman" w:hAnsi="Times New Roman"/>
          <w:b/>
          <w:snapToGrid/>
          <w:szCs w:val="24"/>
        </w:rPr>
        <w:t xml:space="preserve"> </w:t>
      </w:r>
      <w:r w:rsidR="00A71CBF" w:rsidRPr="002C01EF">
        <w:rPr>
          <w:rFonts w:ascii="Times New Roman" w:hAnsi="Times New Roman"/>
          <w:b/>
          <w:snapToGrid/>
          <w:szCs w:val="24"/>
        </w:rPr>
        <w:t>(Block 1710, Lot 51)</w:t>
      </w:r>
      <w:r w:rsidR="00A71CBF" w:rsidRPr="00A71CBF">
        <w:rPr>
          <w:rFonts w:ascii="Times New Roman" w:hAnsi="Times New Roman"/>
          <w:b/>
          <w:snapToGrid/>
          <w:szCs w:val="24"/>
        </w:rPr>
        <w:t xml:space="preserve">, </w:t>
      </w:r>
      <w:r w:rsidR="00C67F34">
        <w:rPr>
          <w:rFonts w:ascii="Times New Roman" w:hAnsi="Times New Roman"/>
          <w:b/>
          <w:snapToGrid/>
          <w:szCs w:val="24"/>
        </w:rPr>
        <w:t xml:space="preserve">and </w:t>
      </w:r>
      <w:r w:rsidR="00A71CBF" w:rsidRPr="002C01EF">
        <w:rPr>
          <w:rFonts w:ascii="Times New Roman" w:hAnsi="Times New Roman"/>
          <w:b/>
          <w:snapToGrid/>
          <w:szCs w:val="24"/>
        </w:rPr>
        <w:t>1835 Atlantic Avenue</w:t>
      </w:r>
      <w:r w:rsidR="00A71CBF" w:rsidRPr="00A71CBF">
        <w:rPr>
          <w:rFonts w:ascii="Times New Roman" w:hAnsi="Times New Roman"/>
          <w:b/>
          <w:snapToGrid/>
          <w:szCs w:val="24"/>
        </w:rPr>
        <w:t xml:space="preserve"> </w:t>
      </w:r>
      <w:r w:rsidR="00A71CBF" w:rsidRPr="002C01EF">
        <w:rPr>
          <w:rFonts w:ascii="Times New Roman" w:hAnsi="Times New Roman"/>
          <w:b/>
          <w:snapToGrid/>
          <w:szCs w:val="24"/>
        </w:rPr>
        <w:t>(Block 1710, Lot 52)</w:t>
      </w:r>
      <w:r w:rsidR="00A71CBF" w:rsidRPr="00A71CBF">
        <w:rPr>
          <w:rFonts w:ascii="Times New Roman" w:hAnsi="Times New Roman"/>
          <w:b/>
          <w:snapToGrid/>
          <w:szCs w:val="24"/>
        </w:rPr>
        <w:t xml:space="preserve">, </w:t>
      </w:r>
      <w:r w:rsidR="005E4623" w:rsidRPr="00A71CBF">
        <w:rPr>
          <w:rFonts w:ascii="Times New Roman" w:hAnsi="Times New Roman"/>
          <w:b/>
          <w:szCs w:val="24"/>
        </w:rPr>
        <w:t xml:space="preserve">Borough of </w:t>
      </w:r>
      <w:r w:rsidR="00F20B72" w:rsidRPr="00A71CBF">
        <w:rPr>
          <w:rFonts w:ascii="Times New Roman" w:hAnsi="Times New Roman"/>
          <w:b/>
          <w:szCs w:val="24"/>
        </w:rPr>
        <w:t>Brooklyn</w:t>
      </w:r>
      <w:r w:rsidR="004541FC" w:rsidRPr="00A71CBF">
        <w:rPr>
          <w:rFonts w:ascii="Times New Roman" w:hAnsi="Times New Roman"/>
          <w:b/>
          <w:szCs w:val="24"/>
        </w:rPr>
        <w:t xml:space="preserve">; </w:t>
      </w:r>
      <w:r w:rsidRPr="00A71CBF">
        <w:rPr>
          <w:rFonts w:ascii="Times New Roman" w:hAnsi="Times New Roman"/>
          <w:b/>
          <w:szCs w:val="24"/>
        </w:rPr>
        <w:t>and waiving the urban development action area designation requirement and the Un</w:t>
      </w:r>
      <w:r w:rsidR="00BF593F" w:rsidRPr="00A71CBF">
        <w:rPr>
          <w:rFonts w:ascii="Times New Roman" w:hAnsi="Times New Roman"/>
          <w:b/>
          <w:szCs w:val="24"/>
        </w:rPr>
        <w:t>iform Land Use Review Procedure,</w:t>
      </w:r>
      <w:r w:rsidRPr="00A71CBF">
        <w:rPr>
          <w:rFonts w:ascii="Times New Roman" w:hAnsi="Times New Roman"/>
          <w:b/>
          <w:szCs w:val="24"/>
        </w:rPr>
        <w:t xml:space="preserve"> </w:t>
      </w:r>
      <w:r w:rsidR="00BA5C49" w:rsidRPr="00A71CBF">
        <w:rPr>
          <w:rFonts w:ascii="Times New Roman" w:hAnsi="Times New Roman"/>
          <w:b/>
          <w:szCs w:val="24"/>
        </w:rPr>
        <w:t>Community District</w:t>
      </w:r>
      <w:r w:rsidR="00A71CBF">
        <w:rPr>
          <w:rFonts w:ascii="Times New Roman" w:hAnsi="Times New Roman"/>
          <w:b/>
          <w:szCs w:val="24"/>
        </w:rPr>
        <w:t>s</w:t>
      </w:r>
      <w:r w:rsidR="005E4623" w:rsidRPr="00A71CBF">
        <w:rPr>
          <w:rFonts w:ascii="Times New Roman" w:hAnsi="Times New Roman"/>
          <w:b/>
          <w:szCs w:val="24"/>
        </w:rPr>
        <w:t xml:space="preserve"> </w:t>
      </w:r>
      <w:r w:rsidR="00A71CBF">
        <w:rPr>
          <w:rFonts w:ascii="Times New Roman" w:hAnsi="Times New Roman"/>
          <w:b/>
          <w:szCs w:val="24"/>
        </w:rPr>
        <w:t>3 and 8</w:t>
      </w:r>
      <w:r w:rsidR="00BF593F" w:rsidRPr="00A71CBF">
        <w:rPr>
          <w:rFonts w:ascii="Times New Roman" w:hAnsi="Times New Roman"/>
          <w:b/>
          <w:szCs w:val="24"/>
        </w:rPr>
        <w:t>,</w:t>
      </w:r>
      <w:r w:rsidR="00BA5C49" w:rsidRPr="00A71CBF">
        <w:rPr>
          <w:rFonts w:ascii="Times New Roman" w:hAnsi="Times New Roman"/>
          <w:b/>
          <w:szCs w:val="24"/>
        </w:rPr>
        <w:t xml:space="preserve"> Borough of </w:t>
      </w:r>
      <w:r w:rsidR="00EF2328" w:rsidRPr="00A71CBF">
        <w:rPr>
          <w:rFonts w:ascii="Times New Roman" w:hAnsi="Times New Roman"/>
          <w:b/>
          <w:szCs w:val="24"/>
        </w:rPr>
        <w:t>Brooklyn</w:t>
      </w:r>
      <w:r w:rsidR="00BA5C49" w:rsidRPr="00A71CBF">
        <w:rPr>
          <w:rFonts w:ascii="Times New Roman" w:hAnsi="Times New Roman"/>
          <w:b/>
          <w:szCs w:val="24"/>
        </w:rPr>
        <w:t xml:space="preserve"> (L.U. No.</w:t>
      </w:r>
      <w:r w:rsidR="00EF2328" w:rsidRPr="00A71CBF">
        <w:rPr>
          <w:rFonts w:ascii="Times New Roman" w:hAnsi="Times New Roman"/>
          <w:b/>
          <w:szCs w:val="24"/>
        </w:rPr>
        <w:t xml:space="preserve"> </w:t>
      </w:r>
      <w:r w:rsidR="00CB0F54">
        <w:rPr>
          <w:rFonts w:ascii="Times New Roman" w:hAnsi="Times New Roman"/>
          <w:b/>
          <w:szCs w:val="24"/>
        </w:rPr>
        <w:t>670</w:t>
      </w:r>
      <w:r w:rsidR="00BA5C49" w:rsidRPr="00A71CBF">
        <w:rPr>
          <w:rFonts w:ascii="Times New Roman" w:hAnsi="Times New Roman"/>
          <w:b/>
          <w:szCs w:val="24"/>
        </w:rPr>
        <w:t xml:space="preserve">; </w:t>
      </w:r>
      <w:r w:rsidR="00612EFF" w:rsidRPr="00A71CBF">
        <w:rPr>
          <w:rFonts w:ascii="Times New Roman" w:hAnsi="Times New Roman"/>
          <w:b/>
          <w:szCs w:val="24"/>
        </w:rPr>
        <w:t>20</w:t>
      </w:r>
      <w:r w:rsidR="003B7F88" w:rsidRPr="00A71CBF">
        <w:rPr>
          <w:rFonts w:ascii="Times New Roman" w:hAnsi="Times New Roman"/>
          <w:b/>
          <w:szCs w:val="24"/>
        </w:rPr>
        <w:t>205</w:t>
      </w:r>
      <w:r w:rsidR="00EF2328" w:rsidRPr="00A71CBF">
        <w:rPr>
          <w:rFonts w:ascii="Times New Roman" w:hAnsi="Times New Roman"/>
          <w:b/>
          <w:szCs w:val="24"/>
        </w:rPr>
        <w:t>41</w:t>
      </w:r>
      <w:r w:rsidR="00241D4B">
        <w:rPr>
          <w:rFonts w:ascii="Times New Roman" w:hAnsi="Times New Roman"/>
          <w:b/>
          <w:szCs w:val="24"/>
        </w:rPr>
        <w:t>7</w:t>
      </w:r>
      <w:r w:rsidR="003B7F88" w:rsidRPr="00A71CBF">
        <w:rPr>
          <w:rFonts w:ascii="Times New Roman" w:hAnsi="Times New Roman"/>
          <w:b/>
          <w:szCs w:val="24"/>
        </w:rPr>
        <w:t xml:space="preserve"> </w:t>
      </w:r>
      <w:r w:rsidR="00BA4DD0" w:rsidRPr="00A71CBF">
        <w:rPr>
          <w:rFonts w:ascii="Times New Roman" w:hAnsi="Times New Roman"/>
          <w:b/>
          <w:szCs w:val="24"/>
        </w:rPr>
        <w:t>HA</w:t>
      </w:r>
      <w:r w:rsidR="00C531ED" w:rsidRPr="00A71CBF">
        <w:rPr>
          <w:rFonts w:ascii="Times New Roman" w:hAnsi="Times New Roman"/>
          <w:b/>
          <w:szCs w:val="24"/>
        </w:rPr>
        <w:t>K</w:t>
      </w:r>
      <w:r w:rsidR="00BA5C49" w:rsidRPr="00A71CBF">
        <w:rPr>
          <w:rFonts w:ascii="Times New Roman" w:hAnsi="Times New Roman"/>
          <w:b/>
          <w:szCs w:val="24"/>
        </w:rPr>
        <w:t>).</w:t>
      </w:r>
    </w:p>
    <w:p w:rsidR="002C32F3" w:rsidRPr="00C531ED" w:rsidRDefault="002C32F3" w:rsidP="00DE39C1">
      <w:pPr>
        <w:jc w:val="both"/>
        <w:rPr>
          <w:rFonts w:ascii="Times New Roman" w:hAnsi="Times New Roman"/>
          <w:b/>
          <w:vanish/>
          <w:szCs w:val="24"/>
        </w:rPr>
      </w:pPr>
      <w:r w:rsidRPr="00C531ED">
        <w:rPr>
          <w:rFonts w:ascii="Times New Roman" w:hAnsi="Times New Roman"/>
          <w:b/>
          <w:vanish/>
          <w:szCs w:val="24"/>
        </w:rPr>
        <w:t>..Body</w:t>
      </w:r>
    </w:p>
    <w:p w:rsidR="003F6890" w:rsidRPr="00C531ED" w:rsidRDefault="003F6890" w:rsidP="00DE39C1">
      <w:pPr>
        <w:jc w:val="both"/>
        <w:rPr>
          <w:rFonts w:ascii="Times New Roman" w:hAnsi="Times New Roman"/>
          <w:b/>
          <w:szCs w:val="24"/>
        </w:rPr>
      </w:pPr>
    </w:p>
    <w:p w:rsidR="003F6890" w:rsidRPr="008B4CB7" w:rsidRDefault="003F6890" w:rsidP="00DE39C1">
      <w:pPr>
        <w:jc w:val="both"/>
        <w:rPr>
          <w:rFonts w:ascii="Times New Roman" w:hAnsi="Times New Roman"/>
          <w:szCs w:val="24"/>
        </w:rPr>
      </w:pPr>
      <w:r w:rsidRPr="008B4CB7">
        <w:rPr>
          <w:rFonts w:ascii="Times New Roman" w:hAnsi="Times New Roman"/>
          <w:b/>
          <w:szCs w:val="24"/>
        </w:rPr>
        <w:t xml:space="preserve">By Council Members </w:t>
      </w:r>
      <w:r w:rsidR="005E4623" w:rsidRPr="008B4CB7">
        <w:rPr>
          <w:rFonts w:ascii="Times New Roman" w:hAnsi="Times New Roman"/>
          <w:b/>
          <w:szCs w:val="24"/>
        </w:rPr>
        <w:t>Salamanca</w:t>
      </w:r>
      <w:r w:rsidR="00886F53" w:rsidRPr="008B4CB7">
        <w:rPr>
          <w:rFonts w:ascii="Times New Roman" w:hAnsi="Times New Roman"/>
          <w:b/>
          <w:szCs w:val="24"/>
        </w:rPr>
        <w:t xml:space="preserve"> and </w:t>
      </w:r>
      <w:r w:rsidR="003B7F88">
        <w:rPr>
          <w:rFonts w:ascii="Times New Roman" w:hAnsi="Times New Roman"/>
          <w:b/>
          <w:szCs w:val="24"/>
        </w:rPr>
        <w:t>Adams</w:t>
      </w:r>
    </w:p>
    <w:p w:rsidR="003F6890" w:rsidRPr="008B4CB7" w:rsidRDefault="003F6890" w:rsidP="00DE39C1">
      <w:pPr>
        <w:jc w:val="both"/>
        <w:rPr>
          <w:rFonts w:ascii="Times New Roman" w:hAnsi="Times New Roman"/>
          <w:szCs w:val="24"/>
        </w:rPr>
      </w:pPr>
    </w:p>
    <w:p w:rsidR="003F6890" w:rsidRPr="00056483" w:rsidRDefault="00A71CBF" w:rsidP="00A71CBF">
      <w:pPr>
        <w:tabs>
          <w:tab w:val="left" w:pos="720"/>
        </w:tabs>
        <w:suppressAutoHyphens/>
        <w:overflowPunct w:val="0"/>
        <w:autoSpaceDE w:val="0"/>
        <w:autoSpaceDN w:val="0"/>
        <w:adjustRightInd w:val="0"/>
        <w:jc w:val="both"/>
        <w:textAlignment w:val="baseline"/>
        <w:rPr>
          <w:rFonts w:ascii="Times New Roman" w:hAnsi="Times New Roman"/>
          <w:szCs w:val="24"/>
        </w:rPr>
      </w:pPr>
      <w:r>
        <w:rPr>
          <w:rFonts w:ascii="Times New Roman" w:hAnsi="Times New Roman"/>
          <w:szCs w:val="24"/>
        </w:rPr>
        <w:tab/>
      </w:r>
      <w:r w:rsidR="003F6890" w:rsidRPr="00C531ED">
        <w:rPr>
          <w:rFonts w:ascii="Times New Roman" w:hAnsi="Times New Roman"/>
          <w:szCs w:val="24"/>
        </w:rPr>
        <w:t>WHEREAS, the New York City Department of Housing Prese</w:t>
      </w:r>
      <w:r>
        <w:rPr>
          <w:rFonts w:ascii="Times New Roman" w:hAnsi="Times New Roman"/>
          <w:szCs w:val="24"/>
        </w:rPr>
        <w:t>rvation and Development ("HPD")</w:t>
      </w:r>
      <w:r w:rsidR="00DC075C">
        <w:rPr>
          <w:rFonts w:ascii="Times New Roman" w:hAnsi="Times New Roman"/>
          <w:szCs w:val="24"/>
        </w:rPr>
        <w:t xml:space="preserve"> </w:t>
      </w:r>
      <w:r w:rsidR="003F6890" w:rsidRPr="00C531ED">
        <w:rPr>
          <w:rFonts w:ascii="Times New Roman" w:hAnsi="Times New Roman"/>
          <w:szCs w:val="24"/>
        </w:rPr>
        <w:t xml:space="preserve">submitted to the Council on </w:t>
      </w:r>
      <w:r w:rsidR="00CB0F54">
        <w:rPr>
          <w:rFonts w:ascii="Times New Roman" w:hAnsi="Times New Roman"/>
          <w:szCs w:val="24"/>
        </w:rPr>
        <w:t>August 17</w:t>
      </w:r>
      <w:r w:rsidR="00C531ED" w:rsidRPr="00C531ED">
        <w:rPr>
          <w:rFonts w:ascii="Times New Roman" w:hAnsi="Times New Roman"/>
          <w:szCs w:val="24"/>
        </w:rPr>
        <w:t>, 2020</w:t>
      </w:r>
      <w:r w:rsidR="00B701E0" w:rsidRPr="00C531ED">
        <w:rPr>
          <w:rFonts w:ascii="Times New Roman" w:hAnsi="Times New Roman"/>
          <w:szCs w:val="24"/>
        </w:rPr>
        <w:t xml:space="preserve"> its</w:t>
      </w:r>
      <w:r w:rsidR="003F6890" w:rsidRPr="00C531ED">
        <w:rPr>
          <w:rFonts w:ascii="Times New Roman" w:hAnsi="Times New Roman"/>
          <w:szCs w:val="24"/>
        </w:rPr>
        <w:t xml:space="preserve"> request dated </w:t>
      </w:r>
      <w:r w:rsidR="00CB0F54">
        <w:rPr>
          <w:rFonts w:ascii="Times New Roman" w:hAnsi="Times New Roman"/>
          <w:szCs w:val="24"/>
        </w:rPr>
        <w:t>August 14</w:t>
      </w:r>
      <w:r w:rsidR="00C531ED" w:rsidRPr="00C531ED">
        <w:rPr>
          <w:rFonts w:ascii="Times New Roman" w:hAnsi="Times New Roman"/>
          <w:szCs w:val="24"/>
        </w:rPr>
        <w:t>,</w:t>
      </w:r>
      <w:r w:rsidR="00056483" w:rsidRPr="00C531ED">
        <w:rPr>
          <w:rFonts w:ascii="Times New Roman" w:hAnsi="Times New Roman"/>
          <w:szCs w:val="24"/>
        </w:rPr>
        <w:t xml:space="preserve"> 20</w:t>
      </w:r>
      <w:r w:rsidR="00C531ED" w:rsidRPr="00C531ED">
        <w:rPr>
          <w:rFonts w:ascii="Times New Roman" w:hAnsi="Times New Roman"/>
          <w:szCs w:val="24"/>
        </w:rPr>
        <w:t>20</w:t>
      </w:r>
      <w:r w:rsidR="003F6890" w:rsidRPr="00C531ED">
        <w:rPr>
          <w:rFonts w:ascii="Times New Roman" w:hAnsi="Times New Roman"/>
          <w:szCs w:val="24"/>
        </w:rPr>
        <w:t xml:space="preserve"> that the Council take the following actions regarding the </w:t>
      </w:r>
      <w:r w:rsidR="0001607B" w:rsidRPr="00C531ED">
        <w:rPr>
          <w:rFonts w:ascii="Times New Roman" w:hAnsi="Times New Roman"/>
          <w:szCs w:val="24"/>
        </w:rPr>
        <w:t>proposed</w:t>
      </w:r>
      <w:r w:rsidR="003F6890" w:rsidRPr="00C531ED">
        <w:rPr>
          <w:rFonts w:ascii="Times New Roman" w:hAnsi="Times New Roman"/>
          <w:szCs w:val="24"/>
        </w:rPr>
        <w:t xml:space="preserve"> Urban Development Action Area Project (the "Project") </w:t>
      </w:r>
      <w:r w:rsidR="00BF593F" w:rsidRPr="00C531ED">
        <w:rPr>
          <w:rFonts w:ascii="Times New Roman" w:hAnsi="Times New Roman"/>
          <w:szCs w:val="24"/>
        </w:rPr>
        <w:t>located at</w:t>
      </w:r>
      <w:r w:rsidR="00886F53" w:rsidRPr="00C531ED">
        <w:rPr>
          <w:rFonts w:ascii="Times New Roman" w:hAnsi="Times New Roman"/>
          <w:szCs w:val="24"/>
        </w:rPr>
        <w:t xml:space="preserve"> </w:t>
      </w:r>
      <w:r w:rsidRPr="002C01EF">
        <w:rPr>
          <w:rFonts w:ascii="Times New Roman" w:hAnsi="Times New Roman"/>
          <w:snapToGrid/>
          <w:szCs w:val="24"/>
        </w:rPr>
        <w:t>358 Malcolm X Boulevard</w:t>
      </w:r>
      <w:r w:rsidRPr="00A71CBF">
        <w:rPr>
          <w:rFonts w:ascii="Times New Roman" w:hAnsi="Times New Roman"/>
          <w:snapToGrid/>
          <w:szCs w:val="24"/>
        </w:rPr>
        <w:t xml:space="preserve"> </w:t>
      </w:r>
      <w:r w:rsidRPr="002C01EF">
        <w:rPr>
          <w:rFonts w:ascii="Times New Roman" w:hAnsi="Times New Roman"/>
          <w:snapToGrid/>
          <w:szCs w:val="24"/>
        </w:rPr>
        <w:t>(Block 1686, Lot 48)</w:t>
      </w:r>
      <w:r w:rsidRPr="00A71CBF">
        <w:rPr>
          <w:rFonts w:ascii="Times New Roman" w:hAnsi="Times New Roman"/>
          <w:snapToGrid/>
          <w:szCs w:val="24"/>
        </w:rPr>
        <w:t xml:space="preserve">, </w:t>
      </w:r>
      <w:r w:rsidRPr="002C01EF">
        <w:rPr>
          <w:rFonts w:ascii="Times New Roman" w:hAnsi="Times New Roman"/>
          <w:snapToGrid/>
          <w:szCs w:val="24"/>
        </w:rPr>
        <w:t>1662 Bergen Street</w:t>
      </w:r>
      <w:r w:rsidRPr="00A71CBF">
        <w:rPr>
          <w:rFonts w:ascii="Times New Roman" w:hAnsi="Times New Roman"/>
          <w:snapToGrid/>
          <w:szCs w:val="24"/>
        </w:rPr>
        <w:t xml:space="preserve"> </w:t>
      </w:r>
      <w:r w:rsidRPr="002C01EF">
        <w:rPr>
          <w:rFonts w:ascii="Times New Roman" w:hAnsi="Times New Roman"/>
          <w:snapToGrid/>
          <w:szCs w:val="24"/>
        </w:rPr>
        <w:t>(Block 1356, Lot 6)</w:t>
      </w:r>
      <w:r w:rsidRPr="00A71CBF">
        <w:rPr>
          <w:rFonts w:ascii="Times New Roman" w:hAnsi="Times New Roman"/>
          <w:snapToGrid/>
          <w:szCs w:val="24"/>
        </w:rPr>
        <w:t xml:space="preserve">, </w:t>
      </w:r>
      <w:r w:rsidRPr="002C01EF">
        <w:rPr>
          <w:rFonts w:ascii="Times New Roman" w:hAnsi="Times New Roman"/>
          <w:snapToGrid/>
          <w:szCs w:val="24"/>
        </w:rPr>
        <w:t>821 Willoughby Avenue</w:t>
      </w:r>
      <w:r w:rsidRPr="00A71CBF">
        <w:rPr>
          <w:rFonts w:ascii="Times New Roman" w:hAnsi="Times New Roman"/>
          <w:snapToGrid/>
          <w:szCs w:val="24"/>
        </w:rPr>
        <w:t xml:space="preserve"> (</w:t>
      </w:r>
      <w:r w:rsidRPr="002C01EF">
        <w:rPr>
          <w:rFonts w:ascii="Times New Roman" w:hAnsi="Times New Roman"/>
          <w:snapToGrid/>
          <w:szCs w:val="24"/>
        </w:rPr>
        <w:t>Block 1589, Lot 58)</w:t>
      </w:r>
      <w:r w:rsidRPr="00A71CBF">
        <w:rPr>
          <w:rFonts w:ascii="Times New Roman" w:hAnsi="Times New Roman"/>
          <w:snapToGrid/>
          <w:szCs w:val="24"/>
        </w:rPr>
        <w:t xml:space="preserve">, </w:t>
      </w:r>
      <w:r w:rsidRPr="002C01EF">
        <w:rPr>
          <w:rFonts w:ascii="Times New Roman" w:hAnsi="Times New Roman"/>
          <w:snapToGrid/>
          <w:szCs w:val="24"/>
        </w:rPr>
        <w:t>697A Jefferson Avenue</w:t>
      </w:r>
      <w:r w:rsidRPr="00A71CBF">
        <w:rPr>
          <w:rFonts w:ascii="Times New Roman" w:hAnsi="Times New Roman"/>
          <w:snapToGrid/>
          <w:szCs w:val="24"/>
        </w:rPr>
        <w:t xml:space="preserve"> </w:t>
      </w:r>
      <w:r w:rsidRPr="002C01EF">
        <w:rPr>
          <w:rFonts w:ascii="Times New Roman" w:hAnsi="Times New Roman"/>
          <w:snapToGrid/>
          <w:szCs w:val="24"/>
        </w:rPr>
        <w:t>(Block 1651, Lot 52)</w:t>
      </w:r>
      <w:r w:rsidRPr="00A71CBF">
        <w:rPr>
          <w:rFonts w:ascii="Times New Roman" w:hAnsi="Times New Roman"/>
          <w:snapToGrid/>
          <w:szCs w:val="24"/>
        </w:rPr>
        <w:t xml:space="preserve">, </w:t>
      </w:r>
      <w:r w:rsidRPr="002C01EF">
        <w:rPr>
          <w:rFonts w:ascii="Times New Roman" w:hAnsi="Times New Roman"/>
          <w:snapToGrid/>
          <w:szCs w:val="24"/>
        </w:rPr>
        <w:t>687A Hancock Street</w:t>
      </w:r>
      <w:r w:rsidRPr="00A71CBF">
        <w:rPr>
          <w:rFonts w:ascii="Times New Roman" w:hAnsi="Times New Roman"/>
          <w:snapToGrid/>
          <w:szCs w:val="24"/>
        </w:rPr>
        <w:t xml:space="preserve"> </w:t>
      </w:r>
      <w:r w:rsidRPr="002C01EF">
        <w:rPr>
          <w:rFonts w:ascii="Times New Roman" w:hAnsi="Times New Roman"/>
          <w:snapToGrid/>
          <w:szCs w:val="24"/>
        </w:rPr>
        <w:t>(Block 1657, Lot 59)</w:t>
      </w:r>
      <w:r w:rsidRPr="00A71CBF">
        <w:rPr>
          <w:rFonts w:ascii="Times New Roman" w:hAnsi="Times New Roman"/>
          <w:snapToGrid/>
          <w:szCs w:val="24"/>
        </w:rPr>
        <w:t xml:space="preserve">, </w:t>
      </w:r>
      <w:r w:rsidRPr="002C01EF">
        <w:rPr>
          <w:rFonts w:ascii="Times New Roman" w:hAnsi="Times New Roman"/>
          <w:snapToGrid/>
          <w:szCs w:val="24"/>
        </w:rPr>
        <w:t>278 Bainbridge Street</w:t>
      </w:r>
      <w:r w:rsidRPr="00A71CBF">
        <w:rPr>
          <w:rFonts w:ascii="Times New Roman" w:hAnsi="Times New Roman"/>
          <w:snapToGrid/>
          <w:szCs w:val="24"/>
        </w:rPr>
        <w:t xml:space="preserve"> </w:t>
      </w:r>
      <w:r w:rsidRPr="002C01EF">
        <w:rPr>
          <w:rFonts w:ascii="Times New Roman" w:hAnsi="Times New Roman"/>
          <w:snapToGrid/>
          <w:szCs w:val="24"/>
        </w:rPr>
        <w:t>(Block 1687, Lot 47)</w:t>
      </w:r>
      <w:r w:rsidRPr="00A71CBF">
        <w:rPr>
          <w:rFonts w:ascii="Times New Roman" w:hAnsi="Times New Roman"/>
          <w:snapToGrid/>
          <w:szCs w:val="24"/>
        </w:rPr>
        <w:t xml:space="preserve">, 191 Chauncey Street </w:t>
      </w:r>
      <w:r w:rsidRPr="002C01EF">
        <w:rPr>
          <w:rFonts w:ascii="Times New Roman" w:hAnsi="Times New Roman"/>
          <w:snapToGrid/>
          <w:szCs w:val="24"/>
        </w:rPr>
        <w:t>(Block 1687, Lot 73)</w:t>
      </w:r>
      <w:r w:rsidRPr="00A71CBF">
        <w:rPr>
          <w:rFonts w:ascii="Times New Roman" w:hAnsi="Times New Roman"/>
          <w:snapToGrid/>
          <w:szCs w:val="24"/>
        </w:rPr>
        <w:t xml:space="preserve">, </w:t>
      </w:r>
      <w:r w:rsidRPr="002C01EF">
        <w:rPr>
          <w:rFonts w:ascii="Times New Roman" w:hAnsi="Times New Roman"/>
          <w:snapToGrid/>
          <w:szCs w:val="24"/>
        </w:rPr>
        <w:t>191R Chauncey Street</w:t>
      </w:r>
      <w:r w:rsidRPr="00A71CBF">
        <w:rPr>
          <w:rFonts w:ascii="Times New Roman" w:hAnsi="Times New Roman"/>
          <w:snapToGrid/>
          <w:szCs w:val="24"/>
        </w:rPr>
        <w:t xml:space="preserve"> </w:t>
      </w:r>
      <w:r w:rsidRPr="002C01EF">
        <w:rPr>
          <w:rFonts w:ascii="Times New Roman" w:hAnsi="Times New Roman"/>
          <w:snapToGrid/>
          <w:szCs w:val="24"/>
        </w:rPr>
        <w:t>(Block 1687, Lot 173)</w:t>
      </w:r>
      <w:r w:rsidRPr="00A71CBF">
        <w:rPr>
          <w:rFonts w:ascii="Times New Roman" w:hAnsi="Times New Roman"/>
          <w:snapToGrid/>
          <w:szCs w:val="24"/>
        </w:rPr>
        <w:t xml:space="preserve">, 179 Chauncey Street </w:t>
      </w:r>
      <w:r w:rsidRPr="002C01EF">
        <w:rPr>
          <w:rFonts w:ascii="Times New Roman" w:hAnsi="Times New Roman"/>
          <w:snapToGrid/>
          <w:szCs w:val="24"/>
        </w:rPr>
        <w:t>(Block 1687, Lot 80)</w:t>
      </w:r>
      <w:r w:rsidRPr="00A71CBF">
        <w:rPr>
          <w:rFonts w:ascii="Times New Roman" w:hAnsi="Times New Roman"/>
          <w:snapToGrid/>
          <w:szCs w:val="24"/>
        </w:rPr>
        <w:t xml:space="preserve">, </w:t>
      </w:r>
      <w:r w:rsidRPr="002C01EF">
        <w:rPr>
          <w:rFonts w:ascii="Times New Roman" w:hAnsi="Times New Roman"/>
          <w:snapToGrid/>
          <w:szCs w:val="24"/>
        </w:rPr>
        <w:t>13 Hunterfly Place</w:t>
      </w:r>
      <w:r w:rsidRPr="00A71CBF">
        <w:rPr>
          <w:rFonts w:ascii="Times New Roman" w:hAnsi="Times New Roman"/>
          <w:snapToGrid/>
          <w:szCs w:val="24"/>
        </w:rPr>
        <w:t xml:space="preserve"> </w:t>
      </w:r>
      <w:r w:rsidRPr="002C01EF">
        <w:rPr>
          <w:rFonts w:ascii="Times New Roman" w:hAnsi="Times New Roman"/>
          <w:snapToGrid/>
          <w:szCs w:val="24"/>
        </w:rPr>
        <w:t>(Block 1708, Lot 67)</w:t>
      </w:r>
      <w:r w:rsidRPr="00A71CBF">
        <w:rPr>
          <w:rFonts w:ascii="Times New Roman" w:hAnsi="Times New Roman"/>
          <w:snapToGrid/>
          <w:szCs w:val="24"/>
        </w:rPr>
        <w:t xml:space="preserve">, </w:t>
      </w:r>
      <w:r w:rsidRPr="002C01EF">
        <w:rPr>
          <w:rFonts w:ascii="Times New Roman" w:hAnsi="Times New Roman"/>
          <w:snapToGrid/>
          <w:szCs w:val="24"/>
        </w:rPr>
        <w:t>50 Buffalo Avenue</w:t>
      </w:r>
      <w:r w:rsidRPr="00A71CBF">
        <w:rPr>
          <w:rFonts w:ascii="Times New Roman" w:hAnsi="Times New Roman"/>
          <w:snapToGrid/>
          <w:szCs w:val="24"/>
        </w:rPr>
        <w:t xml:space="preserve"> </w:t>
      </w:r>
      <w:r w:rsidRPr="002C01EF">
        <w:rPr>
          <w:rFonts w:ascii="Times New Roman" w:hAnsi="Times New Roman"/>
          <w:snapToGrid/>
          <w:szCs w:val="24"/>
        </w:rPr>
        <w:t>(Block 1710, Lot 49)</w:t>
      </w:r>
      <w:r w:rsidRPr="00A71CBF">
        <w:rPr>
          <w:rFonts w:ascii="Times New Roman" w:hAnsi="Times New Roman"/>
          <w:snapToGrid/>
          <w:szCs w:val="24"/>
        </w:rPr>
        <w:t xml:space="preserve">, </w:t>
      </w:r>
      <w:r w:rsidRPr="002C01EF">
        <w:rPr>
          <w:rFonts w:ascii="Times New Roman" w:hAnsi="Times New Roman"/>
          <w:snapToGrid/>
          <w:szCs w:val="24"/>
        </w:rPr>
        <w:t>54 Buffalo Avenue</w:t>
      </w:r>
      <w:r w:rsidRPr="00A71CBF">
        <w:rPr>
          <w:rFonts w:ascii="Times New Roman" w:hAnsi="Times New Roman"/>
          <w:snapToGrid/>
          <w:szCs w:val="24"/>
        </w:rPr>
        <w:t xml:space="preserve"> </w:t>
      </w:r>
      <w:r w:rsidRPr="002C01EF">
        <w:rPr>
          <w:rFonts w:ascii="Times New Roman" w:hAnsi="Times New Roman"/>
          <w:snapToGrid/>
          <w:szCs w:val="24"/>
        </w:rPr>
        <w:t>(Block 1710, Lot 51)</w:t>
      </w:r>
      <w:r w:rsidRPr="00A71CBF">
        <w:rPr>
          <w:rFonts w:ascii="Times New Roman" w:hAnsi="Times New Roman"/>
          <w:snapToGrid/>
          <w:szCs w:val="24"/>
        </w:rPr>
        <w:t xml:space="preserve">, </w:t>
      </w:r>
      <w:r w:rsidR="00C67F34">
        <w:rPr>
          <w:rFonts w:ascii="Times New Roman" w:hAnsi="Times New Roman"/>
          <w:snapToGrid/>
          <w:szCs w:val="24"/>
        </w:rPr>
        <w:t xml:space="preserve">and </w:t>
      </w:r>
      <w:r w:rsidRPr="002C01EF">
        <w:rPr>
          <w:rFonts w:ascii="Times New Roman" w:hAnsi="Times New Roman"/>
          <w:snapToGrid/>
          <w:szCs w:val="24"/>
        </w:rPr>
        <w:t>1835 Atlantic Avenue</w:t>
      </w:r>
      <w:r w:rsidRPr="00A71CBF">
        <w:rPr>
          <w:rFonts w:ascii="Times New Roman" w:hAnsi="Times New Roman"/>
          <w:snapToGrid/>
          <w:szCs w:val="24"/>
        </w:rPr>
        <w:t xml:space="preserve"> </w:t>
      </w:r>
      <w:r w:rsidRPr="002C01EF">
        <w:rPr>
          <w:rFonts w:ascii="Times New Roman" w:hAnsi="Times New Roman"/>
          <w:snapToGrid/>
          <w:szCs w:val="24"/>
        </w:rPr>
        <w:t>(Block 1710, Lot 52)</w:t>
      </w:r>
      <w:r>
        <w:rPr>
          <w:rFonts w:ascii="Times New Roman" w:hAnsi="Times New Roman"/>
          <w:snapToGrid/>
          <w:szCs w:val="24"/>
        </w:rPr>
        <w:t xml:space="preserve">, </w:t>
      </w:r>
      <w:r w:rsidR="00BF593F" w:rsidRPr="00056483">
        <w:rPr>
          <w:rFonts w:ascii="Times New Roman" w:hAnsi="Times New Roman"/>
          <w:szCs w:val="24"/>
        </w:rPr>
        <w:t>Community District</w:t>
      </w:r>
      <w:r>
        <w:rPr>
          <w:rFonts w:ascii="Times New Roman" w:hAnsi="Times New Roman"/>
          <w:szCs w:val="24"/>
        </w:rPr>
        <w:t>s 3 and 8</w:t>
      </w:r>
      <w:r w:rsidR="00BF593F" w:rsidRPr="00056483">
        <w:rPr>
          <w:rFonts w:ascii="Times New Roman" w:hAnsi="Times New Roman"/>
          <w:szCs w:val="24"/>
        </w:rPr>
        <w:t xml:space="preserve">, </w:t>
      </w:r>
      <w:r w:rsidR="003F6890" w:rsidRPr="00056483">
        <w:rPr>
          <w:rFonts w:ascii="Times New Roman" w:hAnsi="Times New Roman"/>
          <w:szCs w:val="24"/>
        </w:rPr>
        <w:t xml:space="preserve">Borough of </w:t>
      </w:r>
      <w:r w:rsidR="00C531ED">
        <w:rPr>
          <w:rFonts w:ascii="Times New Roman" w:hAnsi="Times New Roman"/>
          <w:szCs w:val="24"/>
        </w:rPr>
        <w:t>Brooklyn</w:t>
      </w:r>
      <w:r w:rsidR="003F6890" w:rsidRPr="00056483">
        <w:rPr>
          <w:rFonts w:ascii="Times New Roman" w:hAnsi="Times New Roman"/>
          <w:szCs w:val="24"/>
        </w:rPr>
        <w:t xml:space="preserve"> (the "</w:t>
      </w:r>
      <w:r w:rsidR="00886F53" w:rsidRPr="00056483">
        <w:rPr>
          <w:rFonts w:ascii="Times New Roman" w:hAnsi="Times New Roman"/>
          <w:szCs w:val="24"/>
        </w:rPr>
        <w:t>Disposition</w:t>
      </w:r>
      <w:r w:rsidR="003F6890" w:rsidRPr="00056483">
        <w:rPr>
          <w:rFonts w:ascii="Times New Roman" w:hAnsi="Times New Roman"/>
          <w:szCs w:val="24"/>
        </w:rPr>
        <w:t xml:space="preserve"> Area</w:t>
      </w:r>
      <w:r w:rsidR="00C531ED">
        <w:rPr>
          <w:rFonts w:ascii="Times New Roman" w:hAnsi="Times New Roman"/>
          <w:szCs w:val="24"/>
        </w:rPr>
        <w:t>”</w:t>
      </w:r>
      <w:r w:rsidR="003F6890" w:rsidRPr="00056483">
        <w:rPr>
          <w:rFonts w:ascii="Times New Roman" w:hAnsi="Times New Roman"/>
          <w:szCs w:val="24"/>
        </w:rPr>
        <w:t>):</w:t>
      </w:r>
    </w:p>
    <w:p w:rsidR="003F6890" w:rsidRPr="007B37DF" w:rsidRDefault="003F6890" w:rsidP="007B37DF">
      <w:pPr>
        <w:jc w:val="both"/>
        <w:rPr>
          <w:rFonts w:ascii="Times New Roman" w:hAnsi="Times New Roman"/>
          <w:szCs w:val="24"/>
        </w:rPr>
      </w:pPr>
    </w:p>
    <w:p w:rsidR="007B37DF" w:rsidRPr="007B37DF" w:rsidRDefault="007B37DF" w:rsidP="007B37DF">
      <w:pPr>
        <w:tabs>
          <w:tab w:val="left" w:pos="72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720" w:hanging="720"/>
        <w:jc w:val="both"/>
        <w:rPr>
          <w:rFonts w:ascii="Times New Roman" w:hAnsi="Times New Roman"/>
          <w:szCs w:val="24"/>
        </w:rPr>
      </w:pPr>
      <w:r w:rsidRPr="007B37DF">
        <w:rPr>
          <w:rFonts w:ascii="Times New Roman" w:hAnsi="Times New Roman"/>
          <w:szCs w:val="24"/>
        </w:rPr>
        <w:t>1.</w:t>
      </w:r>
      <w:r w:rsidRPr="007B37DF">
        <w:rPr>
          <w:rFonts w:ascii="Times New Roman" w:hAnsi="Times New Roman"/>
          <w:szCs w:val="24"/>
        </w:rPr>
        <w:tab/>
        <w:t>Find that the present status of the Disposition Area tends to impair or arrest the sound growth and development of the municipality and that the proposed Urban Development Action Area Project is consistent with the policy and purposes of Section 691 of the General Municipal Law;</w:t>
      </w:r>
    </w:p>
    <w:p w:rsidR="007B37DF" w:rsidRPr="007B37DF" w:rsidRDefault="007B37DF" w:rsidP="007B37DF">
      <w:pPr>
        <w:tabs>
          <w:tab w:val="left" w:pos="72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720" w:hanging="720"/>
        <w:jc w:val="both"/>
        <w:rPr>
          <w:rFonts w:ascii="Times New Roman" w:hAnsi="Times New Roman"/>
          <w:szCs w:val="24"/>
        </w:rPr>
      </w:pPr>
    </w:p>
    <w:p w:rsidR="007B37DF" w:rsidRPr="007B37DF" w:rsidRDefault="007B37DF" w:rsidP="007B37DF">
      <w:pPr>
        <w:tabs>
          <w:tab w:val="left" w:pos="72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720" w:hanging="720"/>
        <w:jc w:val="both"/>
        <w:rPr>
          <w:rFonts w:ascii="Times New Roman" w:hAnsi="Times New Roman"/>
          <w:szCs w:val="24"/>
        </w:rPr>
      </w:pPr>
      <w:r w:rsidRPr="007B37DF">
        <w:rPr>
          <w:rFonts w:ascii="Times New Roman" w:hAnsi="Times New Roman"/>
          <w:szCs w:val="24"/>
        </w:rPr>
        <w:t>2.</w:t>
      </w:r>
      <w:r w:rsidRPr="007B37DF">
        <w:rPr>
          <w:rFonts w:ascii="Times New Roman" w:hAnsi="Times New Roman"/>
          <w:szCs w:val="24"/>
        </w:rPr>
        <w:tab/>
        <w:t>Waive the area designation requirement of Section 693 of the General Municipal Law pursuant to Section 693 of the General Municipal Law;</w:t>
      </w:r>
    </w:p>
    <w:p w:rsidR="007B37DF" w:rsidRPr="007B37DF" w:rsidRDefault="007B37DF" w:rsidP="007B37DF">
      <w:pPr>
        <w:tabs>
          <w:tab w:val="left" w:pos="72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720" w:hanging="720"/>
        <w:jc w:val="both"/>
        <w:rPr>
          <w:rFonts w:ascii="Times New Roman" w:hAnsi="Times New Roman"/>
          <w:szCs w:val="24"/>
        </w:rPr>
      </w:pPr>
    </w:p>
    <w:p w:rsidR="007B37DF" w:rsidRPr="007B37DF" w:rsidRDefault="007B37DF" w:rsidP="007B37DF">
      <w:pPr>
        <w:tabs>
          <w:tab w:val="left" w:pos="72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720" w:hanging="720"/>
        <w:jc w:val="both"/>
        <w:rPr>
          <w:rFonts w:ascii="Times New Roman" w:hAnsi="Times New Roman"/>
          <w:szCs w:val="24"/>
        </w:rPr>
      </w:pPr>
      <w:r w:rsidRPr="007B37DF">
        <w:rPr>
          <w:rFonts w:ascii="Times New Roman" w:hAnsi="Times New Roman"/>
          <w:szCs w:val="24"/>
        </w:rPr>
        <w:t>3.</w:t>
      </w:r>
      <w:r w:rsidRPr="007B37DF">
        <w:rPr>
          <w:rFonts w:ascii="Times New Roman" w:hAnsi="Times New Roman"/>
          <w:szCs w:val="24"/>
        </w:rPr>
        <w:tab/>
        <w:t xml:space="preserve">Waive the requirements of Sections 197-c and 197-d of the Charter pursuant to Section 694 of the General Municipal Law; </w:t>
      </w:r>
    </w:p>
    <w:p w:rsidR="007B37DF" w:rsidRPr="007B37DF" w:rsidRDefault="007B37DF" w:rsidP="007B37DF">
      <w:pPr>
        <w:tabs>
          <w:tab w:val="left" w:pos="72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720" w:hanging="720"/>
        <w:jc w:val="both"/>
        <w:rPr>
          <w:rFonts w:ascii="Times New Roman" w:hAnsi="Times New Roman"/>
          <w:szCs w:val="24"/>
        </w:rPr>
      </w:pPr>
    </w:p>
    <w:p w:rsidR="007B37DF" w:rsidRPr="007B37DF" w:rsidRDefault="007B37DF" w:rsidP="007B37DF">
      <w:pPr>
        <w:tabs>
          <w:tab w:val="left" w:pos="72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720" w:hanging="720"/>
        <w:jc w:val="both"/>
        <w:rPr>
          <w:rFonts w:ascii="Times New Roman" w:hAnsi="Times New Roman"/>
          <w:szCs w:val="24"/>
        </w:rPr>
      </w:pPr>
      <w:r w:rsidRPr="007B37DF">
        <w:rPr>
          <w:rFonts w:ascii="Times New Roman" w:hAnsi="Times New Roman"/>
          <w:szCs w:val="24"/>
        </w:rPr>
        <w:t>4.</w:t>
      </w:r>
      <w:r w:rsidRPr="007B37DF">
        <w:rPr>
          <w:rFonts w:ascii="Times New Roman" w:hAnsi="Times New Roman"/>
          <w:szCs w:val="24"/>
        </w:rPr>
        <w:tab/>
        <w:t>Approve the project as an Urban Development Action Area Project pursuant to Section 694 of the General Municipal Law; and</w:t>
      </w:r>
    </w:p>
    <w:p w:rsidR="007B37DF" w:rsidRPr="007B37DF" w:rsidRDefault="007B37DF" w:rsidP="007B37DF">
      <w:pPr>
        <w:tabs>
          <w:tab w:val="left" w:pos="72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ind w:left="720" w:hanging="720"/>
        <w:jc w:val="both"/>
        <w:rPr>
          <w:rFonts w:ascii="Times New Roman" w:hAnsi="Times New Roman"/>
          <w:szCs w:val="24"/>
        </w:rPr>
      </w:pPr>
    </w:p>
    <w:p w:rsidR="007F2E3D" w:rsidRPr="007B37DF" w:rsidRDefault="007F2E3D" w:rsidP="007B37DF">
      <w:pPr>
        <w:tabs>
          <w:tab w:val="left" w:pos="-1440"/>
        </w:tabs>
        <w:ind w:left="720" w:hanging="720"/>
        <w:jc w:val="both"/>
        <w:rPr>
          <w:rFonts w:ascii="Times New Roman" w:hAnsi="Times New Roman"/>
          <w:szCs w:val="24"/>
        </w:rPr>
      </w:pPr>
      <w:r w:rsidRPr="007B37DF">
        <w:rPr>
          <w:rFonts w:ascii="Times New Roman" w:hAnsi="Times New Roman"/>
          <w:szCs w:val="24"/>
        </w:rPr>
        <w:t>5.</w:t>
      </w:r>
      <w:r w:rsidRPr="007B37DF">
        <w:rPr>
          <w:rFonts w:ascii="Times New Roman" w:hAnsi="Times New Roman"/>
          <w:szCs w:val="24"/>
        </w:rPr>
        <w:tab/>
        <w:t xml:space="preserve">Approve </w:t>
      </w:r>
      <w:r w:rsidR="002F74B5">
        <w:rPr>
          <w:rFonts w:ascii="Times New Roman" w:hAnsi="Times New Roman"/>
          <w:szCs w:val="24"/>
        </w:rPr>
        <w:t>an</w:t>
      </w:r>
      <w:r w:rsidRPr="007B37DF">
        <w:rPr>
          <w:rFonts w:ascii="Times New Roman" w:hAnsi="Times New Roman"/>
          <w:szCs w:val="24"/>
        </w:rPr>
        <w:t xml:space="preserve"> exemption of the </w:t>
      </w:r>
      <w:r w:rsidR="002F74B5">
        <w:rPr>
          <w:rFonts w:ascii="Times New Roman" w:hAnsi="Times New Roman"/>
          <w:szCs w:val="24"/>
        </w:rPr>
        <w:t>Exemption Area</w:t>
      </w:r>
      <w:r w:rsidRPr="007B37DF">
        <w:rPr>
          <w:rFonts w:ascii="Times New Roman" w:hAnsi="Times New Roman"/>
          <w:szCs w:val="24"/>
        </w:rPr>
        <w:t xml:space="preserve"> from real property taxes pursuant to Section </w:t>
      </w:r>
      <w:r w:rsidR="007259B6" w:rsidRPr="007B37DF">
        <w:rPr>
          <w:rFonts w:ascii="Times New Roman" w:hAnsi="Times New Roman"/>
          <w:szCs w:val="24"/>
        </w:rPr>
        <w:t>577 of Article XI of the Private Housing</w:t>
      </w:r>
      <w:r w:rsidR="00FE3231" w:rsidRPr="007B37DF">
        <w:rPr>
          <w:rFonts w:ascii="Times New Roman" w:hAnsi="Times New Roman"/>
          <w:szCs w:val="24"/>
        </w:rPr>
        <w:t xml:space="preserve"> Finance Law</w:t>
      </w:r>
      <w:r w:rsidRPr="007B37DF">
        <w:rPr>
          <w:rFonts w:ascii="Times New Roman" w:hAnsi="Times New Roman"/>
          <w:szCs w:val="24"/>
        </w:rPr>
        <w:t>.</w:t>
      </w:r>
    </w:p>
    <w:p w:rsidR="003F6890" w:rsidRPr="008B4CB7" w:rsidRDefault="003F6890" w:rsidP="00DE39C1">
      <w:pPr>
        <w:tabs>
          <w:tab w:val="left" w:pos="-1440"/>
        </w:tabs>
        <w:jc w:val="both"/>
        <w:rPr>
          <w:rFonts w:ascii="Times New Roman" w:hAnsi="Times New Roman"/>
          <w:szCs w:val="24"/>
        </w:rPr>
      </w:pPr>
      <w:r w:rsidRPr="008B4CB7">
        <w:rPr>
          <w:rFonts w:ascii="Times New Roman" w:hAnsi="Times New Roman"/>
          <w:szCs w:val="24"/>
        </w:rPr>
        <w:t xml:space="preserve">      </w:t>
      </w:r>
      <w:r w:rsidRPr="008B4CB7">
        <w:rPr>
          <w:rFonts w:ascii="Times New Roman" w:hAnsi="Times New Roman"/>
          <w:szCs w:val="24"/>
        </w:rPr>
        <w:tab/>
        <w:t>WHEREAS, the Project is to be developed on land that is</w:t>
      </w:r>
      <w:r w:rsidR="00C32BBC" w:rsidRPr="008B4CB7">
        <w:rPr>
          <w:rFonts w:ascii="Times New Roman" w:hAnsi="Times New Roman"/>
          <w:szCs w:val="24"/>
        </w:rPr>
        <w:t xml:space="preserve"> an eligible</w:t>
      </w:r>
      <w:r w:rsidRPr="008B4CB7">
        <w:rPr>
          <w:rFonts w:ascii="Times New Roman" w:hAnsi="Times New Roman"/>
          <w:szCs w:val="24"/>
        </w:rPr>
        <w:t xml:space="preserve"> area as defined in Section 692 of the General Municipal Law, consists solely of the rehabilitation or conservation of existing private or multiple dwellings or the construction of one to four unit dwellings, and does not require any change in land use permitted under the New York City Zoning Resolution;</w:t>
      </w:r>
    </w:p>
    <w:p w:rsidR="0039555C" w:rsidRPr="008B4CB7" w:rsidRDefault="0039555C" w:rsidP="00DE39C1">
      <w:pPr>
        <w:jc w:val="both"/>
        <w:rPr>
          <w:rFonts w:ascii="Times New Roman" w:hAnsi="Times New Roman"/>
          <w:szCs w:val="24"/>
        </w:rPr>
      </w:pPr>
    </w:p>
    <w:p w:rsidR="003F6890" w:rsidRPr="008B4CB7" w:rsidRDefault="003F6890" w:rsidP="00DE39C1">
      <w:pPr>
        <w:tabs>
          <w:tab w:val="left" w:pos="-1440"/>
        </w:tabs>
        <w:jc w:val="both"/>
        <w:rPr>
          <w:rFonts w:ascii="Times New Roman" w:hAnsi="Times New Roman"/>
          <w:szCs w:val="24"/>
        </w:rPr>
      </w:pPr>
      <w:r w:rsidRPr="008B4CB7">
        <w:rPr>
          <w:rFonts w:ascii="Times New Roman" w:hAnsi="Times New Roman"/>
          <w:szCs w:val="24"/>
        </w:rPr>
        <w:t xml:space="preserve">      </w:t>
      </w:r>
      <w:r w:rsidRPr="008B4CB7">
        <w:rPr>
          <w:rFonts w:ascii="Times New Roman" w:hAnsi="Times New Roman"/>
          <w:szCs w:val="24"/>
        </w:rPr>
        <w:tab/>
        <w:t xml:space="preserve">WHEREAS, upon due notice, the Council held a public hearing on the Project on </w:t>
      </w:r>
      <w:r w:rsidR="00FC72CB">
        <w:rPr>
          <w:rFonts w:ascii="Times New Roman" w:hAnsi="Times New Roman"/>
          <w:szCs w:val="24"/>
        </w:rPr>
        <w:t>September 10</w:t>
      </w:r>
      <w:r w:rsidR="00C531ED">
        <w:rPr>
          <w:rFonts w:ascii="Times New Roman" w:hAnsi="Times New Roman"/>
          <w:szCs w:val="24"/>
        </w:rPr>
        <w:t>, 2020</w:t>
      </w:r>
      <w:r w:rsidRPr="008B4CB7">
        <w:rPr>
          <w:rFonts w:ascii="Times New Roman" w:hAnsi="Times New Roman"/>
          <w:szCs w:val="24"/>
        </w:rPr>
        <w:t>;</w:t>
      </w:r>
      <w:r w:rsidR="003E256D">
        <w:rPr>
          <w:rFonts w:ascii="Times New Roman" w:hAnsi="Times New Roman"/>
          <w:szCs w:val="24"/>
        </w:rPr>
        <w:t xml:space="preserve"> and</w:t>
      </w:r>
    </w:p>
    <w:p w:rsidR="007C1E59" w:rsidRPr="008B4CB7" w:rsidRDefault="003F6890" w:rsidP="00DE39C1">
      <w:pPr>
        <w:jc w:val="both"/>
        <w:rPr>
          <w:rFonts w:ascii="Times New Roman" w:hAnsi="Times New Roman"/>
          <w:szCs w:val="24"/>
        </w:rPr>
      </w:pPr>
      <w:r w:rsidRPr="008B4CB7">
        <w:rPr>
          <w:rFonts w:ascii="Times New Roman" w:hAnsi="Times New Roman"/>
          <w:szCs w:val="24"/>
        </w:rPr>
        <w:t xml:space="preserve"> </w:t>
      </w:r>
      <w:r w:rsidRPr="008B4CB7">
        <w:rPr>
          <w:rFonts w:ascii="Times New Roman" w:hAnsi="Times New Roman"/>
          <w:szCs w:val="24"/>
        </w:rPr>
        <w:tab/>
      </w:r>
    </w:p>
    <w:p w:rsidR="003F6890" w:rsidRDefault="003F6890" w:rsidP="007C1E59">
      <w:pPr>
        <w:ind w:firstLine="720"/>
        <w:jc w:val="both"/>
        <w:rPr>
          <w:rFonts w:ascii="Times New Roman" w:hAnsi="Times New Roman"/>
          <w:szCs w:val="24"/>
        </w:rPr>
      </w:pPr>
      <w:r w:rsidRPr="008B4CB7">
        <w:rPr>
          <w:rFonts w:ascii="Times New Roman" w:hAnsi="Times New Roman"/>
          <w:szCs w:val="24"/>
        </w:rPr>
        <w:t>WHEREAS, the Council has considered the land use and financial implications and other policy</w:t>
      </w:r>
      <w:r w:rsidR="003E256D">
        <w:rPr>
          <w:rFonts w:ascii="Times New Roman" w:hAnsi="Times New Roman"/>
          <w:szCs w:val="24"/>
        </w:rPr>
        <w:t xml:space="preserve"> issues relating to the Project.</w:t>
      </w:r>
    </w:p>
    <w:p w:rsidR="00A71CBF" w:rsidRPr="008B4CB7" w:rsidRDefault="00A71CBF" w:rsidP="007C1E59">
      <w:pPr>
        <w:ind w:firstLine="720"/>
        <w:jc w:val="both"/>
        <w:rPr>
          <w:rFonts w:ascii="Times New Roman" w:hAnsi="Times New Roman"/>
          <w:szCs w:val="24"/>
        </w:rPr>
      </w:pPr>
    </w:p>
    <w:p w:rsidR="003F6890" w:rsidRPr="008B4CB7" w:rsidRDefault="003F6890" w:rsidP="00DE39C1">
      <w:pPr>
        <w:jc w:val="both"/>
        <w:rPr>
          <w:rFonts w:ascii="Times New Roman" w:hAnsi="Times New Roman"/>
          <w:szCs w:val="24"/>
        </w:rPr>
      </w:pPr>
      <w:r w:rsidRPr="008B4CB7">
        <w:rPr>
          <w:rFonts w:ascii="Times New Roman" w:hAnsi="Times New Roman"/>
          <w:szCs w:val="24"/>
        </w:rPr>
        <w:t>RESOLVED:</w:t>
      </w:r>
    </w:p>
    <w:p w:rsidR="003F6890" w:rsidRPr="008B4CB7" w:rsidRDefault="003F6890" w:rsidP="00DE39C1">
      <w:pPr>
        <w:jc w:val="both"/>
        <w:rPr>
          <w:rFonts w:ascii="Times New Roman" w:hAnsi="Times New Roman"/>
          <w:szCs w:val="24"/>
        </w:rPr>
      </w:pPr>
    </w:p>
    <w:p w:rsidR="003F6890" w:rsidRPr="008B4CB7" w:rsidRDefault="003F6890" w:rsidP="00DE39C1">
      <w:pPr>
        <w:tabs>
          <w:tab w:val="left" w:pos="-1440"/>
        </w:tabs>
        <w:jc w:val="both"/>
        <w:rPr>
          <w:rFonts w:ascii="Times New Roman" w:hAnsi="Times New Roman"/>
          <w:szCs w:val="24"/>
        </w:rPr>
      </w:pPr>
      <w:r w:rsidRPr="008B4CB7">
        <w:rPr>
          <w:rFonts w:ascii="Times New Roman" w:hAnsi="Times New Roman"/>
          <w:szCs w:val="24"/>
        </w:rPr>
        <w:t xml:space="preserve">      </w:t>
      </w:r>
      <w:r w:rsidRPr="008B4CB7">
        <w:rPr>
          <w:rFonts w:ascii="Times New Roman" w:hAnsi="Times New Roman"/>
          <w:szCs w:val="24"/>
        </w:rPr>
        <w:tab/>
        <w:t xml:space="preserve">The Council finds that the present status of the </w:t>
      </w:r>
      <w:r w:rsidR="00E94D13" w:rsidRPr="008B4CB7">
        <w:rPr>
          <w:rFonts w:ascii="Times New Roman" w:hAnsi="Times New Roman"/>
          <w:szCs w:val="24"/>
        </w:rPr>
        <w:t>Disposition</w:t>
      </w:r>
      <w:r w:rsidRPr="008B4CB7">
        <w:rPr>
          <w:rFonts w:ascii="Times New Roman" w:hAnsi="Times New Roman"/>
          <w:szCs w:val="24"/>
        </w:rPr>
        <w:t xml:space="preserve"> Area tends to impair or arrest the sound growth and development of the City of New York and that a designation of the Project as an </w:t>
      </w:r>
      <w:r w:rsidR="00D02468" w:rsidRPr="008B4CB7">
        <w:rPr>
          <w:rFonts w:ascii="Times New Roman" w:hAnsi="Times New Roman"/>
          <w:szCs w:val="24"/>
        </w:rPr>
        <w:t>U</w:t>
      </w:r>
      <w:r w:rsidRPr="008B4CB7">
        <w:rPr>
          <w:rFonts w:ascii="Times New Roman" w:hAnsi="Times New Roman"/>
          <w:szCs w:val="24"/>
        </w:rPr>
        <w:t xml:space="preserve">rban </w:t>
      </w:r>
      <w:r w:rsidR="00D02468" w:rsidRPr="008B4CB7">
        <w:rPr>
          <w:rFonts w:ascii="Times New Roman" w:hAnsi="Times New Roman"/>
          <w:szCs w:val="24"/>
        </w:rPr>
        <w:t>D</w:t>
      </w:r>
      <w:r w:rsidRPr="008B4CB7">
        <w:rPr>
          <w:rFonts w:ascii="Times New Roman" w:hAnsi="Times New Roman"/>
          <w:szCs w:val="24"/>
        </w:rPr>
        <w:t xml:space="preserve">evelopment </w:t>
      </w:r>
      <w:r w:rsidR="00D02468" w:rsidRPr="008B4CB7">
        <w:rPr>
          <w:rFonts w:ascii="Times New Roman" w:hAnsi="Times New Roman"/>
          <w:szCs w:val="24"/>
        </w:rPr>
        <w:t>A</w:t>
      </w:r>
      <w:r w:rsidRPr="008B4CB7">
        <w:rPr>
          <w:rFonts w:ascii="Times New Roman" w:hAnsi="Times New Roman"/>
          <w:szCs w:val="24"/>
        </w:rPr>
        <w:t xml:space="preserve">ction </w:t>
      </w:r>
      <w:r w:rsidR="00D02468" w:rsidRPr="008B4CB7">
        <w:rPr>
          <w:rFonts w:ascii="Times New Roman" w:hAnsi="Times New Roman"/>
          <w:szCs w:val="24"/>
        </w:rPr>
        <w:t>A</w:t>
      </w:r>
      <w:r w:rsidRPr="008B4CB7">
        <w:rPr>
          <w:rFonts w:ascii="Times New Roman" w:hAnsi="Times New Roman"/>
          <w:szCs w:val="24"/>
        </w:rPr>
        <w:t xml:space="preserve">rea </w:t>
      </w:r>
      <w:r w:rsidR="00D02468" w:rsidRPr="008B4CB7">
        <w:rPr>
          <w:rFonts w:ascii="Times New Roman" w:hAnsi="Times New Roman"/>
          <w:szCs w:val="24"/>
        </w:rPr>
        <w:t>P</w:t>
      </w:r>
      <w:r w:rsidRPr="008B4CB7">
        <w:rPr>
          <w:rFonts w:ascii="Times New Roman" w:hAnsi="Times New Roman"/>
          <w:szCs w:val="24"/>
        </w:rPr>
        <w:t>roject is consistent with the policy and purposes stated in Section 691 of the General Municipal Law.</w:t>
      </w:r>
    </w:p>
    <w:p w:rsidR="003F6890" w:rsidRPr="008B4CB7" w:rsidRDefault="003F6890" w:rsidP="00DE39C1">
      <w:pPr>
        <w:jc w:val="both"/>
        <w:rPr>
          <w:rFonts w:ascii="Times New Roman" w:hAnsi="Times New Roman"/>
          <w:szCs w:val="24"/>
        </w:rPr>
      </w:pPr>
    </w:p>
    <w:p w:rsidR="003F6890" w:rsidRPr="008B4CB7" w:rsidRDefault="003F6890" w:rsidP="00DE39C1">
      <w:pPr>
        <w:tabs>
          <w:tab w:val="left" w:pos="-1440"/>
        </w:tabs>
        <w:jc w:val="both"/>
        <w:rPr>
          <w:rFonts w:ascii="Times New Roman" w:hAnsi="Times New Roman"/>
          <w:szCs w:val="24"/>
        </w:rPr>
      </w:pPr>
      <w:r w:rsidRPr="008B4CB7">
        <w:rPr>
          <w:rFonts w:ascii="Times New Roman" w:hAnsi="Times New Roman"/>
          <w:szCs w:val="24"/>
        </w:rPr>
        <w:t xml:space="preserve">      </w:t>
      </w:r>
      <w:r w:rsidRPr="008B4CB7">
        <w:rPr>
          <w:rFonts w:ascii="Times New Roman" w:hAnsi="Times New Roman"/>
          <w:szCs w:val="24"/>
        </w:rPr>
        <w:tab/>
        <w:t>The Council waives the area designation requirement pursuant to Section 693 of the General Municipal Law.</w:t>
      </w:r>
    </w:p>
    <w:p w:rsidR="003F6890" w:rsidRPr="008B4CB7" w:rsidRDefault="003F6890" w:rsidP="00DE39C1">
      <w:pPr>
        <w:jc w:val="both"/>
        <w:rPr>
          <w:rFonts w:ascii="Times New Roman" w:hAnsi="Times New Roman"/>
          <w:szCs w:val="24"/>
        </w:rPr>
      </w:pPr>
    </w:p>
    <w:p w:rsidR="003F6890" w:rsidRPr="008B4CB7" w:rsidRDefault="003F6890" w:rsidP="002D43A2">
      <w:pPr>
        <w:tabs>
          <w:tab w:val="left" w:pos="720"/>
        </w:tabs>
        <w:ind w:firstLine="720"/>
        <w:jc w:val="both"/>
        <w:rPr>
          <w:rFonts w:ascii="Times New Roman" w:hAnsi="Times New Roman"/>
          <w:szCs w:val="24"/>
        </w:rPr>
      </w:pPr>
      <w:r w:rsidRPr="008B4CB7">
        <w:rPr>
          <w:rFonts w:ascii="Times New Roman" w:hAnsi="Times New Roman"/>
          <w:szCs w:val="24"/>
        </w:rPr>
        <w:t>The Council waives the requirements of Sections 197</w:t>
      </w:r>
      <w:r w:rsidRPr="008B4CB7">
        <w:rPr>
          <w:rFonts w:ascii="Times New Roman" w:hAnsi="Times New Roman"/>
          <w:szCs w:val="24"/>
        </w:rPr>
        <w:noBreakHyphen/>
        <w:t>c and 197</w:t>
      </w:r>
      <w:r w:rsidRPr="008B4CB7">
        <w:rPr>
          <w:rFonts w:ascii="Times New Roman" w:hAnsi="Times New Roman"/>
          <w:szCs w:val="24"/>
        </w:rPr>
        <w:noBreakHyphen/>
        <w:t>d of the New York City Charter pursuant to Section 694 of the General Municipal Law.</w:t>
      </w:r>
    </w:p>
    <w:p w:rsidR="003F6890" w:rsidRPr="008B4CB7" w:rsidRDefault="003F6890" w:rsidP="00DE39C1">
      <w:pPr>
        <w:jc w:val="both"/>
        <w:rPr>
          <w:rFonts w:ascii="Times New Roman" w:hAnsi="Times New Roman"/>
          <w:szCs w:val="24"/>
        </w:rPr>
      </w:pPr>
    </w:p>
    <w:p w:rsidR="003F6890" w:rsidRPr="008B4CB7" w:rsidRDefault="003F6890" w:rsidP="00DE39C1">
      <w:pPr>
        <w:tabs>
          <w:tab w:val="left" w:pos="-1440"/>
        </w:tabs>
        <w:jc w:val="both"/>
        <w:rPr>
          <w:rFonts w:ascii="Times New Roman" w:hAnsi="Times New Roman"/>
          <w:szCs w:val="24"/>
        </w:rPr>
      </w:pPr>
      <w:r w:rsidRPr="008B4CB7">
        <w:rPr>
          <w:rFonts w:ascii="Times New Roman" w:hAnsi="Times New Roman"/>
          <w:szCs w:val="24"/>
        </w:rPr>
        <w:t xml:space="preserve">      </w:t>
      </w:r>
      <w:r w:rsidRPr="008B4CB7">
        <w:rPr>
          <w:rFonts w:ascii="Times New Roman" w:hAnsi="Times New Roman"/>
          <w:szCs w:val="24"/>
        </w:rPr>
        <w:tab/>
        <w:t xml:space="preserve">The Council approves the Project as an </w:t>
      </w:r>
      <w:r w:rsidR="00D02468" w:rsidRPr="008B4CB7">
        <w:rPr>
          <w:rFonts w:ascii="Times New Roman" w:hAnsi="Times New Roman"/>
          <w:szCs w:val="24"/>
        </w:rPr>
        <w:t>U</w:t>
      </w:r>
      <w:r w:rsidRPr="008B4CB7">
        <w:rPr>
          <w:rFonts w:ascii="Times New Roman" w:hAnsi="Times New Roman"/>
          <w:szCs w:val="24"/>
        </w:rPr>
        <w:t xml:space="preserve">rban </w:t>
      </w:r>
      <w:r w:rsidR="00D02468" w:rsidRPr="008B4CB7">
        <w:rPr>
          <w:rFonts w:ascii="Times New Roman" w:hAnsi="Times New Roman"/>
          <w:szCs w:val="24"/>
        </w:rPr>
        <w:t>D</w:t>
      </w:r>
      <w:r w:rsidRPr="008B4CB7">
        <w:rPr>
          <w:rFonts w:ascii="Times New Roman" w:hAnsi="Times New Roman"/>
          <w:szCs w:val="24"/>
        </w:rPr>
        <w:t xml:space="preserve">evelopment </w:t>
      </w:r>
      <w:r w:rsidR="00D02468" w:rsidRPr="008B4CB7">
        <w:rPr>
          <w:rFonts w:ascii="Times New Roman" w:hAnsi="Times New Roman"/>
          <w:szCs w:val="24"/>
        </w:rPr>
        <w:t>A</w:t>
      </w:r>
      <w:r w:rsidRPr="008B4CB7">
        <w:rPr>
          <w:rFonts w:ascii="Times New Roman" w:hAnsi="Times New Roman"/>
          <w:szCs w:val="24"/>
        </w:rPr>
        <w:t xml:space="preserve">ction </w:t>
      </w:r>
      <w:r w:rsidR="00D02468" w:rsidRPr="008B4CB7">
        <w:rPr>
          <w:rFonts w:ascii="Times New Roman" w:hAnsi="Times New Roman"/>
          <w:szCs w:val="24"/>
        </w:rPr>
        <w:t>A</w:t>
      </w:r>
      <w:r w:rsidRPr="008B4CB7">
        <w:rPr>
          <w:rFonts w:ascii="Times New Roman" w:hAnsi="Times New Roman"/>
          <w:szCs w:val="24"/>
        </w:rPr>
        <w:t xml:space="preserve">rea </w:t>
      </w:r>
      <w:r w:rsidR="00D02468" w:rsidRPr="008B4CB7">
        <w:rPr>
          <w:rFonts w:ascii="Times New Roman" w:hAnsi="Times New Roman"/>
          <w:szCs w:val="24"/>
        </w:rPr>
        <w:t>P</w:t>
      </w:r>
      <w:r w:rsidRPr="008B4CB7">
        <w:rPr>
          <w:rFonts w:ascii="Times New Roman" w:hAnsi="Times New Roman"/>
          <w:szCs w:val="24"/>
        </w:rPr>
        <w:t>roject pursuant to Section 6</w:t>
      </w:r>
      <w:r w:rsidR="007C1E59" w:rsidRPr="008B4CB7">
        <w:rPr>
          <w:rFonts w:ascii="Times New Roman" w:hAnsi="Times New Roman"/>
          <w:szCs w:val="24"/>
        </w:rPr>
        <w:t>94 of the General Municipal Law</w:t>
      </w:r>
      <w:r w:rsidR="00E94D13" w:rsidRPr="008B4CB7">
        <w:rPr>
          <w:rFonts w:ascii="Times New Roman" w:hAnsi="Times New Roman"/>
          <w:szCs w:val="24"/>
        </w:rPr>
        <w:t>.</w:t>
      </w:r>
    </w:p>
    <w:p w:rsidR="007C1E59" w:rsidRPr="008B4CB7" w:rsidRDefault="007C1E59" w:rsidP="00DE39C1">
      <w:pPr>
        <w:tabs>
          <w:tab w:val="left" w:pos="-1440"/>
        </w:tabs>
        <w:jc w:val="both"/>
        <w:rPr>
          <w:rFonts w:ascii="Times New Roman" w:hAnsi="Times New Roman"/>
          <w:szCs w:val="24"/>
        </w:rPr>
      </w:pPr>
    </w:p>
    <w:p w:rsidR="003F6890" w:rsidRPr="008B4CB7" w:rsidRDefault="003F6890" w:rsidP="00DE39C1">
      <w:pPr>
        <w:tabs>
          <w:tab w:val="left" w:pos="-1440"/>
        </w:tabs>
        <w:jc w:val="both"/>
        <w:rPr>
          <w:rFonts w:ascii="Times New Roman" w:hAnsi="Times New Roman"/>
          <w:szCs w:val="24"/>
        </w:rPr>
      </w:pPr>
      <w:r w:rsidRPr="008B4CB7">
        <w:rPr>
          <w:rFonts w:ascii="Times New Roman" w:hAnsi="Times New Roman"/>
          <w:szCs w:val="24"/>
        </w:rPr>
        <w:t xml:space="preserve">      </w:t>
      </w:r>
      <w:r w:rsidRPr="008B4CB7">
        <w:rPr>
          <w:rFonts w:ascii="Times New Roman" w:hAnsi="Times New Roman"/>
          <w:szCs w:val="24"/>
        </w:rPr>
        <w:tab/>
        <w:t>The Project shall be developed in a manner consistent with the Project Summary that HPD has submitted to the Council</w:t>
      </w:r>
      <w:r w:rsidR="00B478DF" w:rsidRPr="008B4CB7">
        <w:rPr>
          <w:rFonts w:ascii="Times New Roman" w:hAnsi="Times New Roman"/>
          <w:szCs w:val="24"/>
        </w:rPr>
        <w:t xml:space="preserve"> on </w:t>
      </w:r>
      <w:r w:rsidR="00FC72CB">
        <w:rPr>
          <w:rFonts w:ascii="Times New Roman" w:hAnsi="Times New Roman"/>
          <w:szCs w:val="24"/>
        </w:rPr>
        <w:t>August 17</w:t>
      </w:r>
      <w:r w:rsidR="00C531ED">
        <w:rPr>
          <w:rFonts w:ascii="Times New Roman" w:hAnsi="Times New Roman"/>
          <w:szCs w:val="24"/>
        </w:rPr>
        <w:t>, 2020</w:t>
      </w:r>
      <w:r w:rsidRPr="008B4CB7">
        <w:rPr>
          <w:rFonts w:ascii="Times New Roman" w:hAnsi="Times New Roman"/>
          <w:szCs w:val="24"/>
        </w:rPr>
        <w:t>, a copy of which is attached hereto.</w:t>
      </w:r>
    </w:p>
    <w:p w:rsidR="00DE39C1" w:rsidRPr="008B4CB7" w:rsidRDefault="00DE39C1" w:rsidP="00DE39C1">
      <w:pPr>
        <w:tabs>
          <w:tab w:val="left" w:pos="-1440"/>
        </w:tabs>
        <w:jc w:val="both"/>
        <w:rPr>
          <w:rFonts w:ascii="Times New Roman" w:hAnsi="Times New Roman"/>
          <w:szCs w:val="24"/>
        </w:rPr>
      </w:pPr>
    </w:p>
    <w:p w:rsidR="00DE39C1" w:rsidRPr="008B4CB7" w:rsidRDefault="00C8019F" w:rsidP="00C8019F">
      <w:pPr>
        <w:tabs>
          <w:tab w:val="left" w:pos="540"/>
          <w:tab w:val="left" w:pos="72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jc w:val="both"/>
        <w:rPr>
          <w:rFonts w:ascii="Times New Roman" w:hAnsi="Times New Roman"/>
          <w:szCs w:val="24"/>
        </w:rPr>
      </w:pPr>
      <w:r w:rsidRPr="008B4CB7">
        <w:rPr>
          <w:rFonts w:ascii="Times New Roman" w:hAnsi="Times New Roman"/>
          <w:szCs w:val="24"/>
        </w:rPr>
        <w:tab/>
      </w:r>
      <w:r w:rsidRPr="008B4CB7">
        <w:rPr>
          <w:rFonts w:ascii="Times New Roman" w:hAnsi="Times New Roman"/>
          <w:szCs w:val="24"/>
        </w:rPr>
        <w:tab/>
        <w:t xml:space="preserve">Pursuant to Section </w:t>
      </w:r>
      <w:r w:rsidR="00B67256" w:rsidRPr="008B4CB7">
        <w:rPr>
          <w:rFonts w:ascii="Times New Roman" w:hAnsi="Times New Roman"/>
          <w:szCs w:val="24"/>
        </w:rPr>
        <w:t>577</w:t>
      </w:r>
      <w:r w:rsidRPr="008B4CB7">
        <w:rPr>
          <w:rFonts w:ascii="Times New Roman" w:hAnsi="Times New Roman"/>
          <w:szCs w:val="24"/>
        </w:rPr>
        <w:t xml:space="preserve"> of </w:t>
      </w:r>
      <w:r w:rsidR="00B67256" w:rsidRPr="008B4CB7">
        <w:rPr>
          <w:rFonts w:ascii="Times New Roman" w:hAnsi="Times New Roman"/>
          <w:szCs w:val="24"/>
        </w:rPr>
        <w:t>Article XI of the Private Housing Finance Law</w:t>
      </w:r>
      <w:r w:rsidRPr="008B4CB7">
        <w:rPr>
          <w:rFonts w:ascii="Times New Roman" w:hAnsi="Times New Roman"/>
          <w:szCs w:val="24"/>
        </w:rPr>
        <w:t>, the Council a</w:t>
      </w:r>
      <w:r w:rsidR="00DE39C1" w:rsidRPr="008B4CB7">
        <w:rPr>
          <w:rFonts w:ascii="Times New Roman" w:hAnsi="Times New Roman"/>
          <w:szCs w:val="24"/>
        </w:rPr>
        <w:t>pprove</w:t>
      </w:r>
      <w:r w:rsidRPr="008B4CB7">
        <w:rPr>
          <w:rFonts w:ascii="Times New Roman" w:hAnsi="Times New Roman"/>
          <w:szCs w:val="24"/>
        </w:rPr>
        <w:t>s</w:t>
      </w:r>
      <w:r w:rsidR="00DE39C1" w:rsidRPr="008B4CB7">
        <w:rPr>
          <w:rFonts w:ascii="Times New Roman" w:hAnsi="Times New Roman"/>
          <w:szCs w:val="24"/>
        </w:rPr>
        <w:t xml:space="preserve"> </w:t>
      </w:r>
      <w:r w:rsidRPr="008B4CB7">
        <w:rPr>
          <w:rFonts w:ascii="Times New Roman" w:hAnsi="Times New Roman"/>
          <w:szCs w:val="24"/>
        </w:rPr>
        <w:t>an</w:t>
      </w:r>
      <w:r w:rsidR="00DE39C1" w:rsidRPr="008B4CB7">
        <w:rPr>
          <w:rFonts w:ascii="Times New Roman" w:hAnsi="Times New Roman"/>
          <w:szCs w:val="24"/>
        </w:rPr>
        <w:t xml:space="preserve"> exemption of the </w:t>
      </w:r>
      <w:r w:rsidR="002F74B5">
        <w:rPr>
          <w:rFonts w:ascii="Times New Roman" w:hAnsi="Times New Roman"/>
          <w:szCs w:val="24"/>
        </w:rPr>
        <w:t>Exemption</w:t>
      </w:r>
      <w:r w:rsidRPr="008B4CB7">
        <w:rPr>
          <w:rFonts w:ascii="Times New Roman" w:hAnsi="Times New Roman"/>
          <w:szCs w:val="24"/>
        </w:rPr>
        <w:t xml:space="preserve"> Area </w:t>
      </w:r>
      <w:r w:rsidR="00DE39C1" w:rsidRPr="008B4CB7">
        <w:rPr>
          <w:rFonts w:ascii="Times New Roman" w:hAnsi="Times New Roman"/>
          <w:szCs w:val="24"/>
        </w:rPr>
        <w:t>from real property taxes</w:t>
      </w:r>
      <w:r w:rsidRPr="008B4CB7">
        <w:rPr>
          <w:rFonts w:ascii="Times New Roman" w:hAnsi="Times New Roman"/>
          <w:szCs w:val="24"/>
        </w:rPr>
        <w:t xml:space="preserve"> </w:t>
      </w:r>
      <w:r w:rsidR="00DE39C1" w:rsidRPr="008B4CB7">
        <w:rPr>
          <w:rFonts w:ascii="Times New Roman" w:hAnsi="Times New Roman"/>
          <w:szCs w:val="24"/>
        </w:rPr>
        <w:t>as follows:</w:t>
      </w:r>
    </w:p>
    <w:p w:rsidR="00140885" w:rsidRPr="00C531ED" w:rsidRDefault="00140885" w:rsidP="00C531ED">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 w:hanging="480"/>
        <w:jc w:val="both"/>
        <w:textAlignment w:val="baseline"/>
        <w:rPr>
          <w:rFonts w:ascii="Times New Roman" w:hAnsi="Times New Roman"/>
          <w:snapToGrid/>
          <w:szCs w:val="24"/>
        </w:rPr>
      </w:pPr>
    </w:p>
    <w:p w:rsidR="00C531ED" w:rsidRPr="00C531ED" w:rsidRDefault="00C531ED" w:rsidP="00611DC3">
      <w:pPr>
        <w:widowControl/>
        <w:tabs>
          <w:tab w:val="left" w:pos="720"/>
        </w:tabs>
        <w:overflowPunct w:val="0"/>
        <w:autoSpaceDE w:val="0"/>
        <w:autoSpaceDN w:val="0"/>
        <w:adjustRightInd w:val="0"/>
        <w:ind w:left="720" w:hanging="720"/>
        <w:jc w:val="both"/>
        <w:textAlignment w:val="baseline"/>
        <w:rPr>
          <w:rFonts w:ascii="Times New Roman" w:hAnsi="Times New Roman"/>
          <w:snapToGrid/>
          <w:szCs w:val="24"/>
        </w:rPr>
      </w:pPr>
      <w:r w:rsidRPr="00C531ED">
        <w:rPr>
          <w:rFonts w:ascii="Times New Roman" w:hAnsi="Times New Roman"/>
          <w:snapToGrid/>
          <w:szCs w:val="24"/>
        </w:rPr>
        <w:t>a.</w:t>
      </w:r>
      <w:r w:rsidRPr="00C531ED">
        <w:rPr>
          <w:rFonts w:ascii="Times New Roman" w:hAnsi="Times New Roman"/>
          <w:snapToGrid/>
          <w:szCs w:val="24"/>
        </w:rPr>
        <w:tab/>
        <w:t>All of the value of the property in the Disposition Area, including both the land and any improvements, shall be exempt from real property taxes, other than assessments for local improvements, for a period commencing upon the date of conveyance of the Disposition Area to a housing development fund company ("Article XI Commencement Date") and terminating upon the earlier to occur of (i) the fifth anniversary of the Article XI Commencement Date, or (ii) the date of reconveyance of the Disposition Area  to an owner which is not a housing development fund company ("Article XI Expiration Date").</w:t>
      </w:r>
    </w:p>
    <w:p w:rsidR="00C531ED" w:rsidRPr="00C531ED" w:rsidRDefault="00C531ED" w:rsidP="00611DC3">
      <w:pPr>
        <w:widowControl/>
        <w:tabs>
          <w:tab w:val="left" w:pos="720"/>
        </w:tabs>
        <w:overflowPunct w:val="0"/>
        <w:autoSpaceDE w:val="0"/>
        <w:autoSpaceDN w:val="0"/>
        <w:adjustRightInd w:val="0"/>
        <w:ind w:left="720" w:hanging="720"/>
        <w:jc w:val="both"/>
        <w:textAlignment w:val="baseline"/>
        <w:rPr>
          <w:rFonts w:ascii="Times New Roman" w:hAnsi="Times New Roman"/>
          <w:snapToGrid/>
          <w:szCs w:val="24"/>
        </w:rPr>
      </w:pPr>
    </w:p>
    <w:p w:rsidR="00C531ED" w:rsidRPr="00C531ED" w:rsidRDefault="00C531ED" w:rsidP="00611DC3">
      <w:pPr>
        <w:widowControl/>
        <w:tabs>
          <w:tab w:val="left" w:pos="720"/>
        </w:tabs>
        <w:overflowPunct w:val="0"/>
        <w:autoSpaceDE w:val="0"/>
        <w:autoSpaceDN w:val="0"/>
        <w:adjustRightInd w:val="0"/>
        <w:ind w:left="720" w:hanging="720"/>
        <w:jc w:val="both"/>
        <w:textAlignment w:val="baseline"/>
        <w:rPr>
          <w:rFonts w:ascii="Times New Roman" w:hAnsi="Times New Roman"/>
          <w:snapToGrid/>
          <w:szCs w:val="24"/>
        </w:rPr>
      </w:pPr>
      <w:r w:rsidRPr="00C531ED">
        <w:rPr>
          <w:rFonts w:ascii="Times New Roman" w:hAnsi="Times New Roman"/>
          <w:snapToGrid/>
          <w:szCs w:val="24"/>
        </w:rPr>
        <w:t>b.</w:t>
      </w:r>
      <w:r w:rsidRPr="00C531ED">
        <w:rPr>
          <w:rFonts w:ascii="Times New Roman" w:hAnsi="Times New Roman"/>
          <w:snapToGrid/>
          <w:szCs w:val="24"/>
        </w:rPr>
        <w:tab/>
        <w:t xml:space="preserve">In consideration of the tax exemption pursuant to Section 577 of the Private Housing Finance Law provided hereunder ("Article XI Exemption"), the owner of the Disposition Area shall waive the benefits, if any, of additional or concurrent real property tax abatement and/or tax exemption which may be authorized under any existing or future local, state, or </w:t>
      </w:r>
      <w:r w:rsidRPr="00C531ED">
        <w:rPr>
          <w:rFonts w:ascii="Times New Roman" w:hAnsi="Times New Roman"/>
          <w:snapToGrid/>
          <w:szCs w:val="24"/>
        </w:rPr>
        <w:lastRenderedPageBreak/>
        <w:t>federal law, rule, or regulation (“Alternative Tax Benefit”), for so long as the Article XI Exemption shall remain in effect.</w:t>
      </w:r>
    </w:p>
    <w:p w:rsidR="00C531ED" w:rsidRPr="00C531ED" w:rsidRDefault="00C531ED" w:rsidP="00611DC3">
      <w:pPr>
        <w:widowControl/>
        <w:tabs>
          <w:tab w:val="left" w:pos="720"/>
        </w:tabs>
        <w:overflowPunct w:val="0"/>
        <w:autoSpaceDE w:val="0"/>
        <w:autoSpaceDN w:val="0"/>
        <w:adjustRightInd w:val="0"/>
        <w:ind w:left="720" w:hanging="720"/>
        <w:jc w:val="both"/>
        <w:textAlignment w:val="baseline"/>
        <w:rPr>
          <w:rFonts w:ascii="Times New Roman" w:hAnsi="Times New Roman"/>
          <w:snapToGrid/>
          <w:szCs w:val="24"/>
        </w:rPr>
      </w:pPr>
    </w:p>
    <w:p w:rsidR="00C531ED" w:rsidRPr="00C531ED" w:rsidRDefault="00C531ED" w:rsidP="00611DC3">
      <w:pPr>
        <w:widowControl/>
        <w:tabs>
          <w:tab w:val="left" w:pos="720"/>
        </w:tabs>
        <w:overflowPunct w:val="0"/>
        <w:autoSpaceDE w:val="0"/>
        <w:autoSpaceDN w:val="0"/>
        <w:adjustRightInd w:val="0"/>
        <w:ind w:left="720" w:hanging="720"/>
        <w:jc w:val="both"/>
        <w:textAlignment w:val="baseline"/>
        <w:rPr>
          <w:rFonts w:ascii="Times New Roman" w:hAnsi="Times New Roman"/>
          <w:snapToGrid/>
          <w:szCs w:val="24"/>
        </w:rPr>
      </w:pPr>
      <w:r w:rsidRPr="00C531ED">
        <w:rPr>
          <w:rFonts w:ascii="Times New Roman" w:hAnsi="Times New Roman"/>
          <w:snapToGrid/>
          <w:szCs w:val="24"/>
        </w:rPr>
        <w:t>c.</w:t>
      </w:r>
      <w:r w:rsidRPr="00C531ED">
        <w:rPr>
          <w:rFonts w:ascii="Times New Roman" w:hAnsi="Times New Roman"/>
          <w:snapToGrid/>
          <w:szCs w:val="24"/>
        </w:rPr>
        <w:tab/>
        <w:t>The Article XI Exemption shall terminate if HPD determines at any time that (i) the Disposition Area is not being operated in accordance with the requirements of Article XI of the Private Housing Finance Law, or (ii) the Disposition Area is not being operated in accordance with the requirements of any agreement with, or for the benefit of, the City of New York.  HPD shall deliver written notice of any such determination to the property owner and all mortgagees of record, which notice shall provide for an opportunity to cure of not less than 60 days.  If the noncompliance specified in such notice is not cured within the time period specified therein, the Article XI Exemption shall prospectively terminate.</w:t>
      </w:r>
    </w:p>
    <w:p w:rsidR="00C531ED" w:rsidRPr="00C531ED" w:rsidRDefault="00C531ED" w:rsidP="00611DC3">
      <w:pPr>
        <w:widowControl/>
        <w:tabs>
          <w:tab w:val="left" w:pos="720"/>
        </w:tabs>
        <w:overflowPunct w:val="0"/>
        <w:autoSpaceDE w:val="0"/>
        <w:autoSpaceDN w:val="0"/>
        <w:adjustRightInd w:val="0"/>
        <w:ind w:left="720" w:hanging="720"/>
        <w:jc w:val="both"/>
        <w:textAlignment w:val="baseline"/>
        <w:rPr>
          <w:rFonts w:ascii="Times New Roman" w:hAnsi="Times New Roman"/>
          <w:snapToGrid/>
          <w:szCs w:val="24"/>
        </w:rPr>
      </w:pPr>
    </w:p>
    <w:p w:rsidR="00C531ED" w:rsidRPr="00C531ED" w:rsidRDefault="00C531ED" w:rsidP="00611DC3">
      <w:pPr>
        <w:widowControl/>
        <w:tabs>
          <w:tab w:val="left" w:pos="720"/>
        </w:tabs>
        <w:overflowPunct w:val="0"/>
        <w:autoSpaceDE w:val="0"/>
        <w:autoSpaceDN w:val="0"/>
        <w:adjustRightInd w:val="0"/>
        <w:ind w:left="720" w:hanging="720"/>
        <w:jc w:val="both"/>
        <w:textAlignment w:val="baseline"/>
        <w:rPr>
          <w:rFonts w:ascii="Times New Roman" w:hAnsi="Times New Roman"/>
          <w:snapToGrid/>
          <w:szCs w:val="24"/>
        </w:rPr>
      </w:pPr>
      <w:r w:rsidRPr="00C531ED">
        <w:rPr>
          <w:rFonts w:ascii="Times New Roman" w:hAnsi="Times New Roman"/>
          <w:snapToGrid/>
          <w:szCs w:val="24"/>
        </w:rPr>
        <w:t>d.</w:t>
      </w:r>
      <w:r w:rsidRPr="00C531ED">
        <w:rPr>
          <w:rFonts w:ascii="Times New Roman" w:hAnsi="Times New Roman"/>
          <w:snapToGrid/>
          <w:szCs w:val="24"/>
        </w:rPr>
        <w:tab/>
        <w:t>The provisions of the Article XI Exemption shall apply separately to each individual property comprising the Disposition Area, and a sale or other event which would cause the expiration, termination, or revocation of the Article XI Exemption with respect to one property in the Disposition Area shall not affect the continued validity of the Article XI Exemption with respect to other properties in the Disposition Area.</w:t>
      </w:r>
    </w:p>
    <w:p w:rsidR="00C531ED" w:rsidRDefault="00C531ED" w:rsidP="00611DC3">
      <w:pPr>
        <w:widowControl/>
        <w:tabs>
          <w:tab w:val="left" w:pos="720"/>
        </w:tabs>
        <w:overflowPunct w:val="0"/>
        <w:autoSpaceDE w:val="0"/>
        <w:autoSpaceDN w:val="0"/>
        <w:adjustRightInd w:val="0"/>
        <w:ind w:left="720" w:hanging="720"/>
        <w:jc w:val="both"/>
        <w:textAlignment w:val="baseline"/>
        <w:rPr>
          <w:rFonts w:ascii="Times New Roman" w:hAnsi="Times New Roman"/>
          <w:snapToGrid/>
          <w:szCs w:val="24"/>
        </w:rPr>
      </w:pPr>
    </w:p>
    <w:p w:rsidR="00611DC3" w:rsidRPr="00C531ED" w:rsidRDefault="00611DC3" w:rsidP="00611DC3">
      <w:pPr>
        <w:widowControl/>
        <w:tabs>
          <w:tab w:val="left" w:pos="720"/>
        </w:tabs>
        <w:overflowPunct w:val="0"/>
        <w:autoSpaceDE w:val="0"/>
        <w:autoSpaceDN w:val="0"/>
        <w:adjustRightInd w:val="0"/>
        <w:ind w:left="720" w:hanging="720"/>
        <w:jc w:val="both"/>
        <w:textAlignment w:val="baseline"/>
        <w:rPr>
          <w:rFonts w:ascii="Times New Roman" w:hAnsi="Times New Roman"/>
          <w:snapToGrid/>
          <w:szCs w:val="24"/>
        </w:rPr>
      </w:pPr>
    </w:p>
    <w:p w:rsidR="00C531ED" w:rsidRPr="00C531ED" w:rsidRDefault="00C531ED" w:rsidP="00611DC3">
      <w:pPr>
        <w:widowControl/>
        <w:overflowPunct w:val="0"/>
        <w:autoSpaceDE w:val="0"/>
        <w:autoSpaceDN w:val="0"/>
        <w:adjustRightInd w:val="0"/>
        <w:jc w:val="both"/>
        <w:textAlignment w:val="baseline"/>
        <w:rPr>
          <w:rFonts w:ascii="Times New Roman" w:hAnsi="Times New Roman"/>
          <w:snapToGrid/>
          <w:szCs w:val="24"/>
        </w:rPr>
      </w:pPr>
      <w:r w:rsidRPr="00C531ED">
        <w:rPr>
          <w:rFonts w:ascii="Times New Roman" w:hAnsi="Times New Roman"/>
          <w:snapToGrid/>
          <w:szCs w:val="24"/>
        </w:rPr>
        <w:t>Approve the exemption of the project from real property taxes pursuant to Section 696 of the General Municipal Law as follows:</w:t>
      </w:r>
    </w:p>
    <w:p w:rsidR="00C531ED" w:rsidRPr="00C531ED" w:rsidRDefault="00C531ED" w:rsidP="00611DC3">
      <w:pPr>
        <w:widowControl/>
        <w:tabs>
          <w:tab w:val="left" w:pos="720"/>
        </w:tabs>
        <w:overflowPunct w:val="0"/>
        <w:autoSpaceDE w:val="0"/>
        <w:autoSpaceDN w:val="0"/>
        <w:adjustRightInd w:val="0"/>
        <w:ind w:left="720" w:hanging="720"/>
        <w:jc w:val="both"/>
        <w:textAlignment w:val="baseline"/>
        <w:rPr>
          <w:rFonts w:ascii="Times New Roman" w:hAnsi="Times New Roman"/>
          <w:snapToGrid/>
          <w:szCs w:val="24"/>
        </w:rPr>
      </w:pPr>
    </w:p>
    <w:p w:rsidR="00C531ED" w:rsidRPr="00C531ED" w:rsidRDefault="00C531ED" w:rsidP="00611DC3">
      <w:pPr>
        <w:widowControl/>
        <w:tabs>
          <w:tab w:val="left" w:pos="720"/>
        </w:tabs>
        <w:overflowPunct w:val="0"/>
        <w:autoSpaceDE w:val="0"/>
        <w:autoSpaceDN w:val="0"/>
        <w:adjustRightInd w:val="0"/>
        <w:ind w:left="720" w:hanging="720"/>
        <w:jc w:val="both"/>
        <w:textAlignment w:val="baseline"/>
        <w:rPr>
          <w:rFonts w:ascii="Times New Roman" w:hAnsi="Times New Roman"/>
          <w:snapToGrid/>
          <w:szCs w:val="24"/>
        </w:rPr>
      </w:pPr>
      <w:r w:rsidRPr="00C531ED">
        <w:rPr>
          <w:rFonts w:ascii="Times New Roman" w:hAnsi="Times New Roman"/>
          <w:snapToGrid/>
          <w:szCs w:val="24"/>
        </w:rPr>
        <w:t>a.</w:t>
      </w:r>
      <w:r w:rsidRPr="00C531ED">
        <w:rPr>
          <w:rFonts w:ascii="Times New Roman" w:hAnsi="Times New Roman"/>
          <w:snapToGrid/>
          <w:szCs w:val="24"/>
        </w:rPr>
        <w:tab/>
        <w:t>All of the value of the buildings, structures, and other improvements situated on the Disposition Area shall be exempt from local and municipal taxes, other than assessments for local improvements and land value, for a period of 20 years commencing on the date of reconveyance of the Disposition Area to an owner which is not a housing development fund company ("UDAAP Commencement Date"); provided, however, that such exemption shall decrease in ten equal annual decrements commencing upon the July 1st immediately preceding the tenth anniversary of the UDAAP Commencement Date.</w:t>
      </w:r>
    </w:p>
    <w:p w:rsidR="00C531ED" w:rsidRPr="00C531ED" w:rsidRDefault="00C531ED" w:rsidP="00611DC3">
      <w:pPr>
        <w:widowControl/>
        <w:tabs>
          <w:tab w:val="left" w:pos="720"/>
        </w:tabs>
        <w:overflowPunct w:val="0"/>
        <w:autoSpaceDE w:val="0"/>
        <w:autoSpaceDN w:val="0"/>
        <w:adjustRightInd w:val="0"/>
        <w:ind w:left="720" w:hanging="720"/>
        <w:jc w:val="both"/>
        <w:textAlignment w:val="baseline"/>
        <w:rPr>
          <w:rFonts w:ascii="Times New Roman" w:hAnsi="Times New Roman"/>
          <w:snapToGrid/>
          <w:szCs w:val="24"/>
        </w:rPr>
      </w:pPr>
    </w:p>
    <w:p w:rsidR="00C531ED" w:rsidRPr="00C531ED" w:rsidRDefault="00C531ED" w:rsidP="00611DC3">
      <w:pPr>
        <w:widowControl/>
        <w:tabs>
          <w:tab w:val="left" w:pos="720"/>
        </w:tabs>
        <w:overflowPunct w:val="0"/>
        <w:autoSpaceDE w:val="0"/>
        <w:autoSpaceDN w:val="0"/>
        <w:adjustRightInd w:val="0"/>
        <w:ind w:left="720" w:hanging="720"/>
        <w:jc w:val="both"/>
        <w:textAlignment w:val="baseline"/>
        <w:rPr>
          <w:rFonts w:ascii="Times New Roman" w:hAnsi="Times New Roman"/>
          <w:snapToGrid/>
          <w:szCs w:val="24"/>
        </w:rPr>
      </w:pPr>
      <w:r w:rsidRPr="00C531ED">
        <w:rPr>
          <w:rFonts w:ascii="Times New Roman" w:hAnsi="Times New Roman"/>
          <w:snapToGrid/>
          <w:szCs w:val="24"/>
        </w:rPr>
        <w:t>b.</w:t>
      </w:r>
      <w:r w:rsidRPr="00C531ED">
        <w:rPr>
          <w:rFonts w:ascii="Times New Roman" w:hAnsi="Times New Roman"/>
          <w:snapToGrid/>
          <w:szCs w:val="24"/>
        </w:rPr>
        <w:tab/>
        <w:t>In consideration of the tax exemption pursuant to Section 696 of the General Municipal Law provided hereunder ("UDAAP Exemption"), the owner of the Disposition Area shall waive the benefits, if any, of any Alternative Tax Benefit for so long as the UDAAP Exemption shall remain in effect.</w:t>
      </w:r>
    </w:p>
    <w:p w:rsidR="00C531ED" w:rsidRPr="00C531ED" w:rsidRDefault="00C531ED" w:rsidP="00611DC3">
      <w:pPr>
        <w:widowControl/>
        <w:tabs>
          <w:tab w:val="left" w:pos="720"/>
        </w:tabs>
        <w:overflowPunct w:val="0"/>
        <w:autoSpaceDE w:val="0"/>
        <w:autoSpaceDN w:val="0"/>
        <w:adjustRightInd w:val="0"/>
        <w:ind w:left="720" w:hanging="720"/>
        <w:jc w:val="both"/>
        <w:textAlignment w:val="baseline"/>
        <w:rPr>
          <w:rFonts w:ascii="Times New Roman" w:hAnsi="Times New Roman"/>
          <w:snapToGrid/>
          <w:szCs w:val="24"/>
        </w:rPr>
      </w:pPr>
    </w:p>
    <w:p w:rsidR="00C531ED" w:rsidRPr="00C531ED" w:rsidRDefault="00C531ED" w:rsidP="00611DC3">
      <w:pPr>
        <w:widowControl/>
        <w:tabs>
          <w:tab w:val="left" w:pos="720"/>
        </w:tabs>
        <w:overflowPunct w:val="0"/>
        <w:autoSpaceDE w:val="0"/>
        <w:autoSpaceDN w:val="0"/>
        <w:adjustRightInd w:val="0"/>
        <w:ind w:left="720" w:hanging="720"/>
        <w:jc w:val="both"/>
        <w:textAlignment w:val="baseline"/>
        <w:rPr>
          <w:rFonts w:ascii="Times New Roman" w:hAnsi="Times New Roman"/>
          <w:snapToGrid/>
          <w:szCs w:val="24"/>
        </w:rPr>
      </w:pPr>
      <w:r w:rsidRPr="00C531ED">
        <w:rPr>
          <w:rFonts w:ascii="Times New Roman" w:hAnsi="Times New Roman"/>
          <w:snapToGrid/>
          <w:szCs w:val="24"/>
        </w:rPr>
        <w:t>c.</w:t>
      </w:r>
      <w:r w:rsidRPr="00C531ED">
        <w:rPr>
          <w:rFonts w:ascii="Times New Roman" w:hAnsi="Times New Roman"/>
          <w:snapToGrid/>
          <w:szCs w:val="24"/>
        </w:rPr>
        <w:tab/>
        <w:t xml:space="preserve">The UDAAP Exemption shall terminate with respect to all or any portion of the Disposition Area if the Department of Housing Preservation and Development (“HPD”) determines that such real property has not been, or is not being, developed, used, and/or operated in compliance with the requirements of all applicable agreements made by the transferee or any subsequent owner of such real property with, or for the benefit of, the City of New York.  HPD shall deliver written notice of any such determination of noncompliance to the owner of such real property and all mortgagees of record, which notice shall provide for </w:t>
      </w:r>
      <w:r w:rsidRPr="00C531ED">
        <w:rPr>
          <w:rFonts w:ascii="Times New Roman" w:hAnsi="Times New Roman"/>
          <w:snapToGrid/>
          <w:szCs w:val="24"/>
        </w:rPr>
        <w:lastRenderedPageBreak/>
        <w:t>an opportunity to cure of not less than 90 days.  If the noncompliance specified in such notice is not cured within the time period specified therein, the UDAAP Exemption shall prospectively terminate with respect to the real property specified therein.</w:t>
      </w:r>
    </w:p>
    <w:p w:rsidR="00C531ED" w:rsidRPr="00C531ED" w:rsidRDefault="00C531ED" w:rsidP="00611DC3">
      <w:pPr>
        <w:widowControl/>
        <w:tabs>
          <w:tab w:val="left" w:pos="720"/>
        </w:tabs>
        <w:overflowPunct w:val="0"/>
        <w:autoSpaceDE w:val="0"/>
        <w:autoSpaceDN w:val="0"/>
        <w:adjustRightInd w:val="0"/>
        <w:ind w:left="720" w:hanging="720"/>
        <w:jc w:val="both"/>
        <w:textAlignment w:val="baseline"/>
        <w:rPr>
          <w:rFonts w:ascii="Times New Roman" w:hAnsi="Times New Roman"/>
          <w:snapToGrid/>
          <w:szCs w:val="24"/>
        </w:rPr>
      </w:pPr>
    </w:p>
    <w:p w:rsidR="00C531ED" w:rsidRPr="00C531ED" w:rsidRDefault="00C531ED" w:rsidP="00611DC3">
      <w:pPr>
        <w:widowControl/>
        <w:tabs>
          <w:tab w:val="left" w:pos="720"/>
        </w:tabs>
        <w:overflowPunct w:val="0"/>
        <w:autoSpaceDE w:val="0"/>
        <w:autoSpaceDN w:val="0"/>
        <w:adjustRightInd w:val="0"/>
        <w:ind w:left="720" w:hanging="720"/>
        <w:jc w:val="both"/>
        <w:textAlignment w:val="baseline"/>
        <w:rPr>
          <w:rFonts w:ascii="Times New Roman" w:hAnsi="Times New Roman"/>
          <w:snapToGrid/>
          <w:szCs w:val="24"/>
        </w:rPr>
      </w:pPr>
      <w:r w:rsidRPr="00C531ED">
        <w:rPr>
          <w:rFonts w:ascii="Times New Roman" w:hAnsi="Times New Roman"/>
          <w:snapToGrid/>
          <w:szCs w:val="24"/>
        </w:rPr>
        <w:t>d.</w:t>
      </w:r>
      <w:r w:rsidRPr="00C531ED">
        <w:rPr>
          <w:rFonts w:ascii="Times New Roman" w:hAnsi="Times New Roman"/>
          <w:snapToGrid/>
          <w:szCs w:val="24"/>
        </w:rPr>
        <w:tab/>
        <w:t>Notwithstanding any other provision to the contrary, the combined duration of the Article XI Exemption and the UDAAP Exemption shall not exceed 25 years.</w:t>
      </w:r>
    </w:p>
    <w:p w:rsidR="00C531ED" w:rsidRPr="00C531ED" w:rsidRDefault="00C531ED" w:rsidP="00611DC3">
      <w:pPr>
        <w:widowControl/>
        <w:tabs>
          <w:tab w:val="left" w:pos="720"/>
        </w:tabs>
        <w:overflowPunct w:val="0"/>
        <w:autoSpaceDE w:val="0"/>
        <w:autoSpaceDN w:val="0"/>
        <w:adjustRightInd w:val="0"/>
        <w:ind w:left="720" w:hanging="720"/>
        <w:jc w:val="both"/>
        <w:textAlignment w:val="baseline"/>
        <w:rPr>
          <w:rFonts w:ascii="Times New Roman" w:hAnsi="Times New Roman"/>
          <w:snapToGrid/>
          <w:szCs w:val="24"/>
        </w:rPr>
      </w:pPr>
    </w:p>
    <w:p w:rsidR="00C531ED" w:rsidRPr="00C531ED" w:rsidRDefault="00C531ED" w:rsidP="00611DC3">
      <w:pPr>
        <w:widowControl/>
        <w:tabs>
          <w:tab w:val="left" w:pos="720"/>
        </w:tabs>
        <w:overflowPunct w:val="0"/>
        <w:autoSpaceDE w:val="0"/>
        <w:autoSpaceDN w:val="0"/>
        <w:adjustRightInd w:val="0"/>
        <w:ind w:left="720" w:hanging="720"/>
        <w:jc w:val="both"/>
        <w:textAlignment w:val="baseline"/>
        <w:rPr>
          <w:rFonts w:ascii="Times New Roman" w:hAnsi="Times New Roman"/>
          <w:snapToGrid/>
          <w:szCs w:val="24"/>
        </w:rPr>
      </w:pPr>
      <w:r w:rsidRPr="00C531ED">
        <w:rPr>
          <w:rFonts w:ascii="Times New Roman" w:hAnsi="Times New Roman"/>
          <w:snapToGrid/>
          <w:szCs w:val="24"/>
        </w:rPr>
        <w:t>e.</w:t>
      </w:r>
      <w:r w:rsidRPr="00C531ED">
        <w:rPr>
          <w:rFonts w:ascii="Times New Roman" w:hAnsi="Times New Roman"/>
          <w:snapToGrid/>
          <w:szCs w:val="24"/>
        </w:rPr>
        <w:tab/>
        <w:t>The provisions of the UDAAP Exemption shall apply separately to each individual property comprising the Disposition Area, and a sale or other event which would cause the expiration, termination, or revocation of the UDAAP Exemption with respect to one property in the Disposition Area shall not affect the continued validity of the UDAAP Exemption with respect to other properties in the Disposition Area.</w:t>
      </w:r>
    </w:p>
    <w:p w:rsidR="00C531ED" w:rsidRPr="00C531ED" w:rsidRDefault="00C531ED" w:rsidP="00611DC3">
      <w:pPr>
        <w:widowControl/>
        <w:tabs>
          <w:tab w:val="left" w:pos="480"/>
          <w:tab w:val="left" w:pos="72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720" w:hanging="720"/>
        <w:jc w:val="both"/>
        <w:textAlignment w:val="baseline"/>
        <w:rPr>
          <w:rFonts w:ascii="Times New Roman" w:hAnsi="Times New Roman"/>
          <w:snapToGrid/>
          <w:szCs w:val="24"/>
        </w:rPr>
      </w:pPr>
    </w:p>
    <w:p w:rsidR="00611DC3" w:rsidRDefault="00611DC3" w:rsidP="00EA3B9D">
      <w:pPr>
        <w:tabs>
          <w:tab w:val="left" w:pos="-1440"/>
          <w:tab w:val="left" w:pos="6390"/>
        </w:tabs>
        <w:jc w:val="both"/>
        <w:rPr>
          <w:rFonts w:ascii="Times New Roman" w:hAnsi="Times New Roman"/>
          <w:szCs w:val="24"/>
        </w:rPr>
      </w:pPr>
    </w:p>
    <w:p w:rsidR="00611DC3" w:rsidRDefault="00611DC3" w:rsidP="00EA3B9D">
      <w:pPr>
        <w:tabs>
          <w:tab w:val="left" w:pos="-1440"/>
          <w:tab w:val="left" w:pos="6390"/>
        </w:tabs>
        <w:jc w:val="both"/>
        <w:rPr>
          <w:rFonts w:ascii="Times New Roman" w:hAnsi="Times New Roman"/>
          <w:szCs w:val="24"/>
        </w:rPr>
      </w:pPr>
    </w:p>
    <w:p w:rsidR="00EA3B9D" w:rsidRPr="00EA3B9D" w:rsidRDefault="00EA3B9D" w:rsidP="00EA3B9D">
      <w:pPr>
        <w:widowControl/>
        <w:tabs>
          <w:tab w:val="center" w:pos="4812"/>
        </w:tabs>
        <w:suppressAutoHyphens/>
        <w:overflowPunct w:val="0"/>
        <w:autoSpaceDE w:val="0"/>
        <w:autoSpaceDN w:val="0"/>
        <w:adjustRightInd w:val="0"/>
        <w:jc w:val="center"/>
        <w:textAlignment w:val="baseline"/>
        <w:rPr>
          <w:rFonts w:ascii="Arial" w:hAnsi="Arial" w:cs="Arial"/>
          <w:snapToGrid/>
          <w:sz w:val="19"/>
          <w:szCs w:val="19"/>
        </w:rPr>
      </w:pPr>
      <w:r w:rsidRPr="00EA3B9D">
        <w:rPr>
          <w:rFonts w:ascii="Arial" w:hAnsi="Arial" w:cs="Arial"/>
          <w:b/>
          <w:snapToGrid/>
          <w:sz w:val="19"/>
          <w:szCs w:val="19"/>
          <w:u w:val="single"/>
        </w:rPr>
        <w:t>PROJECT SUMMARY</w:t>
      </w:r>
    </w:p>
    <w:p w:rsidR="00EA3B9D" w:rsidRPr="00EA3B9D" w:rsidRDefault="00EA3B9D" w:rsidP="00EA3B9D">
      <w:pPr>
        <w:widowControl/>
        <w:tabs>
          <w:tab w:val="left" w:pos="720"/>
          <w:tab w:val="left" w:pos="2880"/>
          <w:tab w:val="left" w:pos="4320"/>
          <w:tab w:val="left" w:pos="5040"/>
          <w:tab w:val="left" w:pos="8640"/>
        </w:tabs>
        <w:suppressAutoHyphens/>
        <w:overflowPunct w:val="0"/>
        <w:autoSpaceDE w:val="0"/>
        <w:autoSpaceDN w:val="0"/>
        <w:adjustRightInd w:val="0"/>
        <w:textAlignment w:val="baseline"/>
        <w:rPr>
          <w:rFonts w:ascii="Arial" w:hAnsi="Arial" w:cs="Arial"/>
          <w:snapToGrid/>
          <w:sz w:val="19"/>
          <w:szCs w:val="19"/>
        </w:rPr>
      </w:pPr>
    </w:p>
    <w:p w:rsidR="00A71CBF" w:rsidRDefault="00A71CBF" w:rsidP="00611DC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b/>
          <w:snapToGrid/>
          <w:sz w:val="20"/>
        </w:rPr>
      </w:pPr>
    </w:p>
    <w:p w:rsidR="00A71CBF" w:rsidRPr="00A71CBF" w:rsidRDefault="00A71CBF" w:rsidP="00A71CB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b/>
          <w:snapToGrid/>
          <w:sz w:val="20"/>
        </w:rPr>
      </w:pPr>
    </w:p>
    <w:p w:rsidR="00A71CBF" w:rsidRPr="00A71CBF" w:rsidRDefault="00A71CBF" w:rsidP="00A71CB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b/>
          <w:snapToGrid/>
          <w:sz w:val="20"/>
        </w:rPr>
        <w:sectPr w:rsidR="00A71CBF" w:rsidRPr="00A71CBF" w:rsidSect="00241D4B">
          <w:headerReference w:type="default" r:id="rId8"/>
          <w:endnotePr>
            <w:numFmt w:val="decimal"/>
          </w:endnotePr>
          <w:type w:val="continuous"/>
          <w:pgSz w:w="12240" w:h="15840" w:code="1"/>
          <w:pgMar w:top="360" w:right="1440" w:bottom="1440" w:left="1440" w:header="288" w:footer="720" w:gutter="0"/>
          <w:pgNumType w:start="1"/>
          <w:cols w:space="720"/>
          <w:noEndnote/>
          <w:titlePg/>
          <w:docGrid w:linePitch="326"/>
        </w:sectPr>
      </w:pPr>
    </w:p>
    <w:p w:rsidR="00A71CBF" w:rsidRPr="00A71CBF" w:rsidRDefault="00A71CBF" w:rsidP="00A71CB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A71CBF">
        <w:rPr>
          <w:rFonts w:ascii="Arial" w:hAnsi="Arial" w:cs="Arial"/>
          <w:b/>
          <w:snapToGrid/>
          <w:sz w:val="20"/>
        </w:rPr>
        <w:t>1.</w:t>
      </w:r>
      <w:r w:rsidRPr="00A71CBF">
        <w:rPr>
          <w:rFonts w:ascii="Arial" w:hAnsi="Arial" w:cs="Arial"/>
          <w:b/>
          <w:snapToGrid/>
          <w:sz w:val="20"/>
        </w:rPr>
        <w:tab/>
        <w:t>PROGRAM:</w:t>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t>OPEN DOOR PROGRAM</w:t>
      </w:r>
    </w:p>
    <w:p w:rsidR="00A71CBF" w:rsidRPr="00A71CBF" w:rsidRDefault="00A71CBF" w:rsidP="00A71CB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rsidR="00A71CBF" w:rsidRPr="00A71CBF" w:rsidRDefault="00A71CBF" w:rsidP="00A71CB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A71CBF">
        <w:rPr>
          <w:rFonts w:ascii="Arial" w:hAnsi="Arial" w:cs="Arial"/>
          <w:b/>
          <w:snapToGrid/>
          <w:sz w:val="20"/>
        </w:rPr>
        <w:t>2.</w:t>
      </w:r>
      <w:r w:rsidRPr="00A71CBF">
        <w:rPr>
          <w:rFonts w:ascii="Arial" w:hAnsi="Arial" w:cs="Arial"/>
          <w:b/>
          <w:snapToGrid/>
          <w:sz w:val="20"/>
        </w:rPr>
        <w:tab/>
        <w:t>PROJECT:</w:t>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t xml:space="preserve">Bed Stuy Central &amp; North I </w:t>
      </w:r>
    </w:p>
    <w:p w:rsidR="00A71CBF" w:rsidRPr="00A71CBF" w:rsidRDefault="00A71CBF" w:rsidP="00A71CB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rsidR="00A71CBF" w:rsidRPr="00A71CBF" w:rsidRDefault="00A71CBF" w:rsidP="00A71CB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 w:hanging="480"/>
        <w:textAlignment w:val="baseline"/>
        <w:rPr>
          <w:rFonts w:ascii="Arial" w:hAnsi="Arial" w:cs="Arial"/>
          <w:snapToGrid/>
          <w:sz w:val="20"/>
        </w:rPr>
      </w:pPr>
      <w:r w:rsidRPr="00A71CBF">
        <w:rPr>
          <w:rFonts w:ascii="Arial" w:hAnsi="Arial" w:cs="Arial"/>
          <w:b/>
          <w:snapToGrid/>
          <w:sz w:val="20"/>
        </w:rPr>
        <w:t>3.</w:t>
      </w:r>
      <w:r w:rsidRPr="00A71CBF">
        <w:rPr>
          <w:rFonts w:ascii="Arial" w:hAnsi="Arial" w:cs="Arial"/>
          <w:b/>
          <w:snapToGrid/>
          <w:sz w:val="20"/>
        </w:rPr>
        <w:tab/>
        <w:t>LOCATION:</w:t>
      </w:r>
    </w:p>
    <w:p w:rsidR="00A71CBF" w:rsidRPr="00A71CBF" w:rsidRDefault="00A71CBF" w:rsidP="00A71CB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rsidR="00A71CBF" w:rsidRPr="00A71CBF" w:rsidRDefault="00A71CBF" w:rsidP="00A71CB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A71CBF">
        <w:rPr>
          <w:rFonts w:ascii="Arial" w:hAnsi="Arial" w:cs="Arial"/>
          <w:b/>
          <w:snapToGrid/>
          <w:sz w:val="20"/>
        </w:rPr>
        <w:tab/>
        <w:t>a.</w:t>
      </w:r>
      <w:r w:rsidRPr="00A71CBF">
        <w:rPr>
          <w:rFonts w:ascii="Arial" w:hAnsi="Arial" w:cs="Arial"/>
          <w:b/>
          <w:snapToGrid/>
          <w:sz w:val="20"/>
        </w:rPr>
        <w:tab/>
        <w:t>BOROUGH:</w:t>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t>Brooklyn</w:t>
      </w:r>
    </w:p>
    <w:p w:rsidR="00A71CBF" w:rsidRPr="00A71CBF" w:rsidRDefault="00A71CBF" w:rsidP="00A71CB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rsidR="00A71CBF" w:rsidRPr="00A71CBF" w:rsidRDefault="00A71CBF" w:rsidP="00A71CBF">
      <w:pPr>
        <w:widowControl/>
        <w:tabs>
          <w:tab w:val="left" w:pos="480"/>
          <w:tab w:val="left" w:pos="960"/>
          <w:tab w:val="left" w:pos="1440"/>
          <w:tab w:val="left" w:pos="1920"/>
          <w:tab w:val="left" w:pos="2400"/>
          <w:tab w:val="left" w:pos="2880"/>
          <w:tab w:val="left" w:pos="3360"/>
          <w:tab w:val="left" w:pos="3840"/>
          <w:tab w:val="left" w:pos="4320"/>
          <w:tab w:val="left" w:pos="4800"/>
          <w:tab w:val="left" w:pos="5234"/>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A71CBF">
        <w:rPr>
          <w:rFonts w:ascii="Arial" w:hAnsi="Arial" w:cs="Arial"/>
          <w:b/>
          <w:snapToGrid/>
          <w:sz w:val="20"/>
        </w:rPr>
        <w:tab/>
        <w:t>b.</w:t>
      </w:r>
      <w:r w:rsidRPr="00A71CBF">
        <w:rPr>
          <w:rFonts w:ascii="Arial" w:hAnsi="Arial" w:cs="Arial"/>
          <w:b/>
          <w:snapToGrid/>
          <w:sz w:val="20"/>
        </w:rPr>
        <w:tab/>
        <w:t>COMMUNITY DISTRICTS:</w:t>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t>3 &amp; 8</w:t>
      </w:r>
    </w:p>
    <w:p w:rsidR="00A71CBF" w:rsidRPr="00A71CBF" w:rsidRDefault="00A71CBF" w:rsidP="00A71CB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rsidR="00A71CBF" w:rsidRPr="00A71CBF" w:rsidRDefault="00A71CBF" w:rsidP="00A71CB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A71CBF">
        <w:rPr>
          <w:rFonts w:ascii="Arial" w:hAnsi="Arial" w:cs="Arial"/>
          <w:b/>
          <w:snapToGrid/>
          <w:sz w:val="20"/>
        </w:rPr>
        <w:tab/>
        <w:t>c.</w:t>
      </w:r>
      <w:r w:rsidRPr="00A71CBF">
        <w:rPr>
          <w:rFonts w:ascii="Arial" w:hAnsi="Arial" w:cs="Arial"/>
          <w:b/>
          <w:snapToGrid/>
          <w:sz w:val="20"/>
        </w:rPr>
        <w:tab/>
        <w:t>COUNCIL DISTRICT:</w:t>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t>36</w:t>
      </w:r>
    </w:p>
    <w:p w:rsidR="00A71CBF" w:rsidRPr="00A71CBF" w:rsidRDefault="00A71CBF" w:rsidP="00A71CB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rsidR="00A71CBF" w:rsidRPr="00A71CBF" w:rsidRDefault="00A71CBF" w:rsidP="00A71CB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6240" w:hanging="6240"/>
        <w:textAlignment w:val="baseline"/>
        <w:rPr>
          <w:rFonts w:ascii="Arial" w:hAnsi="Arial" w:cs="Arial"/>
          <w:snapToGrid/>
          <w:sz w:val="20"/>
        </w:rPr>
      </w:pPr>
      <w:r w:rsidRPr="00A71CBF">
        <w:rPr>
          <w:rFonts w:ascii="Arial" w:hAnsi="Arial" w:cs="Arial"/>
          <w:b/>
          <w:snapToGrid/>
          <w:sz w:val="20"/>
        </w:rPr>
        <w:tab/>
        <w:t>d.</w:t>
      </w:r>
      <w:r w:rsidRPr="00A71CBF">
        <w:rPr>
          <w:rFonts w:ascii="Arial" w:hAnsi="Arial" w:cs="Arial"/>
          <w:b/>
          <w:snapToGrid/>
          <w:sz w:val="20"/>
        </w:rPr>
        <w:tab/>
        <w:t>DISPOSITION AREA:</w:t>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u w:val="single"/>
        </w:rPr>
        <w:t>BLOCKS</w:t>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u w:val="single"/>
        </w:rPr>
        <w:t>LOTS</w:t>
      </w:r>
    </w:p>
    <w:p w:rsidR="00A71CBF" w:rsidRPr="00A71CBF" w:rsidRDefault="00A71CBF" w:rsidP="00A71CB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6240" w:hanging="6240"/>
        <w:textAlignment w:val="baseline"/>
        <w:rPr>
          <w:rFonts w:ascii="Arial" w:hAnsi="Arial" w:cs="Arial"/>
          <w:snapToGrid/>
          <w:sz w:val="20"/>
        </w:rPr>
      </w:pPr>
    </w:p>
    <w:p w:rsidR="00A71CBF" w:rsidRPr="00A71CBF" w:rsidRDefault="00A71CBF" w:rsidP="00A71CB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t>1686</w:t>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t>48</w:t>
      </w:r>
    </w:p>
    <w:p w:rsidR="00A71CBF" w:rsidRPr="00A71CBF" w:rsidRDefault="00A71CBF" w:rsidP="00A71CB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t>1356</w:t>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t>6</w:t>
      </w:r>
    </w:p>
    <w:p w:rsidR="00A71CBF" w:rsidRPr="00A71CBF" w:rsidRDefault="00A71CBF" w:rsidP="00A71CB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t>1589</w:t>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t>58</w:t>
      </w:r>
    </w:p>
    <w:p w:rsidR="00A71CBF" w:rsidRPr="00A71CBF" w:rsidRDefault="00A71CBF" w:rsidP="00A71CB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t>1651</w:t>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t>52</w:t>
      </w:r>
    </w:p>
    <w:p w:rsidR="00A71CBF" w:rsidRPr="00A71CBF" w:rsidRDefault="00A71CBF" w:rsidP="00A71CB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t>1657</w:t>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t>59</w:t>
      </w:r>
    </w:p>
    <w:p w:rsidR="00A71CBF" w:rsidRPr="00A71CBF" w:rsidRDefault="00A71CBF" w:rsidP="00A71CB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t>1687</w:t>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t>47</w:t>
      </w:r>
    </w:p>
    <w:p w:rsidR="00A71CBF" w:rsidRPr="00A71CBF" w:rsidRDefault="00A71CBF" w:rsidP="00A71CB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t>1687</w:t>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t>73</w:t>
      </w:r>
    </w:p>
    <w:p w:rsidR="00A71CBF" w:rsidRPr="00A71CBF" w:rsidRDefault="00A71CBF" w:rsidP="00A71CB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t>1687</w:t>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t>173</w:t>
      </w:r>
    </w:p>
    <w:p w:rsidR="00A71CBF" w:rsidRPr="00A71CBF" w:rsidRDefault="00A71CBF" w:rsidP="00A71CB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t>1687</w:t>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t>80</w:t>
      </w:r>
    </w:p>
    <w:p w:rsidR="00A71CBF" w:rsidRPr="00A71CBF" w:rsidRDefault="00A71CBF" w:rsidP="00A71CB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t>1708</w:t>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t>67</w:t>
      </w:r>
    </w:p>
    <w:p w:rsidR="00A71CBF" w:rsidRPr="00A71CBF" w:rsidRDefault="00A71CBF" w:rsidP="00A71CB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1440" w:hanging="1440"/>
        <w:textAlignment w:val="baseline"/>
        <w:rPr>
          <w:rFonts w:ascii="Arial" w:hAnsi="Arial" w:cs="Arial"/>
          <w:snapToGrid/>
          <w:sz w:val="20"/>
        </w:rPr>
      </w:pP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t>1710</w:t>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t>49</w:t>
      </w:r>
    </w:p>
    <w:p w:rsidR="00A71CBF" w:rsidRPr="00A71CBF" w:rsidRDefault="00A71CBF" w:rsidP="00A71CB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1440" w:hanging="1440"/>
        <w:textAlignment w:val="baseline"/>
        <w:rPr>
          <w:rFonts w:ascii="Arial" w:hAnsi="Arial" w:cs="Arial"/>
          <w:snapToGrid/>
          <w:sz w:val="20"/>
        </w:rPr>
      </w:pP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t>1710</w:t>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t>51</w:t>
      </w:r>
    </w:p>
    <w:p w:rsidR="00A71CBF" w:rsidRPr="00A71CBF" w:rsidRDefault="00A71CBF" w:rsidP="00A71CB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t>1710</w:t>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t>52</w:t>
      </w:r>
      <w:r w:rsidRPr="00A71CBF">
        <w:rPr>
          <w:rFonts w:ascii="Arial" w:hAnsi="Arial" w:cs="Arial"/>
          <w:b/>
          <w:snapToGrid/>
          <w:color w:val="FF0000"/>
          <w:sz w:val="20"/>
        </w:rPr>
        <w:t xml:space="preserve"> </w:t>
      </w:r>
    </w:p>
    <w:p w:rsidR="00A71CBF" w:rsidRPr="00A71CBF" w:rsidRDefault="00A71CBF" w:rsidP="00A71CB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6240" w:hanging="6240"/>
        <w:textAlignment w:val="baseline"/>
        <w:rPr>
          <w:rFonts w:ascii="Arial" w:hAnsi="Arial" w:cs="Arial"/>
          <w:snapToGrid/>
          <w:sz w:val="20"/>
        </w:rPr>
      </w:pPr>
      <w:r w:rsidRPr="00A71CBF">
        <w:rPr>
          <w:rFonts w:ascii="Arial" w:hAnsi="Arial"/>
          <w:snapToGrid/>
          <w:sz w:val="20"/>
        </w:rPr>
        <w:tab/>
      </w:r>
      <w:r w:rsidRPr="00A71CBF">
        <w:rPr>
          <w:rFonts w:ascii="Arial" w:hAnsi="Arial"/>
          <w:snapToGrid/>
          <w:sz w:val="20"/>
        </w:rPr>
        <w:tab/>
      </w:r>
      <w:r w:rsidRPr="00A71CBF">
        <w:rPr>
          <w:rFonts w:ascii="Arial" w:hAnsi="Arial"/>
          <w:snapToGrid/>
          <w:sz w:val="20"/>
        </w:rPr>
        <w:tab/>
        <w:t xml:space="preserve">                       </w:t>
      </w:r>
      <w:r w:rsidRPr="00A71CBF">
        <w:rPr>
          <w:rFonts w:ascii="Arial" w:hAnsi="Arial" w:cs="Arial"/>
          <w:snapToGrid/>
          <w:sz w:val="20"/>
        </w:rPr>
        <w:t xml:space="preserve"> </w:t>
      </w:r>
    </w:p>
    <w:p w:rsidR="00A71CBF" w:rsidRPr="00A71CBF" w:rsidRDefault="00A71CBF" w:rsidP="00A71CB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rsidR="00A71CBF" w:rsidRPr="00A71CBF" w:rsidRDefault="00A71CBF" w:rsidP="00A71CB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A71CBF">
        <w:rPr>
          <w:rFonts w:ascii="Arial" w:hAnsi="Arial" w:cs="Arial"/>
          <w:b/>
          <w:snapToGrid/>
          <w:sz w:val="20"/>
        </w:rPr>
        <w:t>4.</w:t>
      </w:r>
      <w:r w:rsidRPr="00A71CBF">
        <w:rPr>
          <w:rFonts w:ascii="Arial" w:hAnsi="Arial" w:cs="Arial"/>
          <w:b/>
          <w:snapToGrid/>
          <w:sz w:val="20"/>
        </w:rPr>
        <w:tab/>
        <w:t>BASIS OF DISPOSITION PRICE:</w:t>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t>Nominal.  Sponsor will pay one dollar per tax lot and deliver a note and mortgage for the remainder of the appraised value (“Land Debt”).</w:t>
      </w:r>
    </w:p>
    <w:p w:rsidR="00A71CBF" w:rsidRPr="00A71CBF" w:rsidRDefault="00A71CBF" w:rsidP="00A71CB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rsidR="00A71CBF" w:rsidRPr="00A71CBF" w:rsidRDefault="00A71CBF" w:rsidP="00A71CB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A71CBF">
        <w:rPr>
          <w:rFonts w:ascii="Arial" w:hAnsi="Arial" w:cs="Arial"/>
          <w:b/>
          <w:snapToGrid/>
          <w:sz w:val="20"/>
        </w:rPr>
        <w:t>5.</w:t>
      </w:r>
      <w:r w:rsidRPr="00A71CBF">
        <w:rPr>
          <w:rFonts w:ascii="Arial" w:hAnsi="Arial" w:cs="Arial"/>
          <w:b/>
          <w:snapToGrid/>
          <w:sz w:val="20"/>
        </w:rPr>
        <w:tab/>
        <w:t>TYPE OF PROJECT:</w:t>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t>New Construction</w:t>
      </w:r>
    </w:p>
    <w:p w:rsidR="00A71CBF" w:rsidRPr="00A71CBF" w:rsidRDefault="00A71CBF" w:rsidP="00A71CB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rsidR="00A71CBF" w:rsidRPr="00A71CBF" w:rsidRDefault="00A71CBF" w:rsidP="00A71CB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A71CBF">
        <w:rPr>
          <w:rFonts w:ascii="Arial" w:hAnsi="Arial" w:cs="Arial"/>
          <w:b/>
          <w:snapToGrid/>
          <w:sz w:val="20"/>
        </w:rPr>
        <w:t>6.</w:t>
      </w:r>
      <w:r w:rsidRPr="00A71CBF">
        <w:rPr>
          <w:rFonts w:ascii="Arial" w:hAnsi="Arial" w:cs="Arial"/>
          <w:b/>
          <w:snapToGrid/>
          <w:sz w:val="20"/>
        </w:rPr>
        <w:tab/>
        <w:t>APPROXIMATE NUMBER OF BUILDINGS:</w:t>
      </w:r>
      <w:r w:rsidRPr="00A71CBF">
        <w:rPr>
          <w:rFonts w:ascii="Arial" w:hAnsi="Arial" w:cs="Arial"/>
          <w:snapToGrid/>
          <w:sz w:val="20"/>
        </w:rPr>
        <w:tab/>
        <w:t>Two 2-Family Homes and Nine 3-Family Homes</w:t>
      </w:r>
      <w:r w:rsidRPr="00A71CBF">
        <w:rPr>
          <w:rFonts w:ascii="Arial" w:hAnsi="Arial"/>
          <w:snapToGrid/>
          <w:sz w:val="20"/>
        </w:rPr>
        <w:t xml:space="preserve"> </w:t>
      </w:r>
    </w:p>
    <w:p w:rsidR="00A71CBF" w:rsidRPr="00A71CBF" w:rsidRDefault="00A71CBF" w:rsidP="00A71CB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rsidR="00A71CBF" w:rsidRPr="00A71CBF" w:rsidRDefault="00A71CBF" w:rsidP="00A71CB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A71CBF">
        <w:rPr>
          <w:rFonts w:ascii="Arial" w:hAnsi="Arial" w:cs="Arial"/>
          <w:b/>
          <w:snapToGrid/>
          <w:sz w:val="20"/>
        </w:rPr>
        <w:t>7.</w:t>
      </w:r>
      <w:r w:rsidRPr="00A71CBF">
        <w:rPr>
          <w:rFonts w:ascii="Arial" w:hAnsi="Arial" w:cs="Arial"/>
          <w:b/>
          <w:snapToGrid/>
          <w:sz w:val="20"/>
        </w:rPr>
        <w:tab/>
        <w:t>APPROXIMATE NUMBER OF UNITS:</w:t>
      </w:r>
      <w:r w:rsidRPr="00A71CBF">
        <w:rPr>
          <w:rFonts w:ascii="Arial" w:hAnsi="Arial" w:cs="Arial"/>
          <w:snapToGrid/>
          <w:sz w:val="20"/>
        </w:rPr>
        <w:tab/>
      </w:r>
      <w:r w:rsidRPr="00A71CBF">
        <w:rPr>
          <w:rFonts w:ascii="Arial" w:hAnsi="Arial" w:cs="Arial"/>
          <w:snapToGrid/>
          <w:sz w:val="20"/>
        </w:rPr>
        <w:tab/>
      </w:r>
      <w:r w:rsidRPr="00A71CBF">
        <w:rPr>
          <w:rFonts w:ascii="Arial" w:hAnsi="Arial"/>
          <w:snapToGrid/>
          <w:sz w:val="20"/>
        </w:rPr>
        <w:t>31</w:t>
      </w:r>
    </w:p>
    <w:p w:rsidR="00A71CBF" w:rsidRPr="00A71CBF" w:rsidRDefault="00A71CBF" w:rsidP="00A71CB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rsidR="00A71CBF" w:rsidRPr="00A71CBF" w:rsidRDefault="00A71CBF" w:rsidP="00A71CB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A71CBF">
        <w:rPr>
          <w:rFonts w:ascii="Arial" w:hAnsi="Arial" w:cs="Arial"/>
          <w:b/>
          <w:snapToGrid/>
          <w:sz w:val="20"/>
        </w:rPr>
        <w:t>8.</w:t>
      </w:r>
      <w:r w:rsidRPr="00A71CBF">
        <w:rPr>
          <w:rFonts w:ascii="Arial" w:hAnsi="Arial" w:cs="Arial"/>
          <w:b/>
          <w:snapToGrid/>
          <w:sz w:val="20"/>
        </w:rPr>
        <w:tab/>
        <w:t>HOUSING TYPE:</w:t>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snapToGrid/>
          <w:sz w:val="20"/>
        </w:rPr>
        <w:t>2-Family Homes and 3-Family Homes.</w:t>
      </w:r>
      <w:r w:rsidRPr="00A71CBF">
        <w:rPr>
          <w:rFonts w:ascii="Arial" w:hAnsi="Arial" w:cs="Arial"/>
          <w:snapToGrid/>
          <w:sz w:val="20"/>
        </w:rPr>
        <w:t xml:space="preserve">  If homes remain unsold at the end of the Marketing Period and HPD determines in writing that (i) sale is not feasible within a reasonable time, and (ii) a rental fallback is the best available alternative, then the unsold homes may be rented in accordance with the written instructions of HPD.</w:t>
      </w:r>
    </w:p>
    <w:p w:rsidR="00A71CBF" w:rsidRPr="00A71CBF" w:rsidRDefault="00A71CBF" w:rsidP="00A71CB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rsidR="00A71CBF" w:rsidRPr="00A71CBF" w:rsidRDefault="00A71CBF" w:rsidP="00A71CB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A71CBF">
        <w:rPr>
          <w:rFonts w:ascii="Arial" w:hAnsi="Arial" w:cs="Arial"/>
          <w:b/>
          <w:snapToGrid/>
          <w:sz w:val="20"/>
        </w:rPr>
        <w:t>9.</w:t>
      </w:r>
      <w:r w:rsidRPr="00A71CBF">
        <w:rPr>
          <w:rFonts w:ascii="Arial" w:hAnsi="Arial" w:cs="Arial"/>
          <w:b/>
          <w:snapToGrid/>
          <w:sz w:val="20"/>
        </w:rPr>
        <w:tab/>
        <w:t>ESTIMATE OF INITIAL PRICE:</w:t>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t>Sales prices will be affordable to families with annual household incomes between 80% and 130% of the area median income (AMI).</w:t>
      </w:r>
    </w:p>
    <w:p w:rsidR="00A71CBF" w:rsidRPr="00A71CBF" w:rsidRDefault="00A71CBF" w:rsidP="00A71CB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rsidR="00A71CBF" w:rsidRPr="00A71CBF" w:rsidRDefault="00A71CBF" w:rsidP="00A71CB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A71CBF">
        <w:rPr>
          <w:rFonts w:ascii="Arial" w:hAnsi="Arial" w:cs="Arial"/>
          <w:b/>
          <w:snapToGrid/>
          <w:sz w:val="20"/>
        </w:rPr>
        <w:t>10.</w:t>
      </w:r>
      <w:r w:rsidRPr="00A71CBF">
        <w:rPr>
          <w:rFonts w:ascii="Arial" w:hAnsi="Arial" w:cs="Arial"/>
          <w:b/>
          <w:snapToGrid/>
          <w:sz w:val="20"/>
        </w:rPr>
        <w:tab/>
        <w:t>LIENS FOR LAND DEBT/CITY SUBSIDY:</w:t>
      </w:r>
      <w:r w:rsidRPr="00A71CBF">
        <w:rPr>
          <w:rFonts w:ascii="Arial" w:hAnsi="Arial" w:cs="Arial"/>
          <w:snapToGrid/>
          <w:sz w:val="20"/>
        </w:rPr>
        <w:tab/>
      </w:r>
      <w:r w:rsidRPr="00A71CBF">
        <w:rPr>
          <w:rFonts w:ascii="Arial" w:hAnsi="Arial" w:cs="Arial"/>
          <w:snapToGrid/>
          <w:sz w:val="20"/>
        </w:rPr>
        <w:tab/>
        <w:t>Each of the Land Debt and the amount of any construction financing provided through loans from the City ("City Subsidy") will be secured by a mortgage on the Disposition Area. Upon the sale of each homeownership unit to an initial purchaser, the Land Debt and City Subsidy, if any, will be apportioned pro rata to each unit. At such time, HPD may unsecure or forgive all or a portion of the Land Debt, and unsecure, but not forgive, all or a portion of the City Subsidy, based on the appraised value of a homeownership unit and/or, in the case of forgiveness of Land Debt, if HPD determines that the forgiveness is necessary to reduce the taxable consideration for a unit. The sum evidenced by the note and secured by the mortgage will be reduced to zero upon maturity of the Land Debt and City Subsidy, respectively, if the owner has complied with the program’s restrictions.</w:t>
      </w:r>
    </w:p>
    <w:p w:rsidR="00A71CBF" w:rsidRPr="00A71CBF" w:rsidRDefault="00A71CBF" w:rsidP="00A71CB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p>
    <w:p w:rsidR="00A71CBF" w:rsidRPr="00A71CBF" w:rsidRDefault="00A71CBF" w:rsidP="00A71CB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A71CBF">
        <w:rPr>
          <w:rFonts w:ascii="Arial" w:hAnsi="Arial" w:cs="Arial"/>
          <w:b/>
          <w:snapToGrid/>
          <w:sz w:val="20"/>
        </w:rPr>
        <w:t>11.</w:t>
      </w:r>
      <w:r w:rsidRPr="00A71CBF">
        <w:rPr>
          <w:rFonts w:ascii="Arial" w:hAnsi="Arial" w:cs="Arial"/>
          <w:b/>
          <w:snapToGrid/>
          <w:sz w:val="20"/>
        </w:rPr>
        <w:tab/>
        <w:t>INCOME TARGETS:</w:t>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t>Families with annual household incomes between 80% and 130% of AMI.</w:t>
      </w:r>
    </w:p>
    <w:p w:rsidR="00A71CBF" w:rsidRPr="00A71CBF" w:rsidRDefault="00A71CBF" w:rsidP="00A71CB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p>
    <w:p w:rsidR="00A71CBF" w:rsidRPr="00A71CBF" w:rsidRDefault="00A71CBF" w:rsidP="00A71CB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A71CBF">
        <w:rPr>
          <w:rFonts w:ascii="Arial" w:hAnsi="Arial" w:cs="Arial"/>
          <w:b/>
          <w:snapToGrid/>
          <w:sz w:val="20"/>
        </w:rPr>
        <w:t>12.</w:t>
      </w:r>
      <w:r w:rsidRPr="00A71CBF">
        <w:rPr>
          <w:rFonts w:ascii="Arial" w:hAnsi="Arial" w:cs="Arial"/>
          <w:b/>
          <w:snapToGrid/>
          <w:sz w:val="20"/>
        </w:rPr>
        <w:tab/>
        <w:t>PROPOSED FACILITIES:</w:t>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r>
      <w:r w:rsidRPr="00A71CBF">
        <w:rPr>
          <w:rFonts w:ascii="Arial" w:hAnsi="Arial"/>
          <w:snapToGrid/>
          <w:sz w:val="20"/>
        </w:rPr>
        <w:t>None</w:t>
      </w:r>
    </w:p>
    <w:p w:rsidR="00A71CBF" w:rsidRPr="00A71CBF" w:rsidRDefault="00A71CBF" w:rsidP="00A71CB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rsidR="00A71CBF" w:rsidRPr="00A71CBF" w:rsidRDefault="00A71CBF" w:rsidP="00A71CB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5280" w:hanging="5280"/>
        <w:textAlignment w:val="baseline"/>
        <w:rPr>
          <w:rFonts w:ascii="Arial" w:hAnsi="Arial" w:cs="Arial"/>
          <w:snapToGrid/>
          <w:sz w:val="20"/>
        </w:rPr>
      </w:pPr>
      <w:r w:rsidRPr="00A71CBF">
        <w:rPr>
          <w:rFonts w:ascii="Arial" w:hAnsi="Arial" w:cs="Arial"/>
          <w:b/>
          <w:snapToGrid/>
          <w:sz w:val="20"/>
        </w:rPr>
        <w:lastRenderedPageBreak/>
        <w:t>13.</w:t>
      </w:r>
      <w:r w:rsidRPr="00A71CBF">
        <w:rPr>
          <w:rFonts w:ascii="Arial" w:hAnsi="Arial" w:cs="Arial"/>
          <w:b/>
          <w:snapToGrid/>
          <w:sz w:val="20"/>
        </w:rPr>
        <w:tab/>
        <w:t>PROPOSED CODES/ORDINANCES:</w:t>
      </w:r>
      <w:r w:rsidRPr="00A71CBF">
        <w:rPr>
          <w:rFonts w:ascii="Arial" w:hAnsi="Arial" w:cs="Arial"/>
          <w:snapToGrid/>
          <w:sz w:val="20"/>
        </w:rPr>
        <w:tab/>
      </w:r>
      <w:r w:rsidRPr="00A71CBF">
        <w:rPr>
          <w:rFonts w:ascii="Arial" w:hAnsi="Arial" w:cs="Arial"/>
          <w:snapToGrid/>
          <w:sz w:val="20"/>
        </w:rPr>
        <w:tab/>
      </w:r>
      <w:r w:rsidR="00241D4B">
        <w:rPr>
          <w:rFonts w:ascii="Arial" w:hAnsi="Arial" w:cs="Arial"/>
          <w:snapToGrid/>
          <w:sz w:val="20"/>
        </w:rPr>
        <w:tab/>
      </w:r>
      <w:r w:rsidRPr="00A71CBF">
        <w:rPr>
          <w:rFonts w:ascii="Arial" w:hAnsi="Arial" w:cs="Arial"/>
          <w:snapToGrid/>
          <w:sz w:val="20"/>
        </w:rPr>
        <w:t>None</w:t>
      </w:r>
    </w:p>
    <w:p w:rsidR="00A71CBF" w:rsidRPr="00A71CBF" w:rsidRDefault="00A71CBF" w:rsidP="00A71CB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cs="Arial"/>
          <w:b/>
          <w:snapToGrid/>
          <w:sz w:val="20"/>
        </w:rPr>
      </w:pPr>
    </w:p>
    <w:p w:rsidR="00A71CBF" w:rsidRPr="00A71CBF" w:rsidRDefault="00A71CBF" w:rsidP="00A71CB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snapToGrid/>
          <w:sz w:val="20"/>
        </w:rPr>
      </w:pPr>
      <w:r w:rsidRPr="00A71CBF">
        <w:rPr>
          <w:rFonts w:ascii="Arial" w:hAnsi="Arial"/>
          <w:b/>
          <w:snapToGrid/>
          <w:sz w:val="20"/>
        </w:rPr>
        <w:t>14.</w:t>
      </w:r>
      <w:r w:rsidRPr="00A71CBF">
        <w:rPr>
          <w:rFonts w:ascii="Arial" w:hAnsi="Arial"/>
          <w:b/>
          <w:snapToGrid/>
          <w:sz w:val="20"/>
        </w:rPr>
        <w:tab/>
        <w:t>ENVIRONMENTAL STATUS:</w:t>
      </w:r>
      <w:r w:rsidRPr="00A71CBF">
        <w:rPr>
          <w:rFonts w:ascii="Arial" w:hAnsi="Arial"/>
          <w:snapToGrid/>
          <w:sz w:val="20"/>
        </w:rPr>
        <w:tab/>
      </w:r>
      <w:r w:rsidRPr="00A71CBF">
        <w:rPr>
          <w:rFonts w:ascii="Arial" w:hAnsi="Arial"/>
          <w:snapToGrid/>
          <w:sz w:val="20"/>
        </w:rPr>
        <w:tab/>
      </w:r>
      <w:r w:rsidRPr="00A71CBF">
        <w:rPr>
          <w:rFonts w:ascii="Arial" w:hAnsi="Arial"/>
          <w:snapToGrid/>
          <w:sz w:val="20"/>
        </w:rPr>
        <w:tab/>
      </w:r>
      <w:r w:rsidRPr="00A71CBF">
        <w:rPr>
          <w:rFonts w:ascii="Arial" w:hAnsi="Arial"/>
          <w:snapToGrid/>
          <w:sz w:val="20"/>
        </w:rPr>
        <w:tab/>
        <w:t>Negative Declaration</w:t>
      </w:r>
    </w:p>
    <w:p w:rsidR="00A71CBF" w:rsidRPr="00A71CBF" w:rsidRDefault="00A71CBF" w:rsidP="00A71CB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textAlignment w:val="baseline"/>
        <w:rPr>
          <w:rFonts w:ascii="Arial" w:hAnsi="Arial"/>
          <w:snapToGrid/>
          <w:sz w:val="20"/>
        </w:rPr>
      </w:pPr>
    </w:p>
    <w:p w:rsidR="00A71CBF" w:rsidRPr="00A71CBF" w:rsidRDefault="00A71CBF" w:rsidP="00A71CBF">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snapToGrid/>
          <w:sz w:val="20"/>
        </w:rPr>
      </w:pPr>
      <w:r w:rsidRPr="00A71CBF">
        <w:rPr>
          <w:rFonts w:ascii="Arial" w:hAnsi="Arial" w:cs="Arial"/>
          <w:b/>
          <w:snapToGrid/>
          <w:sz w:val="20"/>
        </w:rPr>
        <w:t>15.</w:t>
      </w:r>
      <w:r w:rsidRPr="00A71CBF">
        <w:rPr>
          <w:rFonts w:ascii="Arial" w:hAnsi="Arial" w:cs="Arial"/>
          <w:b/>
          <w:snapToGrid/>
          <w:sz w:val="20"/>
        </w:rPr>
        <w:tab/>
        <w:t>PROPOSED TIME SCHEDULE:</w:t>
      </w:r>
      <w:r w:rsidRPr="00A71CBF">
        <w:rPr>
          <w:rFonts w:ascii="Arial" w:hAnsi="Arial" w:cs="Arial"/>
          <w:snapToGrid/>
          <w:sz w:val="20"/>
        </w:rPr>
        <w:tab/>
      </w:r>
      <w:r w:rsidRPr="00A71CBF">
        <w:rPr>
          <w:rFonts w:ascii="Arial" w:hAnsi="Arial" w:cs="Arial"/>
          <w:snapToGrid/>
          <w:sz w:val="20"/>
        </w:rPr>
        <w:tab/>
      </w:r>
      <w:r w:rsidRPr="00A71CBF">
        <w:rPr>
          <w:rFonts w:ascii="Arial" w:hAnsi="Arial" w:cs="Arial"/>
          <w:snapToGrid/>
          <w:sz w:val="20"/>
        </w:rPr>
        <w:tab/>
        <w:t>Approximately 18 months from closing to completion of construction.</w:t>
      </w:r>
    </w:p>
    <w:p w:rsidR="00A71CBF" w:rsidRPr="00A71CBF" w:rsidRDefault="00A71CBF" w:rsidP="00A71CBF">
      <w:pPr>
        <w:widowControl/>
        <w:overflowPunct w:val="0"/>
        <w:autoSpaceDE w:val="0"/>
        <w:autoSpaceDN w:val="0"/>
        <w:adjustRightInd w:val="0"/>
        <w:textAlignment w:val="baseline"/>
        <w:rPr>
          <w:rFonts w:ascii="Courier New" w:hAnsi="Courier New"/>
          <w:snapToGrid/>
          <w:sz w:val="20"/>
        </w:rPr>
      </w:pPr>
    </w:p>
    <w:p w:rsidR="00A71CBF" w:rsidRDefault="00A71CBF" w:rsidP="00611DC3">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4800" w:hanging="4800"/>
        <w:textAlignment w:val="baseline"/>
        <w:rPr>
          <w:rFonts w:ascii="Arial" w:hAnsi="Arial" w:cs="Arial"/>
          <w:b/>
          <w:snapToGrid/>
          <w:sz w:val="20"/>
        </w:rPr>
      </w:pPr>
    </w:p>
    <w:p w:rsidR="00611DC3" w:rsidRPr="008B4CB7" w:rsidRDefault="00611DC3" w:rsidP="00611DC3">
      <w:pPr>
        <w:jc w:val="both"/>
        <w:rPr>
          <w:rFonts w:ascii="Times New Roman" w:hAnsi="Times New Roman"/>
          <w:szCs w:val="24"/>
        </w:rPr>
      </w:pPr>
      <w:r w:rsidRPr="008B4CB7">
        <w:rPr>
          <w:rFonts w:ascii="Times New Roman" w:hAnsi="Times New Roman"/>
          <w:szCs w:val="24"/>
        </w:rPr>
        <w:t>Adopted.</w:t>
      </w:r>
    </w:p>
    <w:p w:rsidR="00611DC3" w:rsidRPr="008B4CB7" w:rsidRDefault="00611DC3" w:rsidP="00611DC3">
      <w:pPr>
        <w:jc w:val="both"/>
        <w:rPr>
          <w:rFonts w:ascii="Times New Roman" w:hAnsi="Times New Roman"/>
          <w:szCs w:val="24"/>
        </w:rPr>
      </w:pPr>
    </w:p>
    <w:p w:rsidR="00611DC3" w:rsidRPr="008B4CB7" w:rsidRDefault="00611DC3" w:rsidP="00611DC3">
      <w:pPr>
        <w:tabs>
          <w:tab w:val="left" w:pos="-1440"/>
        </w:tabs>
        <w:jc w:val="both"/>
        <w:rPr>
          <w:rFonts w:ascii="Times New Roman" w:hAnsi="Times New Roman"/>
          <w:szCs w:val="24"/>
        </w:rPr>
      </w:pPr>
      <w:r w:rsidRPr="008B4CB7">
        <w:rPr>
          <w:rFonts w:ascii="Times New Roman" w:hAnsi="Times New Roman"/>
          <w:szCs w:val="24"/>
        </w:rPr>
        <w:t xml:space="preserve">      </w:t>
      </w:r>
      <w:r w:rsidRPr="008B4CB7">
        <w:rPr>
          <w:rFonts w:ascii="Times New Roman" w:hAnsi="Times New Roman"/>
          <w:szCs w:val="24"/>
        </w:rPr>
        <w:tab/>
        <w:t>Office of the City Clerk, }</w:t>
      </w:r>
    </w:p>
    <w:p w:rsidR="00611DC3" w:rsidRPr="008B4CB7" w:rsidRDefault="00611DC3" w:rsidP="00611DC3">
      <w:pPr>
        <w:tabs>
          <w:tab w:val="left" w:pos="-1440"/>
        </w:tabs>
        <w:jc w:val="both"/>
        <w:rPr>
          <w:rFonts w:ascii="Times New Roman" w:hAnsi="Times New Roman"/>
          <w:szCs w:val="24"/>
        </w:rPr>
      </w:pPr>
      <w:r w:rsidRPr="008B4CB7">
        <w:rPr>
          <w:rFonts w:ascii="Times New Roman" w:hAnsi="Times New Roman"/>
          <w:szCs w:val="24"/>
        </w:rPr>
        <w:t xml:space="preserve">      </w:t>
      </w:r>
      <w:r w:rsidRPr="008B4CB7">
        <w:rPr>
          <w:rFonts w:ascii="Times New Roman" w:hAnsi="Times New Roman"/>
          <w:szCs w:val="24"/>
        </w:rPr>
        <w:tab/>
        <w:t>The City of New York,  } ss.:</w:t>
      </w:r>
    </w:p>
    <w:p w:rsidR="00611DC3" w:rsidRPr="008B4CB7" w:rsidRDefault="00611DC3" w:rsidP="00611DC3">
      <w:pPr>
        <w:jc w:val="both"/>
        <w:rPr>
          <w:rFonts w:ascii="Times New Roman" w:hAnsi="Times New Roman"/>
          <w:szCs w:val="24"/>
        </w:rPr>
      </w:pPr>
    </w:p>
    <w:p w:rsidR="00611DC3" w:rsidRPr="008B4CB7" w:rsidRDefault="00611DC3" w:rsidP="00611DC3">
      <w:pPr>
        <w:tabs>
          <w:tab w:val="left" w:pos="-1440"/>
        </w:tabs>
        <w:jc w:val="both"/>
        <w:rPr>
          <w:rFonts w:ascii="Times New Roman" w:hAnsi="Times New Roman"/>
          <w:szCs w:val="24"/>
        </w:rPr>
      </w:pPr>
      <w:r w:rsidRPr="008B4CB7">
        <w:rPr>
          <w:rFonts w:ascii="Times New Roman" w:hAnsi="Times New Roman"/>
          <w:szCs w:val="24"/>
        </w:rPr>
        <w:t xml:space="preserve">      </w:t>
      </w:r>
      <w:r w:rsidRPr="008B4CB7">
        <w:rPr>
          <w:rFonts w:ascii="Times New Roman" w:hAnsi="Times New Roman"/>
          <w:szCs w:val="24"/>
        </w:rPr>
        <w:tab/>
        <w:t xml:space="preserve">   </w:t>
      </w:r>
      <w:r w:rsidRPr="008B4CB7">
        <w:rPr>
          <w:rFonts w:ascii="Times New Roman" w:hAnsi="Times New Roman"/>
          <w:szCs w:val="24"/>
        </w:rPr>
        <w:tab/>
        <w:t xml:space="preserve">I hereby certify that the foregoing is a true copy of a Resolution passed by The Council of The City of New York on </w:t>
      </w:r>
      <w:r>
        <w:rPr>
          <w:rFonts w:ascii="Times New Roman" w:hAnsi="Times New Roman"/>
          <w:szCs w:val="24"/>
        </w:rPr>
        <w:t>________, 2020,</w:t>
      </w:r>
      <w:r w:rsidRPr="008B4CB7">
        <w:rPr>
          <w:rFonts w:ascii="Times New Roman" w:hAnsi="Times New Roman"/>
          <w:szCs w:val="24"/>
        </w:rPr>
        <w:t xml:space="preserve"> on file in this office.</w:t>
      </w:r>
    </w:p>
    <w:p w:rsidR="00611DC3" w:rsidRPr="008B4CB7" w:rsidRDefault="00611DC3" w:rsidP="00611DC3">
      <w:pPr>
        <w:jc w:val="both"/>
        <w:rPr>
          <w:rFonts w:ascii="Times New Roman" w:hAnsi="Times New Roman"/>
          <w:szCs w:val="24"/>
        </w:rPr>
      </w:pPr>
    </w:p>
    <w:p w:rsidR="00611DC3" w:rsidRDefault="00611DC3" w:rsidP="00611DC3">
      <w:pPr>
        <w:jc w:val="both"/>
        <w:rPr>
          <w:rFonts w:ascii="Times New Roman" w:hAnsi="Times New Roman"/>
          <w:szCs w:val="24"/>
        </w:rPr>
      </w:pPr>
    </w:p>
    <w:p w:rsidR="00611DC3" w:rsidRPr="008B4CB7" w:rsidRDefault="00611DC3" w:rsidP="00611DC3">
      <w:pPr>
        <w:jc w:val="both"/>
        <w:rPr>
          <w:rFonts w:ascii="Times New Roman" w:hAnsi="Times New Roman"/>
          <w:szCs w:val="24"/>
        </w:rPr>
      </w:pPr>
    </w:p>
    <w:p w:rsidR="00611DC3" w:rsidRPr="008B4CB7" w:rsidRDefault="00611DC3" w:rsidP="00611DC3">
      <w:pPr>
        <w:jc w:val="both"/>
        <w:rPr>
          <w:rFonts w:ascii="Times New Roman" w:hAnsi="Times New Roman"/>
          <w:szCs w:val="24"/>
        </w:rPr>
      </w:pPr>
    </w:p>
    <w:p w:rsidR="00611DC3" w:rsidRPr="008B4CB7" w:rsidRDefault="00611DC3" w:rsidP="00611DC3">
      <w:pPr>
        <w:tabs>
          <w:tab w:val="left" w:pos="-1440"/>
        </w:tabs>
        <w:jc w:val="right"/>
        <w:rPr>
          <w:rFonts w:ascii="Times New Roman" w:hAnsi="Times New Roman"/>
          <w:szCs w:val="24"/>
        </w:rPr>
      </w:pPr>
      <w:r w:rsidRPr="008B4CB7">
        <w:rPr>
          <w:rFonts w:ascii="Times New Roman" w:hAnsi="Times New Roman"/>
          <w:szCs w:val="24"/>
        </w:rPr>
        <w:t xml:space="preserve">      </w:t>
      </w:r>
      <w:r w:rsidRPr="008B4CB7">
        <w:rPr>
          <w:rFonts w:ascii="Times New Roman" w:hAnsi="Times New Roman"/>
          <w:szCs w:val="24"/>
        </w:rPr>
        <w:tab/>
        <w:t xml:space="preserve">       </w:t>
      </w:r>
      <w:r w:rsidRPr="008B4CB7">
        <w:rPr>
          <w:rFonts w:ascii="Times New Roman" w:hAnsi="Times New Roman"/>
          <w:szCs w:val="24"/>
        </w:rPr>
        <w:tab/>
        <w:t xml:space="preserve">       </w:t>
      </w:r>
      <w:r w:rsidRPr="008B4CB7">
        <w:rPr>
          <w:rFonts w:ascii="Times New Roman" w:hAnsi="Times New Roman"/>
          <w:szCs w:val="24"/>
        </w:rPr>
        <w:tab/>
        <w:t xml:space="preserve">       </w:t>
      </w:r>
      <w:r w:rsidRPr="008B4CB7">
        <w:rPr>
          <w:rFonts w:ascii="Times New Roman" w:hAnsi="Times New Roman"/>
          <w:szCs w:val="24"/>
        </w:rPr>
        <w:tab/>
        <w:t xml:space="preserve">      </w:t>
      </w:r>
      <w:r w:rsidRPr="008B4CB7">
        <w:rPr>
          <w:rFonts w:ascii="Times New Roman" w:hAnsi="Times New Roman"/>
          <w:szCs w:val="24"/>
        </w:rPr>
        <w:tab/>
      </w:r>
      <w:r w:rsidRPr="008B4CB7">
        <w:rPr>
          <w:rFonts w:ascii="Times New Roman" w:hAnsi="Times New Roman"/>
          <w:szCs w:val="24"/>
        </w:rPr>
        <w:tab/>
      </w:r>
      <w:r w:rsidRPr="008B4CB7">
        <w:rPr>
          <w:rFonts w:ascii="Times New Roman" w:hAnsi="Times New Roman"/>
          <w:szCs w:val="24"/>
        </w:rPr>
        <w:tab/>
      </w:r>
      <w:r w:rsidRPr="008B4CB7">
        <w:rPr>
          <w:rFonts w:ascii="Times New Roman" w:hAnsi="Times New Roman"/>
          <w:szCs w:val="24"/>
        </w:rPr>
        <w:tab/>
        <w:t>…............................................….</w:t>
      </w:r>
    </w:p>
    <w:p w:rsidR="00611DC3" w:rsidRDefault="00611DC3" w:rsidP="00611DC3">
      <w:pPr>
        <w:tabs>
          <w:tab w:val="left" w:pos="-1440"/>
          <w:tab w:val="left" w:pos="6390"/>
        </w:tabs>
        <w:jc w:val="right"/>
        <w:rPr>
          <w:rFonts w:ascii="Times New Roman" w:hAnsi="Times New Roman"/>
          <w:szCs w:val="24"/>
        </w:rPr>
      </w:pPr>
      <w:r w:rsidRPr="008B4CB7">
        <w:rPr>
          <w:rFonts w:ascii="Times New Roman" w:hAnsi="Times New Roman"/>
          <w:szCs w:val="24"/>
        </w:rPr>
        <w:t xml:space="preserve">      City Clerk, Clerk of The Council</w:t>
      </w:r>
    </w:p>
    <w:p w:rsidR="00611DC3" w:rsidRDefault="00611DC3" w:rsidP="00EA3B9D">
      <w:pPr>
        <w:widowControl/>
        <w:tabs>
          <w:tab w:val="left" w:pos="720"/>
          <w:tab w:val="left" w:pos="2880"/>
          <w:tab w:val="left" w:pos="4320"/>
          <w:tab w:val="left" w:pos="5040"/>
          <w:tab w:val="left" w:pos="8640"/>
        </w:tabs>
        <w:suppressAutoHyphens/>
        <w:overflowPunct w:val="0"/>
        <w:autoSpaceDE w:val="0"/>
        <w:autoSpaceDN w:val="0"/>
        <w:adjustRightInd w:val="0"/>
        <w:textAlignment w:val="baseline"/>
        <w:rPr>
          <w:rFonts w:ascii="Arial" w:hAnsi="Arial" w:cs="Arial"/>
          <w:snapToGrid/>
          <w:sz w:val="19"/>
          <w:szCs w:val="19"/>
        </w:rPr>
      </w:pPr>
    </w:p>
    <w:p w:rsidR="00611DC3" w:rsidRDefault="00611DC3" w:rsidP="00EA3B9D">
      <w:pPr>
        <w:widowControl/>
        <w:tabs>
          <w:tab w:val="left" w:pos="720"/>
          <w:tab w:val="left" w:pos="2880"/>
          <w:tab w:val="left" w:pos="4320"/>
          <w:tab w:val="left" w:pos="5040"/>
          <w:tab w:val="left" w:pos="8640"/>
        </w:tabs>
        <w:suppressAutoHyphens/>
        <w:overflowPunct w:val="0"/>
        <w:autoSpaceDE w:val="0"/>
        <w:autoSpaceDN w:val="0"/>
        <w:adjustRightInd w:val="0"/>
        <w:textAlignment w:val="baseline"/>
        <w:rPr>
          <w:rFonts w:ascii="Arial" w:hAnsi="Arial" w:cs="Arial"/>
          <w:snapToGrid/>
          <w:sz w:val="19"/>
          <w:szCs w:val="19"/>
        </w:rPr>
      </w:pPr>
    </w:p>
    <w:sectPr w:rsidR="00611DC3" w:rsidSect="00FD0C74">
      <w:headerReference w:type="default" r:id="rId9"/>
      <w:footerReference w:type="even" r:id="rId10"/>
      <w:footerReference w:type="default" r:id="rId11"/>
      <w:endnotePr>
        <w:numFmt w:val="decimal"/>
      </w:endnotePr>
      <w:type w:val="continuous"/>
      <w:pgSz w:w="12240" w:h="15840"/>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919" w:rsidRDefault="00463919">
      <w:r>
        <w:separator/>
      </w:r>
    </w:p>
  </w:endnote>
  <w:endnote w:type="continuationSeparator" w:id="0">
    <w:p w:rsidR="00463919" w:rsidRDefault="00463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890" w:rsidRDefault="003F68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6890" w:rsidRDefault="003F6890">
    <w:pPr>
      <w:pStyle w:val="Footer"/>
      <w:ind w:right="360"/>
    </w:pPr>
  </w:p>
  <w:p w:rsidR="003F6890" w:rsidRDefault="003F689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890" w:rsidRDefault="003F68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919" w:rsidRDefault="00463919">
      <w:r>
        <w:separator/>
      </w:r>
    </w:p>
  </w:footnote>
  <w:footnote w:type="continuationSeparator" w:id="0">
    <w:p w:rsidR="00463919" w:rsidRDefault="00463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D4B" w:rsidRDefault="00241D4B">
    <w:pPr>
      <w:pStyle w:val="Header"/>
    </w:pPr>
  </w:p>
  <w:p w:rsidR="00241D4B" w:rsidRDefault="00241D4B">
    <w:pPr>
      <w:pStyle w:val="Header"/>
    </w:pPr>
  </w:p>
  <w:p w:rsidR="00241D4B" w:rsidRDefault="00241D4B">
    <w:pPr>
      <w:pStyle w:val="Header"/>
    </w:pPr>
  </w:p>
  <w:p w:rsidR="00241D4B" w:rsidRDefault="00241D4B" w:rsidP="00241D4B">
    <w:pPr>
      <w:pStyle w:val="Header"/>
      <w:rPr>
        <w:rFonts w:ascii="Times New Roman" w:hAnsi="Times New Roman"/>
        <w:b/>
        <w:bCs/>
      </w:rPr>
    </w:pPr>
  </w:p>
  <w:p w:rsidR="00241D4B" w:rsidRDefault="00241D4B" w:rsidP="00241D4B">
    <w:pPr>
      <w:pStyle w:val="Header"/>
      <w:rPr>
        <w:rFonts w:ascii="Times New Roman" w:hAnsi="Times New Roman"/>
        <w:b/>
        <w:bCs/>
      </w:rPr>
    </w:pPr>
    <w:r>
      <w:rPr>
        <w:rFonts w:ascii="Times New Roman" w:hAnsi="Times New Roman"/>
        <w:b/>
        <w:bCs/>
      </w:rPr>
      <w:t xml:space="preserve">Page </w:t>
    </w:r>
    <w:r>
      <w:rPr>
        <w:rFonts w:ascii="Times New Roman" w:hAnsi="Times New Roman"/>
        <w:b/>
        <w:bCs/>
      </w:rPr>
      <w:fldChar w:fldCharType="begin"/>
    </w:r>
    <w:r>
      <w:rPr>
        <w:rFonts w:ascii="Times New Roman" w:hAnsi="Times New Roman"/>
        <w:b/>
        <w:bCs/>
      </w:rPr>
      <w:instrText xml:space="preserve"> PAGE </w:instrText>
    </w:r>
    <w:r>
      <w:rPr>
        <w:rFonts w:ascii="Times New Roman" w:hAnsi="Times New Roman"/>
        <w:b/>
        <w:bCs/>
      </w:rPr>
      <w:fldChar w:fldCharType="separate"/>
    </w:r>
    <w:r w:rsidR="000C1539">
      <w:rPr>
        <w:rFonts w:ascii="Times New Roman" w:hAnsi="Times New Roman"/>
        <w:b/>
        <w:bCs/>
        <w:noProof/>
      </w:rPr>
      <w:t>4</w:t>
    </w:r>
    <w:r>
      <w:rPr>
        <w:rFonts w:ascii="Times New Roman" w:hAnsi="Times New Roman"/>
        <w:b/>
        <w:bCs/>
      </w:rPr>
      <w:fldChar w:fldCharType="end"/>
    </w:r>
    <w:r>
      <w:rPr>
        <w:rFonts w:ascii="Times New Roman" w:hAnsi="Times New Roman"/>
        <w:b/>
        <w:bCs/>
      </w:rPr>
      <w:t xml:space="preserve"> of </w:t>
    </w:r>
    <w:r>
      <w:rPr>
        <w:rFonts w:ascii="Times New Roman" w:hAnsi="Times New Roman"/>
        <w:b/>
        <w:bCs/>
      </w:rPr>
      <w:fldChar w:fldCharType="begin"/>
    </w:r>
    <w:r>
      <w:rPr>
        <w:rFonts w:ascii="Times New Roman" w:hAnsi="Times New Roman"/>
        <w:b/>
        <w:bCs/>
      </w:rPr>
      <w:instrText xml:space="preserve"> NUMPAGES </w:instrText>
    </w:r>
    <w:r>
      <w:rPr>
        <w:rFonts w:ascii="Times New Roman" w:hAnsi="Times New Roman"/>
        <w:b/>
        <w:bCs/>
      </w:rPr>
      <w:fldChar w:fldCharType="separate"/>
    </w:r>
    <w:r w:rsidR="000C1539">
      <w:rPr>
        <w:rFonts w:ascii="Times New Roman" w:hAnsi="Times New Roman"/>
        <w:b/>
        <w:bCs/>
        <w:noProof/>
      </w:rPr>
      <w:t>6</w:t>
    </w:r>
    <w:r>
      <w:rPr>
        <w:rFonts w:ascii="Times New Roman" w:hAnsi="Times New Roman"/>
        <w:b/>
        <w:bCs/>
      </w:rPr>
      <w:fldChar w:fldCharType="end"/>
    </w:r>
  </w:p>
  <w:p w:rsidR="00241D4B" w:rsidRDefault="00241D4B" w:rsidP="00241D4B">
    <w:pPr>
      <w:pStyle w:val="Header"/>
      <w:rPr>
        <w:rFonts w:ascii="Times New Roman" w:hAnsi="Times New Roman"/>
        <w:b/>
        <w:bCs/>
      </w:rPr>
    </w:pPr>
    <w:r>
      <w:rPr>
        <w:rFonts w:ascii="Times New Roman" w:hAnsi="Times New Roman"/>
        <w:b/>
        <w:bCs/>
      </w:rPr>
      <w:t>20205417 HAK</w:t>
    </w:r>
  </w:p>
  <w:p w:rsidR="00241D4B" w:rsidRDefault="00241D4B" w:rsidP="00241D4B">
    <w:pPr>
      <w:pStyle w:val="Header"/>
      <w:rPr>
        <w:rFonts w:ascii="Times New Roman" w:hAnsi="Times New Roman"/>
        <w:b/>
        <w:bCs/>
      </w:rPr>
    </w:pPr>
    <w:r>
      <w:rPr>
        <w:rFonts w:ascii="Times New Roman" w:hAnsi="Times New Roman"/>
        <w:b/>
        <w:bCs/>
      </w:rPr>
      <w:t xml:space="preserve">Res. No. ____ (L.U. No. </w:t>
    </w:r>
    <w:r w:rsidR="00FC72CB">
      <w:rPr>
        <w:rFonts w:ascii="Times New Roman" w:hAnsi="Times New Roman"/>
        <w:b/>
        <w:bCs/>
      </w:rPr>
      <w:t>670</w:t>
    </w:r>
    <w:r>
      <w:rPr>
        <w:rFonts w:ascii="Times New Roman" w:hAnsi="Times New Roman"/>
        <w:b/>
        <w:bCs/>
      </w:rPr>
      <w:t>)</w:t>
    </w:r>
  </w:p>
  <w:p w:rsidR="00241D4B" w:rsidRDefault="00241D4B">
    <w:pPr>
      <w:pStyle w:val="Header"/>
    </w:pPr>
  </w:p>
  <w:p w:rsidR="00241D4B" w:rsidRDefault="00241D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890" w:rsidRDefault="003F6890">
    <w:pPr>
      <w:pStyle w:val="Header"/>
      <w:rPr>
        <w:rFonts w:ascii="Times New Roman" w:hAnsi="Times New Roman"/>
        <w:b/>
        <w:bCs/>
      </w:rPr>
    </w:pPr>
    <w:r>
      <w:rPr>
        <w:rFonts w:ascii="Times New Roman" w:hAnsi="Times New Roman"/>
        <w:b/>
        <w:bCs/>
      </w:rPr>
      <w:t xml:space="preserve">Page </w:t>
    </w:r>
    <w:r>
      <w:rPr>
        <w:rFonts w:ascii="Times New Roman" w:hAnsi="Times New Roman"/>
        <w:b/>
        <w:bCs/>
      </w:rPr>
      <w:fldChar w:fldCharType="begin"/>
    </w:r>
    <w:r>
      <w:rPr>
        <w:rFonts w:ascii="Times New Roman" w:hAnsi="Times New Roman"/>
        <w:b/>
        <w:bCs/>
      </w:rPr>
      <w:instrText xml:space="preserve"> PAGE </w:instrText>
    </w:r>
    <w:r>
      <w:rPr>
        <w:rFonts w:ascii="Times New Roman" w:hAnsi="Times New Roman"/>
        <w:b/>
        <w:bCs/>
      </w:rPr>
      <w:fldChar w:fldCharType="separate"/>
    </w:r>
    <w:r w:rsidR="000C1539">
      <w:rPr>
        <w:rFonts w:ascii="Times New Roman" w:hAnsi="Times New Roman"/>
        <w:b/>
        <w:bCs/>
        <w:noProof/>
      </w:rPr>
      <w:t>6</w:t>
    </w:r>
    <w:r>
      <w:rPr>
        <w:rFonts w:ascii="Times New Roman" w:hAnsi="Times New Roman"/>
        <w:b/>
        <w:bCs/>
      </w:rPr>
      <w:fldChar w:fldCharType="end"/>
    </w:r>
    <w:r>
      <w:rPr>
        <w:rFonts w:ascii="Times New Roman" w:hAnsi="Times New Roman"/>
        <w:b/>
        <w:bCs/>
      </w:rPr>
      <w:t xml:space="preserve"> of </w:t>
    </w:r>
    <w:r>
      <w:rPr>
        <w:rFonts w:ascii="Times New Roman" w:hAnsi="Times New Roman"/>
        <w:b/>
        <w:bCs/>
      </w:rPr>
      <w:fldChar w:fldCharType="begin"/>
    </w:r>
    <w:r>
      <w:rPr>
        <w:rFonts w:ascii="Times New Roman" w:hAnsi="Times New Roman"/>
        <w:b/>
        <w:bCs/>
      </w:rPr>
      <w:instrText xml:space="preserve"> NUMPAGES </w:instrText>
    </w:r>
    <w:r>
      <w:rPr>
        <w:rFonts w:ascii="Times New Roman" w:hAnsi="Times New Roman"/>
        <w:b/>
        <w:bCs/>
      </w:rPr>
      <w:fldChar w:fldCharType="separate"/>
    </w:r>
    <w:r w:rsidR="000C1539">
      <w:rPr>
        <w:rFonts w:ascii="Times New Roman" w:hAnsi="Times New Roman"/>
        <w:b/>
        <w:bCs/>
        <w:noProof/>
      </w:rPr>
      <w:t>6</w:t>
    </w:r>
    <w:r>
      <w:rPr>
        <w:rFonts w:ascii="Times New Roman" w:hAnsi="Times New Roman"/>
        <w:b/>
        <w:bCs/>
      </w:rPr>
      <w:fldChar w:fldCharType="end"/>
    </w:r>
  </w:p>
  <w:p w:rsidR="003F6890" w:rsidRDefault="00886F53">
    <w:pPr>
      <w:pStyle w:val="Header"/>
      <w:rPr>
        <w:rFonts w:ascii="Times New Roman" w:hAnsi="Times New Roman"/>
        <w:b/>
        <w:bCs/>
      </w:rPr>
    </w:pPr>
    <w:r>
      <w:rPr>
        <w:rFonts w:ascii="Times New Roman" w:hAnsi="Times New Roman"/>
        <w:b/>
        <w:bCs/>
      </w:rPr>
      <w:t>20</w:t>
    </w:r>
    <w:r w:rsidR="00056483">
      <w:rPr>
        <w:rFonts w:ascii="Times New Roman" w:hAnsi="Times New Roman"/>
        <w:b/>
        <w:bCs/>
      </w:rPr>
      <w:t>205</w:t>
    </w:r>
    <w:r w:rsidR="00C531ED">
      <w:rPr>
        <w:rFonts w:ascii="Times New Roman" w:hAnsi="Times New Roman"/>
        <w:b/>
        <w:bCs/>
      </w:rPr>
      <w:t>41</w:t>
    </w:r>
    <w:r w:rsidR="00A71CBF">
      <w:rPr>
        <w:rFonts w:ascii="Times New Roman" w:hAnsi="Times New Roman"/>
        <w:b/>
        <w:bCs/>
      </w:rPr>
      <w:t>7</w:t>
    </w:r>
    <w:r w:rsidR="00140885">
      <w:rPr>
        <w:rFonts w:ascii="Times New Roman" w:hAnsi="Times New Roman"/>
        <w:b/>
        <w:bCs/>
      </w:rPr>
      <w:t xml:space="preserve"> HA</w:t>
    </w:r>
    <w:r w:rsidR="00C531ED">
      <w:rPr>
        <w:rFonts w:ascii="Times New Roman" w:hAnsi="Times New Roman"/>
        <w:b/>
        <w:bCs/>
      </w:rPr>
      <w:t>K</w:t>
    </w:r>
  </w:p>
  <w:p w:rsidR="003F6890" w:rsidRDefault="003F6890">
    <w:pPr>
      <w:pStyle w:val="Header"/>
      <w:rPr>
        <w:rFonts w:ascii="Times New Roman" w:hAnsi="Times New Roman"/>
        <w:b/>
        <w:bCs/>
      </w:rPr>
    </w:pPr>
    <w:r>
      <w:rPr>
        <w:rFonts w:ascii="Times New Roman" w:hAnsi="Times New Roman"/>
        <w:b/>
        <w:bCs/>
      </w:rPr>
      <w:t xml:space="preserve">Res. No. </w:t>
    </w:r>
    <w:r w:rsidR="00C531ED">
      <w:rPr>
        <w:rFonts w:ascii="Times New Roman" w:hAnsi="Times New Roman"/>
        <w:b/>
        <w:bCs/>
      </w:rPr>
      <w:t>____</w:t>
    </w:r>
    <w:r w:rsidR="005369DB">
      <w:rPr>
        <w:rFonts w:ascii="Times New Roman" w:hAnsi="Times New Roman"/>
        <w:b/>
        <w:bCs/>
      </w:rPr>
      <w:t xml:space="preserve"> </w:t>
    </w:r>
    <w:r>
      <w:rPr>
        <w:rFonts w:ascii="Times New Roman" w:hAnsi="Times New Roman"/>
        <w:b/>
        <w:bCs/>
      </w:rPr>
      <w:t xml:space="preserve">(L.U. No. </w:t>
    </w:r>
    <w:r w:rsidR="00FC72CB">
      <w:rPr>
        <w:rFonts w:ascii="Times New Roman" w:hAnsi="Times New Roman"/>
        <w:b/>
        <w:bCs/>
      </w:rPr>
      <w:t>670</w:t>
    </w:r>
    <w:r w:rsidR="007A43F4">
      <w:rPr>
        <w:rFonts w:ascii="Times New Roman" w:hAnsi="Times New Roman"/>
        <w:b/>
        <w:bCs/>
      </w:rPr>
      <w:t>)</w:t>
    </w:r>
  </w:p>
  <w:p w:rsidR="00FD0C74" w:rsidRDefault="00FD0C74">
    <w:pPr>
      <w:pStyle w:val="Header"/>
      <w:rPr>
        <w:rFonts w:ascii="Times New Roman" w:hAnsi="Times New Roman"/>
        <w:b/>
        <w:bCs/>
      </w:rPr>
    </w:pPr>
  </w:p>
  <w:p w:rsidR="003F6890" w:rsidRDefault="003F6890">
    <w:pPr>
      <w:pStyle w:val="Header"/>
      <w:rPr>
        <w:rFonts w:ascii="Times New Roman" w:hAnsi="Times New Roman"/>
        <w:b/>
        <w:bCs/>
      </w:rPr>
    </w:pPr>
  </w:p>
  <w:p w:rsidR="003F6890" w:rsidRDefault="003F6890" w:rsidP="00FD0C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C5FB6"/>
    <w:multiLevelType w:val="hybridMultilevel"/>
    <w:tmpl w:val="C750DAC4"/>
    <w:lvl w:ilvl="0" w:tplc="4B56ACA6">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25697586"/>
    <w:multiLevelType w:val="hybridMultilevel"/>
    <w:tmpl w:val="1D4A02A8"/>
    <w:lvl w:ilvl="0" w:tplc="04090019">
      <w:start w:val="1"/>
      <w:numFmt w:val="lowerLetter"/>
      <w:lvlText w:val="%1."/>
      <w:lvlJc w:val="left"/>
      <w:pPr>
        <w:ind w:left="1560" w:hanging="360"/>
      </w:pPr>
      <w:rPr>
        <w:rFonts w:hint="default"/>
      </w:rPr>
    </w:lvl>
    <w:lvl w:ilvl="1" w:tplc="04090019">
      <w:start w:val="1"/>
      <w:numFmt w:val="lowerLetter"/>
      <w:lvlText w:val="%2."/>
      <w:lvlJc w:val="left"/>
      <w:pPr>
        <w:ind w:left="2280" w:hanging="360"/>
      </w:pPr>
    </w:lvl>
    <w:lvl w:ilvl="2" w:tplc="0409001B">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 w15:restartNumberingAfterBreak="0">
    <w:nsid w:val="2BB04099"/>
    <w:multiLevelType w:val="hybridMultilevel"/>
    <w:tmpl w:val="643A95CC"/>
    <w:lvl w:ilvl="0" w:tplc="AFE80A2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BCE2D3B"/>
    <w:multiLevelType w:val="hybridMultilevel"/>
    <w:tmpl w:val="0A1A0C9E"/>
    <w:lvl w:ilvl="0" w:tplc="B7A278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69541AB"/>
    <w:multiLevelType w:val="hybridMultilevel"/>
    <w:tmpl w:val="C75A3E02"/>
    <w:lvl w:ilvl="0" w:tplc="AC26A52A">
      <w:start w:val="1"/>
      <w:numFmt w:val="decimal"/>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BBF44C1"/>
    <w:multiLevelType w:val="hybridMultilevel"/>
    <w:tmpl w:val="B740B324"/>
    <w:lvl w:ilvl="0" w:tplc="E474C9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AF418D"/>
    <w:multiLevelType w:val="hybridMultilevel"/>
    <w:tmpl w:val="C29A436A"/>
    <w:lvl w:ilvl="0" w:tplc="1F22C0BE">
      <w:start w:val="1"/>
      <w:numFmt w:val="lowerLetter"/>
      <w:lvlText w:val="%1."/>
      <w:lvlJc w:val="left"/>
      <w:pPr>
        <w:ind w:left="1350" w:hanging="45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5FAA48AC"/>
    <w:multiLevelType w:val="hybridMultilevel"/>
    <w:tmpl w:val="94946000"/>
    <w:lvl w:ilvl="0" w:tplc="B3BEFF3E">
      <w:start w:val="1"/>
      <w:numFmt w:val="lowerLetter"/>
      <w:lvlText w:val="%1."/>
      <w:lvlJc w:val="left"/>
      <w:pPr>
        <w:ind w:left="810" w:hanging="360"/>
      </w:pPr>
      <w:rPr>
        <w:rFonts w:ascii="Arial" w:hAnsi="Aria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76601DB3"/>
    <w:multiLevelType w:val="hybridMultilevel"/>
    <w:tmpl w:val="3B34B3D0"/>
    <w:lvl w:ilvl="0" w:tplc="25C2F2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FAC4BF3"/>
    <w:multiLevelType w:val="hybridMultilevel"/>
    <w:tmpl w:val="6ED452CC"/>
    <w:lvl w:ilvl="0" w:tplc="416EADC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6"/>
  </w:num>
  <w:num w:numId="4">
    <w:abstractNumId w:val="0"/>
  </w:num>
  <w:num w:numId="5">
    <w:abstractNumId w:val="1"/>
  </w:num>
  <w:num w:numId="6">
    <w:abstractNumId w:val="4"/>
  </w:num>
  <w:num w:numId="7">
    <w:abstractNumId w:val="9"/>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BBC"/>
    <w:rsid w:val="000002DF"/>
    <w:rsid w:val="00004FFC"/>
    <w:rsid w:val="00011082"/>
    <w:rsid w:val="000133F5"/>
    <w:rsid w:val="0001607B"/>
    <w:rsid w:val="0002183F"/>
    <w:rsid w:val="00046603"/>
    <w:rsid w:val="00053D9E"/>
    <w:rsid w:val="00056483"/>
    <w:rsid w:val="00060AE0"/>
    <w:rsid w:val="00064CDB"/>
    <w:rsid w:val="00075C44"/>
    <w:rsid w:val="000865AA"/>
    <w:rsid w:val="00095547"/>
    <w:rsid w:val="000B4D1B"/>
    <w:rsid w:val="000C1539"/>
    <w:rsid w:val="000D1233"/>
    <w:rsid w:val="000E4050"/>
    <w:rsid w:val="000F3033"/>
    <w:rsid w:val="0012328A"/>
    <w:rsid w:val="00123B78"/>
    <w:rsid w:val="00140885"/>
    <w:rsid w:val="001444A7"/>
    <w:rsid w:val="00150097"/>
    <w:rsid w:val="00154911"/>
    <w:rsid w:val="001905FB"/>
    <w:rsid w:val="00194924"/>
    <w:rsid w:val="001B7FE5"/>
    <w:rsid w:val="001C15E8"/>
    <w:rsid w:val="001E73FD"/>
    <w:rsid w:val="001F0D52"/>
    <w:rsid w:val="001F2EBA"/>
    <w:rsid w:val="001F48F8"/>
    <w:rsid w:val="001F601C"/>
    <w:rsid w:val="002015B9"/>
    <w:rsid w:val="0020489D"/>
    <w:rsid w:val="00212C0F"/>
    <w:rsid w:val="002253ED"/>
    <w:rsid w:val="002329C4"/>
    <w:rsid w:val="00241D4B"/>
    <w:rsid w:val="002906C8"/>
    <w:rsid w:val="00297FD8"/>
    <w:rsid w:val="002B4A2D"/>
    <w:rsid w:val="002B77A0"/>
    <w:rsid w:val="002C32F3"/>
    <w:rsid w:val="002D43A2"/>
    <w:rsid w:val="002D5C0B"/>
    <w:rsid w:val="002E5DC0"/>
    <w:rsid w:val="002F09F8"/>
    <w:rsid w:val="002F3101"/>
    <w:rsid w:val="002F74B5"/>
    <w:rsid w:val="00307D92"/>
    <w:rsid w:val="00353754"/>
    <w:rsid w:val="003541F8"/>
    <w:rsid w:val="003940F0"/>
    <w:rsid w:val="0039555C"/>
    <w:rsid w:val="003A5FE9"/>
    <w:rsid w:val="003B7F88"/>
    <w:rsid w:val="003C2030"/>
    <w:rsid w:val="003E256D"/>
    <w:rsid w:val="003F6890"/>
    <w:rsid w:val="00413E8F"/>
    <w:rsid w:val="0042213C"/>
    <w:rsid w:val="004541FC"/>
    <w:rsid w:val="00457DF6"/>
    <w:rsid w:val="00463919"/>
    <w:rsid w:val="0047079E"/>
    <w:rsid w:val="00473F99"/>
    <w:rsid w:val="004B06BE"/>
    <w:rsid w:val="004E4340"/>
    <w:rsid w:val="005369DB"/>
    <w:rsid w:val="00540D40"/>
    <w:rsid w:val="00554B16"/>
    <w:rsid w:val="005640BB"/>
    <w:rsid w:val="00573F75"/>
    <w:rsid w:val="00591571"/>
    <w:rsid w:val="005916C1"/>
    <w:rsid w:val="005E4623"/>
    <w:rsid w:val="006118A3"/>
    <w:rsid w:val="00611DC3"/>
    <w:rsid w:val="00612629"/>
    <w:rsid w:val="00612EFF"/>
    <w:rsid w:val="0061721D"/>
    <w:rsid w:val="006230EB"/>
    <w:rsid w:val="006879DC"/>
    <w:rsid w:val="006907CD"/>
    <w:rsid w:val="006B15A3"/>
    <w:rsid w:val="006F46C4"/>
    <w:rsid w:val="00704884"/>
    <w:rsid w:val="00714287"/>
    <w:rsid w:val="00723A37"/>
    <w:rsid w:val="007259B6"/>
    <w:rsid w:val="007544A3"/>
    <w:rsid w:val="007757FA"/>
    <w:rsid w:val="00783153"/>
    <w:rsid w:val="007A43F4"/>
    <w:rsid w:val="007B37DF"/>
    <w:rsid w:val="007C1E59"/>
    <w:rsid w:val="007F2E3D"/>
    <w:rsid w:val="007F316F"/>
    <w:rsid w:val="00812E46"/>
    <w:rsid w:val="00847176"/>
    <w:rsid w:val="00886F53"/>
    <w:rsid w:val="008A7678"/>
    <w:rsid w:val="008B4CB7"/>
    <w:rsid w:val="008C0956"/>
    <w:rsid w:val="008C3301"/>
    <w:rsid w:val="008D17DC"/>
    <w:rsid w:val="008F04A7"/>
    <w:rsid w:val="00916241"/>
    <w:rsid w:val="0092095A"/>
    <w:rsid w:val="0092524D"/>
    <w:rsid w:val="00926427"/>
    <w:rsid w:val="00935393"/>
    <w:rsid w:val="00957010"/>
    <w:rsid w:val="00961A61"/>
    <w:rsid w:val="009625D4"/>
    <w:rsid w:val="00987A7F"/>
    <w:rsid w:val="00991F56"/>
    <w:rsid w:val="00997CDA"/>
    <w:rsid w:val="009A3106"/>
    <w:rsid w:val="009C25D9"/>
    <w:rsid w:val="009D3115"/>
    <w:rsid w:val="00A05B5B"/>
    <w:rsid w:val="00A301B6"/>
    <w:rsid w:val="00A51E23"/>
    <w:rsid w:val="00A65FAF"/>
    <w:rsid w:val="00A71CBF"/>
    <w:rsid w:val="00A87AC4"/>
    <w:rsid w:val="00A952F6"/>
    <w:rsid w:val="00AA2BC7"/>
    <w:rsid w:val="00AA7FDC"/>
    <w:rsid w:val="00AB6656"/>
    <w:rsid w:val="00AE70C8"/>
    <w:rsid w:val="00B41920"/>
    <w:rsid w:val="00B4274B"/>
    <w:rsid w:val="00B478DF"/>
    <w:rsid w:val="00B53AE7"/>
    <w:rsid w:val="00B6667B"/>
    <w:rsid w:val="00B67256"/>
    <w:rsid w:val="00B701E0"/>
    <w:rsid w:val="00B72CE0"/>
    <w:rsid w:val="00B81EF7"/>
    <w:rsid w:val="00B9224F"/>
    <w:rsid w:val="00BA40D5"/>
    <w:rsid w:val="00BA4DD0"/>
    <w:rsid w:val="00BA5981"/>
    <w:rsid w:val="00BA5C49"/>
    <w:rsid w:val="00BB57AC"/>
    <w:rsid w:val="00BC1D5E"/>
    <w:rsid w:val="00BC7206"/>
    <w:rsid w:val="00BE4ADA"/>
    <w:rsid w:val="00BE5116"/>
    <w:rsid w:val="00BE7A08"/>
    <w:rsid w:val="00BF593F"/>
    <w:rsid w:val="00C013AA"/>
    <w:rsid w:val="00C20C4C"/>
    <w:rsid w:val="00C32BBC"/>
    <w:rsid w:val="00C365DB"/>
    <w:rsid w:val="00C441CA"/>
    <w:rsid w:val="00C5059A"/>
    <w:rsid w:val="00C531ED"/>
    <w:rsid w:val="00C60F1A"/>
    <w:rsid w:val="00C631B6"/>
    <w:rsid w:val="00C67F34"/>
    <w:rsid w:val="00C8019F"/>
    <w:rsid w:val="00C813FE"/>
    <w:rsid w:val="00C859FA"/>
    <w:rsid w:val="00CB0F54"/>
    <w:rsid w:val="00CC1363"/>
    <w:rsid w:val="00CD36CD"/>
    <w:rsid w:val="00CD66B8"/>
    <w:rsid w:val="00CD7621"/>
    <w:rsid w:val="00CE08A2"/>
    <w:rsid w:val="00CF635D"/>
    <w:rsid w:val="00D02468"/>
    <w:rsid w:val="00D07CC8"/>
    <w:rsid w:val="00D24C15"/>
    <w:rsid w:val="00D2681D"/>
    <w:rsid w:val="00D32FDC"/>
    <w:rsid w:val="00D42714"/>
    <w:rsid w:val="00D4354A"/>
    <w:rsid w:val="00D56762"/>
    <w:rsid w:val="00D6715E"/>
    <w:rsid w:val="00D92EAB"/>
    <w:rsid w:val="00DC075C"/>
    <w:rsid w:val="00DD1946"/>
    <w:rsid w:val="00DE357A"/>
    <w:rsid w:val="00DE39C1"/>
    <w:rsid w:val="00E2010C"/>
    <w:rsid w:val="00E352A0"/>
    <w:rsid w:val="00E63D49"/>
    <w:rsid w:val="00E67E53"/>
    <w:rsid w:val="00E75ABE"/>
    <w:rsid w:val="00E81F17"/>
    <w:rsid w:val="00E9078F"/>
    <w:rsid w:val="00E94D13"/>
    <w:rsid w:val="00EA0BE4"/>
    <w:rsid w:val="00EA3B9D"/>
    <w:rsid w:val="00EB0D09"/>
    <w:rsid w:val="00EC15A0"/>
    <w:rsid w:val="00EC4FC1"/>
    <w:rsid w:val="00ED1B5F"/>
    <w:rsid w:val="00EE55A3"/>
    <w:rsid w:val="00EE6FD1"/>
    <w:rsid w:val="00EF2328"/>
    <w:rsid w:val="00F20B72"/>
    <w:rsid w:val="00F3377B"/>
    <w:rsid w:val="00F432ED"/>
    <w:rsid w:val="00F87D00"/>
    <w:rsid w:val="00F92D8E"/>
    <w:rsid w:val="00FC12B0"/>
    <w:rsid w:val="00FC422F"/>
    <w:rsid w:val="00FC72CB"/>
    <w:rsid w:val="00FD0C74"/>
    <w:rsid w:val="00FD2C40"/>
    <w:rsid w:val="00FD4934"/>
    <w:rsid w:val="00FE3231"/>
    <w:rsid w:val="00FF1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3765C2"/>
  <w15:chartTrackingRefBased/>
  <w15:docId w15:val="{06605768-D0B5-4E66-9918-C59907311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tabs>
        <w:tab w:val="left" w:pos="-1440"/>
      </w:tabs>
      <w:ind w:left="1440" w:right="180" w:hanging="720"/>
      <w:jc w:val="both"/>
    </w:pPr>
    <w:rPr>
      <w:rFonts w:ascii="Times New Roman" w:hAnsi="Times New Roman"/>
    </w:rPr>
  </w:style>
  <w:style w:type="paragraph" w:styleId="BalloonText">
    <w:name w:val="Balloon Text"/>
    <w:basedOn w:val="Normal"/>
    <w:link w:val="BalloonTextChar"/>
    <w:rsid w:val="002F3101"/>
    <w:rPr>
      <w:rFonts w:ascii="Tahoma" w:hAnsi="Tahoma" w:cs="Tahoma"/>
      <w:sz w:val="16"/>
      <w:szCs w:val="16"/>
    </w:rPr>
  </w:style>
  <w:style w:type="character" w:customStyle="1" w:styleId="BalloonTextChar">
    <w:name w:val="Balloon Text Char"/>
    <w:link w:val="BalloonText"/>
    <w:rsid w:val="002F3101"/>
    <w:rPr>
      <w:rFonts w:ascii="Tahoma" w:hAnsi="Tahoma" w:cs="Tahoma"/>
      <w:snapToGrid w:val="0"/>
      <w:sz w:val="16"/>
      <w:szCs w:val="16"/>
    </w:rPr>
  </w:style>
  <w:style w:type="paragraph" w:styleId="BodyText2">
    <w:name w:val="Body Text 2"/>
    <w:basedOn w:val="Normal"/>
    <w:link w:val="BodyText2Char"/>
    <w:rsid w:val="00BE5116"/>
    <w:pPr>
      <w:widowControl/>
      <w:tabs>
        <w:tab w:val="left" w:pos="480"/>
        <w:tab w:val="left" w:pos="960"/>
        <w:tab w:val="left" w:pos="1440"/>
        <w:tab w:val="left" w:pos="1920"/>
        <w:tab w:val="left" w:pos="2400"/>
        <w:tab w:val="left" w:pos="2880"/>
        <w:tab w:val="left" w:pos="3360"/>
        <w:tab w:val="left" w:pos="378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overflowPunct w:val="0"/>
      <w:autoSpaceDE w:val="0"/>
      <w:autoSpaceDN w:val="0"/>
      <w:adjustRightInd w:val="0"/>
      <w:ind w:left="960" w:hanging="960"/>
      <w:textAlignment w:val="baseline"/>
    </w:pPr>
    <w:rPr>
      <w:rFonts w:ascii="Arial" w:hAnsi="Arial"/>
      <w:snapToGrid/>
      <w:sz w:val="20"/>
    </w:rPr>
  </w:style>
  <w:style w:type="character" w:customStyle="1" w:styleId="BodyText2Char">
    <w:name w:val="Body Text 2 Char"/>
    <w:link w:val="BodyText2"/>
    <w:rsid w:val="00BE5116"/>
    <w:rPr>
      <w:rFonts w:ascii="Arial" w:hAnsi="Arial"/>
    </w:rPr>
  </w:style>
  <w:style w:type="paragraph" w:styleId="ListParagraph">
    <w:name w:val="List Paragraph"/>
    <w:basedOn w:val="Normal"/>
    <w:uiPriority w:val="34"/>
    <w:qFormat/>
    <w:rsid w:val="00BE5116"/>
    <w:pPr>
      <w:widowControl/>
      <w:overflowPunct w:val="0"/>
      <w:autoSpaceDE w:val="0"/>
      <w:autoSpaceDN w:val="0"/>
      <w:adjustRightInd w:val="0"/>
      <w:ind w:left="720"/>
      <w:contextualSpacing/>
    </w:pPr>
    <w:rPr>
      <w:rFonts w:ascii="Courier New" w:hAnsi="Courier New"/>
      <w:snapToGrid/>
      <w:sz w:val="20"/>
    </w:rPr>
  </w:style>
  <w:style w:type="paragraph" w:styleId="BodyText">
    <w:name w:val="Body Text"/>
    <w:basedOn w:val="Normal"/>
    <w:link w:val="BodyTextChar"/>
    <w:rsid w:val="00140885"/>
    <w:pPr>
      <w:spacing w:after="120"/>
    </w:pPr>
  </w:style>
  <w:style w:type="character" w:customStyle="1" w:styleId="BodyTextChar">
    <w:name w:val="Body Text Char"/>
    <w:link w:val="BodyText"/>
    <w:rsid w:val="00140885"/>
    <w:rPr>
      <w:rFonts w:ascii="Courier" w:hAnsi="Courier"/>
      <w:snapToGrid w:val="0"/>
      <w:sz w:val="24"/>
    </w:rPr>
  </w:style>
  <w:style w:type="character" w:styleId="CommentReference">
    <w:name w:val="annotation reference"/>
    <w:rsid w:val="002F74B5"/>
    <w:rPr>
      <w:sz w:val="16"/>
      <w:szCs w:val="16"/>
    </w:rPr>
  </w:style>
  <w:style w:type="paragraph" w:styleId="CommentText">
    <w:name w:val="annotation text"/>
    <w:basedOn w:val="Normal"/>
    <w:link w:val="CommentTextChar"/>
    <w:rsid w:val="002F74B5"/>
    <w:rPr>
      <w:sz w:val="20"/>
    </w:rPr>
  </w:style>
  <w:style w:type="character" w:customStyle="1" w:styleId="CommentTextChar">
    <w:name w:val="Comment Text Char"/>
    <w:link w:val="CommentText"/>
    <w:rsid w:val="002F74B5"/>
    <w:rPr>
      <w:rFonts w:ascii="Courier" w:hAnsi="Courier"/>
      <w:snapToGrid w:val="0"/>
    </w:rPr>
  </w:style>
  <w:style w:type="paragraph" w:styleId="CommentSubject">
    <w:name w:val="annotation subject"/>
    <w:basedOn w:val="CommentText"/>
    <w:next w:val="CommentText"/>
    <w:link w:val="CommentSubjectChar"/>
    <w:rsid w:val="002F74B5"/>
    <w:rPr>
      <w:b/>
      <w:bCs/>
    </w:rPr>
  </w:style>
  <w:style w:type="character" w:customStyle="1" w:styleId="CommentSubjectChar">
    <w:name w:val="Comment Subject Char"/>
    <w:link w:val="CommentSubject"/>
    <w:rsid w:val="002F74B5"/>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E5D09-8AC8-477A-AA6C-7912BA553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1832</Words>
  <Characters>10445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UDAAP RESO W/ 696 TAX EXEMPTIONS</vt:lpstr>
    </vt:vector>
  </TitlesOfParts>
  <Company>NYC Council</Company>
  <LinksUpToDate>false</LinksUpToDate>
  <CharactersWithSpaces>12253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UDAAP RESO W/ 696 TAX EXEMPTIONS</dc:title>
  <dc:subject/>
  <dc:creator>NYC Council</dc:creator>
  <cp:keywords/>
  <cp:lastModifiedBy>DelFranco, Ruthie</cp:lastModifiedBy>
  <cp:revision>3</cp:revision>
  <cp:lastPrinted>2016-10-31T17:34:00Z</cp:lastPrinted>
  <dcterms:created xsi:type="dcterms:W3CDTF">2020-10-15T03:58:00Z</dcterms:created>
  <dcterms:modified xsi:type="dcterms:W3CDTF">2020-10-15T12:16:00Z</dcterms:modified>
</cp:coreProperties>
</file>