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890" w:rsidRPr="008B4CB7" w:rsidRDefault="003F6890" w:rsidP="002C32F3">
      <w:pPr>
        <w:tabs>
          <w:tab w:val="center" w:pos="4680"/>
        </w:tabs>
        <w:jc w:val="center"/>
        <w:rPr>
          <w:rFonts w:ascii="Times New Roman" w:hAnsi="Times New Roman"/>
          <w:szCs w:val="24"/>
        </w:rPr>
      </w:pPr>
      <w:r w:rsidRPr="008B4CB7">
        <w:rPr>
          <w:rFonts w:ascii="Times New Roman" w:hAnsi="Times New Roman"/>
          <w:b/>
          <w:szCs w:val="24"/>
        </w:rPr>
        <w:t>THE COUNCIL OF THE CITY OF NEW YORK</w:t>
      </w:r>
    </w:p>
    <w:p w:rsidR="003F6890" w:rsidRPr="008B4CB7" w:rsidRDefault="003F6890" w:rsidP="00DE39C1">
      <w:pPr>
        <w:tabs>
          <w:tab w:val="left" w:pos="720"/>
          <w:tab w:val="center" w:pos="4680"/>
        </w:tabs>
        <w:jc w:val="center"/>
        <w:rPr>
          <w:rFonts w:ascii="Times New Roman" w:hAnsi="Times New Roman"/>
          <w:szCs w:val="24"/>
        </w:rPr>
      </w:pPr>
      <w:r w:rsidRPr="008B4CB7">
        <w:rPr>
          <w:rFonts w:ascii="Times New Roman" w:hAnsi="Times New Roman"/>
          <w:b/>
          <w:szCs w:val="24"/>
        </w:rPr>
        <w:t xml:space="preserve">RESOLUTION NO. </w:t>
      </w:r>
      <w:r w:rsidR="00FF1081">
        <w:rPr>
          <w:rFonts w:ascii="Times New Roman" w:hAnsi="Times New Roman"/>
          <w:b/>
          <w:szCs w:val="24"/>
        </w:rPr>
        <w:t xml:space="preserve"> </w:t>
      </w:r>
      <w:r w:rsidR="00070E25">
        <w:rPr>
          <w:rFonts w:ascii="Times New Roman" w:hAnsi="Times New Roman"/>
          <w:b/>
          <w:szCs w:val="24"/>
        </w:rPr>
        <w:t>1423</w:t>
      </w:r>
      <w:bookmarkStart w:id="0" w:name="_GoBack"/>
      <w:bookmarkEnd w:id="0"/>
    </w:p>
    <w:p w:rsidR="003F6890" w:rsidRPr="008B4CB7" w:rsidRDefault="003F6890" w:rsidP="00DE39C1">
      <w:pPr>
        <w:jc w:val="both"/>
        <w:rPr>
          <w:rFonts w:ascii="Times New Roman" w:hAnsi="Times New Roman"/>
          <w:szCs w:val="24"/>
        </w:rPr>
      </w:pPr>
    </w:p>
    <w:p w:rsidR="002C32F3" w:rsidRPr="002164AB" w:rsidRDefault="002C32F3" w:rsidP="00DE39C1">
      <w:pPr>
        <w:jc w:val="both"/>
        <w:rPr>
          <w:rFonts w:ascii="Times New Roman" w:hAnsi="Times New Roman"/>
          <w:b/>
          <w:vanish/>
          <w:szCs w:val="24"/>
        </w:rPr>
      </w:pPr>
      <w:r w:rsidRPr="002164AB">
        <w:rPr>
          <w:rFonts w:ascii="Times New Roman" w:hAnsi="Times New Roman"/>
          <w:b/>
          <w:vanish/>
          <w:szCs w:val="24"/>
        </w:rPr>
        <w:t>..Title</w:t>
      </w:r>
    </w:p>
    <w:p w:rsidR="003F6890" w:rsidRPr="002164AB" w:rsidRDefault="003F6890" w:rsidP="00DE39C1">
      <w:pPr>
        <w:jc w:val="both"/>
        <w:rPr>
          <w:rFonts w:ascii="Times New Roman" w:hAnsi="Times New Roman"/>
          <w:b/>
          <w:szCs w:val="24"/>
        </w:rPr>
      </w:pPr>
      <w:r w:rsidRPr="002164AB">
        <w:rPr>
          <w:rFonts w:ascii="Times New Roman" w:hAnsi="Times New Roman"/>
          <w:b/>
          <w:szCs w:val="24"/>
        </w:rPr>
        <w:t xml:space="preserve">Resolution approving an Urban Development Action Area Project </w:t>
      </w:r>
      <w:r w:rsidR="001F0D52" w:rsidRPr="002164AB">
        <w:rPr>
          <w:rFonts w:ascii="Times New Roman" w:hAnsi="Times New Roman"/>
          <w:b/>
          <w:szCs w:val="24"/>
        </w:rPr>
        <w:t xml:space="preserve">pursuant to Article 16 of the General Municipal Law </w:t>
      </w:r>
      <w:r w:rsidR="00FD4934" w:rsidRPr="002164AB">
        <w:rPr>
          <w:rFonts w:ascii="Times New Roman" w:hAnsi="Times New Roman"/>
          <w:b/>
          <w:szCs w:val="24"/>
        </w:rPr>
        <w:t xml:space="preserve">and a real property tax exemption pursuant to Article XI of the Private Housing Finance Law </w:t>
      </w:r>
      <w:r w:rsidR="001F0D52" w:rsidRPr="002164AB">
        <w:rPr>
          <w:rFonts w:ascii="Times New Roman" w:hAnsi="Times New Roman"/>
          <w:b/>
          <w:szCs w:val="24"/>
        </w:rPr>
        <w:t xml:space="preserve">for property </w:t>
      </w:r>
      <w:r w:rsidRPr="002164AB">
        <w:rPr>
          <w:rFonts w:ascii="Times New Roman" w:hAnsi="Times New Roman"/>
          <w:b/>
          <w:szCs w:val="24"/>
        </w:rPr>
        <w:t>located at</w:t>
      </w:r>
      <w:r w:rsidR="00BA5C49" w:rsidRPr="002164AB">
        <w:rPr>
          <w:rFonts w:ascii="Times New Roman" w:hAnsi="Times New Roman"/>
          <w:b/>
          <w:szCs w:val="24"/>
        </w:rPr>
        <w:t xml:space="preserve"> </w:t>
      </w:r>
      <w:r w:rsidR="002164AB" w:rsidRPr="002164AB">
        <w:rPr>
          <w:rFonts w:ascii="Times New Roman" w:hAnsi="Times New Roman"/>
          <w:b/>
          <w:snapToGrid/>
          <w:szCs w:val="24"/>
        </w:rPr>
        <w:t>24 West 132</w:t>
      </w:r>
      <w:r w:rsidR="002164AB" w:rsidRPr="002164AB">
        <w:rPr>
          <w:rFonts w:ascii="Times New Roman" w:hAnsi="Times New Roman"/>
          <w:b/>
          <w:snapToGrid/>
          <w:szCs w:val="24"/>
          <w:vertAlign w:val="superscript"/>
        </w:rPr>
        <w:t>nd</w:t>
      </w:r>
      <w:r w:rsidR="002164AB" w:rsidRPr="002164AB">
        <w:rPr>
          <w:rFonts w:ascii="Times New Roman" w:hAnsi="Times New Roman"/>
          <w:b/>
          <w:snapToGrid/>
          <w:szCs w:val="24"/>
        </w:rPr>
        <w:t xml:space="preserve"> Street (Block 1729, Lot 45); 37 West 138</w:t>
      </w:r>
      <w:r w:rsidR="002164AB" w:rsidRPr="002164AB">
        <w:rPr>
          <w:rFonts w:ascii="Times New Roman" w:hAnsi="Times New Roman"/>
          <w:b/>
          <w:snapToGrid/>
          <w:szCs w:val="24"/>
          <w:vertAlign w:val="superscript"/>
        </w:rPr>
        <w:t>th</w:t>
      </w:r>
      <w:r w:rsidR="002164AB" w:rsidRPr="002164AB">
        <w:rPr>
          <w:rFonts w:ascii="Times New Roman" w:hAnsi="Times New Roman"/>
          <w:b/>
          <w:snapToGrid/>
          <w:szCs w:val="24"/>
        </w:rPr>
        <w:t xml:space="preserve"> Street (Block 1736, Lot 23); 202 West 133</w:t>
      </w:r>
      <w:r w:rsidR="002164AB" w:rsidRPr="002164AB">
        <w:rPr>
          <w:rFonts w:ascii="Times New Roman" w:hAnsi="Times New Roman"/>
          <w:b/>
          <w:snapToGrid/>
          <w:szCs w:val="24"/>
          <w:vertAlign w:val="superscript"/>
        </w:rPr>
        <w:t>rd</w:t>
      </w:r>
      <w:r w:rsidR="002164AB" w:rsidRPr="002164AB">
        <w:rPr>
          <w:rFonts w:ascii="Times New Roman" w:hAnsi="Times New Roman"/>
          <w:b/>
          <w:snapToGrid/>
          <w:szCs w:val="24"/>
        </w:rPr>
        <w:t xml:space="preserve"> Street (Block 1938, Lot 38); 2274 Adam Clayton Powell Jr. Boulevard (Block 1939, Lot 34), </w:t>
      </w:r>
      <w:r w:rsidR="005E4623" w:rsidRPr="002164AB">
        <w:rPr>
          <w:rFonts w:ascii="Times New Roman" w:hAnsi="Times New Roman"/>
          <w:b/>
          <w:szCs w:val="24"/>
        </w:rPr>
        <w:t xml:space="preserve">Borough of </w:t>
      </w:r>
      <w:r w:rsidR="00FD4934" w:rsidRPr="002164AB">
        <w:rPr>
          <w:rFonts w:ascii="Times New Roman" w:hAnsi="Times New Roman"/>
          <w:b/>
          <w:szCs w:val="24"/>
        </w:rPr>
        <w:t>Manhattan</w:t>
      </w:r>
      <w:r w:rsidR="004541FC" w:rsidRPr="002164AB">
        <w:rPr>
          <w:rFonts w:ascii="Times New Roman" w:hAnsi="Times New Roman"/>
          <w:b/>
          <w:szCs w:val="24"/>
        </w:rPr>
        <w:t xml:space="preserve">; </w:t>
      </w:r>
      <w:r w:rsidRPr="002164AB">
        <w:rPr>
          <w:rFonts w:ascii="Times New Roman" w:hAnsi="Times New Roman"/>
          <w:b/>
          <w:szCs w:val="24"/>
        </w:rPr>
        <w:t>and waiving the urban development action area designation requirement and the Un</w:t>
      </w:r>
      <w:r w:rsidR="00BF593F" w:rsidRPr="002164AB">
        <w:rPr>
          <w:rFonts w:ascii="Times New Roman" w:hAnsi="Times New Roman"/>
          <w:b/>
          <w:szCs w:val="24"/>
        </w:rPr>
        <w:t>iform Land Use Review Procedure,</w:t>
      </w:r>
      <w:r w:rsidRPr="002164AB">
        <w:rPr>
          <w:rFonts w:ascii="Times New Roman" w:hAnsi="Times New Roman"/>
          <w:b/>
          <w:szCs w:val="24"/>
        </w:rPr>
        <w:t xml:space="preserve"> </w:t>
      </w:r>
      <w:r w:rsidR="00BA5C49" w:rsidRPr="002164AB">
        <w:rPr>
          <w:rFonts w:ascii="Times New Roman" w:hAnsi="Times New Roman"/>
          <w:b/>
          <w:szCs w:val="24"/>
        </w:rPr>
        <w:t>Community District</w:t>
      </w:r>
      <w:r w:rsidR="005E4623" w:rsidRPr="002164AB">
        <w:rPr>
          <w:rFonts w:ascii="Times New Roman" w:hAnsi="Times New Roman"/>
          <w:b/>
          <w:szCs w:val="24"/>
        </w:rPr>
        <w:t xml:space="preserve"> </w:t>
      </w:r>
      <w:r w:rsidR="002164AB" w:rsidRPr="002164AB">
        <w:rPr>
          <w:rFonts w:ascii="Times New Roman" w:hAnsi="Times New Roman"/>
          <w:b/>
          <w:szCs w:val="24"/>
        </w:rPr>
        <w:t>10</w:t>
      </w:r>
      <w:r w:rsidR="00BF593F" w:rsidRPr="002164AB">
        <w:rPr>
          <w:rFonts w:ascii="Times New Roman" w:hAnsi="Times New Roman"/>
          <w:b/>
          <w:szCs w:val="24"/>
        </w:rPr>
        <w:t>,</w:t>
      </w:r>
      <w:r w:rsidR="00BA5C49" w:rsidRPr="002164AB">
        <w:rPr>
          <w:rFonts w:ascii="Times New Roman" w:hAnsi="Times New Roman"/>
          <w:b/>
          <w:szCs w:val="24"/>
        </w:rPr>
        <w:t xml:space="preserve"> Borough of </w:t>
      </w:r>
      <w:r w:rsidR="00FD4934" w:rsidRPr="002164AB">
        <w:rPr>
          <w:rFonts w:ascii="Times New Roman" w:hAnsi="Times New Roman"/>
          <w:b/>
          <w:szCs w:val="24"/>
        </w:rPr>
        <w:t>Manhattan</w:t>
      </w:r>
      <w:r w:rsidR="00BA5C49" w:rsidRPr="002164AB">
        <w:rPr>
          <w:rFonts w:ascii="Times New Roman" w:hAnsi="Times New Roman"/>
          <w:b/>
          <w:szCs w:val="24"/>
        </w:rPr>
        <w:t xml:space="preserve"> (</w:t>
      </w:r>
      <w:r w:rsidR="002164AB" w:rsidRPr="002164AB">
        <w:rPr>
          <w:rFonts w:ascii="Times New Roman" w:hAnsi="Times New Roman"/>
          <w:b/>
          <w:szCs w:val="24"/>
        </w:rPr>
        <w:t xml:space="preserve">Preconsidered </w:t>
      </w:r>
      <w:r w:rsidR="00BA5C49" w:rsidRPr="002164AB">
        <w:rPr>
          <w:rFonts w:ascii="Times New Roman" w:hAnsi="Times New Roman"/>
          <w:b/>
          <w:szCs w:val="24"/>
        </w:rPr>
        <w:t xml:space="preserve">L.U. No. </w:t>
      </w:r>
      <w:r w:rsidR="000E7933">
        <w:rPr>
          <w:rFonts w:ascii="Times New Roman" w:hAnsi="Times New Roman"/>
          <w:b/>
          <w:szCs w:val="24"/>
        </w:rPr>
        <w:t>663</w:t>
      </w:r>
      <w:r w:rsidR="00BA5C49" w:rsidRPr="002164AB">
        <w:rPr>
          <w:rFonts w:ascii="Times New Roman" w:hAnsi="Times New Roman"/>
          <w:b/>
          <w:szCs w:val="24"/>
        </w:rPr>
        <w:t xml:space="preserve">; </w:t>
      </w:r>
      <w:r w:rsidR="00612EFF" w:rsidRPr="002164AB">
        <w:rPr>
          <w:rFonts w:ascii="Times New Roman" w:hAnsi="Times New Roman"/>
          <w:b/>
          <w:szCs w:val="24"/>
        </w:rPr>
        <w:t>20</w:t>
      </w:r>
      <w:r w:rsidR="003B7F88" w:rsidRPr="002164AB">
        <w:rPr>
          <w:rFonts w:ascii="Times New Roman" w:hAnsi="Times New Roman"/>
          <w:b/>
          <w:szCs w:val="24"/>
        </w:rPr>
        <w:t>205</w:t>
      </w:r>
      <w:r w:rsidR="002164AB" w:rsidRPr="002164AB">
        <w:rPr>
          <w:rFonts w:ascii="Times New Roman" w:hAnsi="Times New Roman"/>
          <w:b/>
          <w:szCs w:val="24"/>
        </w:rPr>
        <w:t>414</w:t>
      </w:r>
      <w:r w:rsidR="003B7F88" w:rsidRPr="002164AB">
        <w:rPr>
          <w:rFonts w:ascii="Times New Roman" w:hAnsi="Times New Roman"/>
          <w:b/>
          <w:szCs w:val="24"/>
        </w:rPr>
        <w:t xml:space="preserve"> </w:t>
      </w:r>
      <w:r w:rsidR="00BA4DD0" w:rsidRPr="002164AB">
        <w:rPr>
          <w:rFonts w:ascii="Times New Roman" w:hAnsi="Times New Roman"/>
          <w:b/>
          <w:szCs w:val="24"/>
        </w:rPr>
        <w:t>HAM</w:t>
      </w:r>
      <w:r w:rsidR="00BA5C49" w:rsidRPr="002164AB">
        <w:rPr>
          <w:rFonts w:ascii="Times New Roman" w:hAnsi="Times New Roman"/>
          <w:b/>
          <w:szCs w:val="24"/>
        </w:rPr>
        <w:t>).</w:t>
      </w:r>
    </w:p>
    <w:p w:rsidR="002C32F3" w:rsidRPr="002C32F3" w:rsidRDefault="002C32F3" w:rsidP="00DE39C1">
      <w:pPr>
        <w:jc w:val="both"/>
        <w:rPr>
          <w:rFonts w:ascii="Times New Roman" w:hAnsi="Times New Roman"/>
          <w:b/>
          <w:vanish/>
          <w:szCs w:val="24"/>
        </w:rPr>
      </w:pPr>
      <w:r w:rsidRPr="002C32F3">
        <w:rPr>
          <w:rFonts w:ascii="Times New Roman" w:hAnsi="Times New Roman"/>
          <w:b/>
          <w:vanish/>
          <w:szCs w:val="24"/>
        </w:rPr>
        <w:t>..Body</w:t>
      </w:r>
    </w:p>
    <w:p w:rsidR="003F6890" w:rsidRPr="008B4CB7" w:rsidRDefault="003F6890" w:rsidP="00DE39C1">
      <w:pPr>
        <w:jc w:val="both"/>
        <w:rPr>
          <w:rFonts w:ascii="Times New Roman" w:hAnsi="Times New Roman"/>
          <w:szCs w:val="24"/>
        </w:rPr>
      </w:pPr>
    </w:p>
    <w:p w:rsidR="003F6890" w:rsidRPr="008B4CB7" w:rsidRDefault="003F6890" w:rsidP="00DE39C1">
      <w:pPr>
        <w:jc w:val="both"/>
        <w:rPr>
          <w:rFonts w:ascii="Times New Roman" w:hAnsi="Times New Roman"/>
          <w:szCs w:val="24"/>
        </w:rPr>
      </w:pPr>
      <w:r w:rsidRPr="008B4CB7">
        <w:rPr>
          <w:rFonts w:ascii="Times New Roman" w:hAnsi="Times New Roman"/>
          <w:b/>
          <w:szCs w:val="24"/>
        </w:rPr>
        <w:t xml:space="preserve">By Council Members </w:t>
      </w:r>
      <w:r w:rsidR="005E4623" w:rsidRPr="008B4CB7">
        <w:rPr>
          <w:rFonts w:ascii="Times New Roman" w:hAnsi="Times New Roman"/>
          <w:b/>
          <w:szCs w:val="24"/>
        </w:rPr>
        <w:t>Salamanca</w:t>
      </w:r>
      <w:r w:rsidR="00886F53" w:rsidRPr="008B4CB7">
        <w:rPr>
          <w:rFonts w:ascii="Times New Roman" w:hAnsi="Times New Roman"/>
          <w:b/>
          <w:szCs w:val="24"/>
        </w:rPr>
        <w:t xml:space="preserve"> and </w:t>
      </w:r>
      <w:r w:rsidR="003B7F88">
        <w:rPr>
          <w:rFonts w:ascii="Times New Roman" w:hAnsi="Times New Roman"/>
          <w:b/>
          <w:szCs w:val="24"/>
        </w:rPr>
        <w:t>Adams</w:t>
      </w:r>
    </w:p>
    <w:p w:rsidR="003F6890" w:rsidRPr="008B4CB7" w:rsidRDefault="003F6890" w:rsidP="00DE39C1">
      <w:pPr>
        <w:jc w:val="both"/>
        <w:rPr>
          <w:rFonts w:ascii="Times New Roman" w:hAnsi="Times New Roman"/>
          <w:szCs w:val="24"/>
        </w:rPr>
      </w:pPr>
    </w:p>
    <w:p w:rsidR="003F6890" w:rsidRPr="00056483" w:rsidRDefault="00B701E0" w:rsidP="00A838DE">
      <w:pPr>
        <w:tabs>
          <w:tab w:val="left" w:pos="540"/>
          <w:tab w:val="left" w:pos="72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s>
        <w:suppressAutoHyphens/>
        <w:jc w:val="both"/>
        <w:rPr>
          <w:rFonts w:ascii="Times New Roman" w:hAnsi="Times New Roman"/>
          <w:szCs w:val="24"/>
        </w:rPr>
      </w:pPr>
      <w:r w:rsidRPr="000D1233">
        <w:rPr>
          <w:rFonts w:ascii="Times New Roman" w:hAnsi="Times New Roman"/>
          <w:szCs w:val="24"/>
        </w:rPr>
        <w:tab/>
      </w:r>
      <w:r w:rsidRPr="00056483">
        <w:rPr>
          <w:rFonts w:ascii="Times New Roman" w:hAnsi="Times New Roman"/>
          <w:szCs w:val="24"/>
        </w:rPr>
        <w:tab/>
      </w:r>
      <w:r w:rsidR="003F6890" w:rsidRPr="00056483">
        <w:rPr>
          <w:rFonts w:ascii="Times New Roman" w:hAnsi="Times New Roman"/>
          <w:szCs w:val="24"/>
        </w:rPr>
        <w:t xml:space="preserve">WHEREAS, the New York City Department of Housing Preservation and Development ("HPD") submitted to the Council on </w:t>
      </w:r>
      <w:r w:rsidR="00EC2AD2">
        <w:rPr>
          <w:rFonts w:ascii="Times New Roman" w:hAnsi="Times New Roman"/>
          <w:szCs w:val="24"/>
        </w:rPr>
        <w:t>May 19,</w:t>
      </w:r>
      <w:r w:rsidR="00A838DE">
        <w:rPr>
          <w:rFonts w:ascii="Times New Roman" w:hAnsi="Times New Roman"/>
          <w:szCs w:val="24"/>
        </w:rPr>
        <w:t xml:space="preserve"> 2020</w:t>
      </w:r>
      <w:r w:rsidRPr="00056483">
        <w:rPr>
          <w:rFonts w:ascii="Times New Roman" w:hAnsi="Times New Roman"/>
          <w:szCs w:val="24"/>
        </w:rPr>
        <w:t xml:space="preserve"> its</w:t>
      </w:r>
      <w:r w:rsidR="003F6890" w:rsidRPr="00056483">
        <w:rPr>
          <w:rFonts w:ascii="Times New Roman" w:hAnsi="Times New Roman"/>
          <w:szCs w:val="24"/>
        </w:rPr>
        <w:t xml:space="preserve"> request dated </w:t>
      </w:r>
      <w:r w:rsidR="00EC2AD2">
        <w:rPr>
          <w:rFonts w:ascii="Times New Roman" w:hAnsi="Times New Roman"/>
          <w:szCs w:val="24"/>
        </w:rPr>
        <w:t>May 13</w:t>
      </w:r>
      <w:r w:rsidR="00A838DE">
        <w:rPr>
          <w:rFonts w:ascii="Times New Roman" w:hAnsi="Times New Roman"/>
          <w:szCs w:val="24"/>
        </w:rPr>
        <w:t>, 2020</w:t>
      </w:r>
      <w:r w:rsidR="003F6890" w:rsidRPr="00056483">
        <w:rPr>
          <w:rFonts w:ascii="Times New Roman" w:hAnsi="Times New Roman"/>
          <w:szCs w:val="24"/>
        </w:rPr>
        <w:t xml:space="preserve"> that the Council take the following actions regarding the </w:t>
      </w:r>
      <w:r w:rsidR="0001607B" w:rsidRPr="00056483">
        <w:rPr>
          <w:rFonts w:ascii="Times New Roman" w:hAnsi="Times New Roman"/>
          <w:szCs w:val="24"/>
        </w:rPr>
        <w:t>proposed</w:t>
      </w:r>
      <w:r w:rsidR="003F6890" w:rsidRPr="00056483">
        <w:rPr>
          <w:rFonts w:ascii="Times New Roman" w:hAnsi="Times New Roman"/>
          <w:szCs w:val="24"/>
        </w:rPr>
        <w:t xml:space="preserve"> Urban Development Action Area Project (the "Project") </w:t>
      </w:r>
      <w:r w:rsidR="00BF593F" w:rsidRPr="00056483">
        <w:rPr>
          <w:rFonts w:ascii="Times New Roman" w:hAnsi="Times New Roman"/>
          <w:szCs w:val="24"/>
        </w:rPr>
        <w:t>located at</w:t>
      </w:r>
      <w:r w:rsidR="00886F53" w:rsidRPr="00056483">
        <w:rPr>
          <w:rFonts w:ascii="Times New Roman" w:hAnsi="Times New Roman"/>
          <w:szCs w:val="24"/>
        </w:rPr>
        <w:t xml:space="preserve"> </w:t>
      </w:r>
      <w:r w:rsidR="002164AB" w:rsidRPr="00977C42">
        <w:rPr>
          <w:rFonts w:ascii="Times New Roman" w:hAnsi="Times New Roman"/>
          <w:snapToGrid/>
          <w:szCs w:val="24"/>
        </w:rPr>
        <w:t>24 West 132</w:t>
      </w:r>
      <w:r w:rsidR="002164AB" w:rsidRPr="00977C42">
        <w:rPr>
          <w:rFonts w:ascii="Times New Roman" w:hAnsi="Times New Roman"/>
          <w:snapToGrid/>
          <w:szCs w:val="24"/>
          <w:vertAlign w:val="superscript"/>
        </w:rPr>
        <w:t>nd</w:t>
      </w:r>
      <w:r w:rsidR="002164AB" w:rsidRPr="00977C42">
        <w:rPr>
          <w:rFonts w:ascii="Times New Roman" w:hAnsi="Times New Roman"/>
          <w:snapToGrid/>
          <w:szCs w:val="24"/>
        </w:rPr>
        <w:t xml:space="preserve"> Street (Block 1729, Lot 45); 37 West 138</w:t>
      </w:r>
      <w:r w:rsidR="002164AB" w:rsidRPr="00977C42">
        <w:rPr>
          <w:rFonts w:ascii="Times New Roman" w:hAnsi="Times New Roman"/>
          <w:snapToGrid/>
          <w:szCs w:val="24"/>
          <w:vertAlign w:val="superscript"/>
        </w:rPr>
        <w:t>th</w:t>
      </w:r>
      <w:r w:rsidR="002164AB" w:rsidRPr="00977C42">
        <w:rPr>
          <w:rFonts w:ascii="Times New Roman" w:hAnsi="Times New Roman"/>
          <w:snapToGrid/>
          <w:szCs w:val="24"/>
        </w:rPr>
        <w:t xml:space="preserve"> Street (Block 1736, Lot 23); 202 West 133</w:t>
      </w:r>
      <w:r w:rsidR="002164AB" w:rsidRPr="00977C42">
        <w:rPr>
          <w:rFonts w:ascii="Times New Roman" w:hAnsi="Times New Roman"/>
          <w:snapToGrid/>
          <w:szCs w:val="24"/>
          <w:vertAlign w:val="superscript"/>
        </w:rPr>
        <w:t>rd</w:t>
      </w:r>
      <w:r w:rsidR="002164AB" w:rsidRPr="00977C42">
        <w:rPr>
          <w:rFonts w:ascii="Times New Roman" w:hAnsi="Times New Roman"/>
          <w:snapToGrid/>
          <w:szCs w:val="24"/>
        </w:rPr>
        <w:t xml:space="preserve"> Street (Block 1938, Lot 38); 2274 Adam Clayton Powell Jr.  Boulevard (Block 1939, Lot 34),</w:t>
      </w:r>
      <w:r w:rsidR="002164AB">
        <w:rPr>
          <w:rFonts w:ascii="Times New Roman" w:hAnsi="Times New Roman"/>
          <w:snapToGrid/>
          <w:szCs w:val="24"/>
        </w:rPr>
        <w:t xml:space="preserve"> </w:t>
      </w:r>
      <w:r w:rsidR="00BF593F" w:rsidRPr="00056483">
        <w:rPr>
          <w:rFonts w:ascii="Times New Roman" w:hAnsi="Times New Roman"/>
          <w:szCs w:val="24"/>
        </w:rPr>
        <w:t>Community District</w:t>
      </w:r>
      <w:r w:rsidR="00123B78" w:rsidRPr="00056483">
        <w:rPr>
          <w:rFonts w:ascii="Times New Roman" w:hAnsi="Times New Roman"/>
          <w:szCs w:val="24"/>
        </w:rPr>
        <w:t xml:space="preserve"> </w:t>
      </w:r>
      <w:r w:rsidR="002164AB">
        <w:rPr>
          <w:rFonts w:ascii="Times New Roman" w:hAnsi="Times New Roman"/>
          <w:szCs w:val="24"/>
        </w:rPr>
        <w:t>10</w:t>
      </w:r>
      <w:r w:rsidR="00BF593F" w:rsidRPr="00056483">
        <w:rPr>
          <w:rFonts w:ascii="Times New Roman" w:hAnsi="Times New Roman"/>
          <w:szCs w:val="24"/>
        </w:rPr>
        <w:t xml:space="preserve">, </w:t>
      </w:r>
      <w:r w:rsidR="003F6890" w:rsidRPr="00056483">
        <w:rPr>
          <w:rFonts w:ascii="Times New Roman" w:hAnsi="Times New Roman"/>
          <w:szCs w:val="24"/>
        </w:rPr>
        <w:t xml:space="preserve">Borough of </w:t>
      </w:r>
      <w:r w:rsidR="000D1233" w:rsidRPr="00056483">
        <w:rPr>
          <w:rFonts w:ascii="Times New Roman" w:hAnsi="Times New Roman"/>
          <w:szCs w:val="24"/>
        </w:rPr>
        <w:t>Manhattan</w:t>
      </w:r>
      <w:r w:rsidR="003F6890" w:rsidRPr="00056483">
        <w:rPr>
          <w:rFonts w:ascii="Times New Roman" w:hAnsi="Times New Roman"/>
          <w:szCs w:val="24"/>
        </w:rPr>
        <w:t xml:space="preserve"> (the "</w:t>
      </w:r>
      <w:r w:rsidR="00886F53" w:rsidRPr="00056483">
        <w:rPr>
          <w:rFonts w:ascii="Times New Roman" w:hAnsi="Times New Roman"/>
          <w:szCs w:val="24"/>
        </w:rPr>
        <w:t>Disposition</w:t>
      </w:r>
      <w:r w:rsidR="003F6890" w:rsidRPr="00056483">
        <w:rPr>
          <w:rFonts w:ascii="Times New Roman" w:hAnsi="Times New Roman"/>
          <w:szCs w:val="24"/>
        </w:rPr>
        <w:t xml:space="preserve"> Area</w:t>
      </w:r>
      <w:r w:rsidR="002F74B5" w:rsidRPr="00056483">
        <w:rPr>
          <w:rFonts w:ascii="Times New Roman" w:hAnsi="Times New Roman"/>
          <w:szCs w:val="24"/>
        </w:rPr>
        <w:t xml:space="preserve"> or Exemption Area</w:t>
      </w:r>
      <w:r w:rsidR="003F6890" w:rsidRPr="00056483">
        <w:rPr>
          <w:rFonts w:ascii="Times New Roman" w:hAnsi="Times New Roman"/>
          <w:szCs w:val="24"/>
        </w:rPr>
        <w:t>"):</w:t>
      </w:r>
    </w:p>
    <w:p w:rsidR="003F6890" w:rsidRPr="007B37DF" w:rsidRDefault="003F6890" w:rsidP="007B37DF">
      <w:pPr>
        <w:jc w:val="both"/>
        <w:rPr>
          <w:rFonts w:ascii="Times New Roman" w:hAnsi="Times New Roman"/>
          <w:szCs w:val="24"/>
        </w:rPr>
      </w:pPr>
    </w:p>
    <w:p w:rsidR="007B37DF" w:rsidRPr="007B37DF"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r w:rsidRPr="007B37DF">
        <w:rPr>
          <w:rFonts w:ascii="Times New Roman" w:hAnsi="Times New Roman"/>
          <w:szCs w:val="24"/>
        </w:rPr>
        <w:t>1.</w:t>
      </w:r>
      <w:r w:rsidRPr="007B37DF">
        <w:rPr>
          <w:rFonts w:ascii="Times New Roman" w:hAnsi="Times New Roman"/>
          <w:szCs w:val="24"/>
        </w:rPr>
        <w:tab/>
        <w:t>Find that the present status of the Disposition Area tends to impair or arrest the sound growth and development of the municipality and that the proposed Urban Development Action Area Project is consistent with the policy and purposes of Section 691 of the General Municipal Law;</w:t>
      </w:r>
    </w:p>
    <w:p w:rsidR="007B37DF" w:rsidRPr="007B37DF"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p>
    <w:p w:rsidR="007B37DF" w:rsidRPr="007B37DF"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r w:rsidRPr="007B37DF">
        <w:rPr>
          <w:rFonts w:ascii="Times New Roman" w:hAnsi="Times New Roman"/>
          <w:szCs w:val="24"/>
        </w:rPr>
        <w:t>2.</w:t>
      </w:r>
      <w:r w:rsidRPr="007B37DF">
        <w:rPr>
          <w:rFonts w:ascii="Times New Roman" w:hAnsi="Times New Roman"/>
          <w:szCs w:val="24"/>
        </w:rPr>
        <w:tab/>
        <w:t>Waive the area designation requirement of Section 693 of the General Municipal Law pursuant to Section 693 of the General Municipal Law;</w:t>
      </w:r>
    </w:p>
    <w:p w:rsidR="007B37DF" w:rsidRPr="007B37DF"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p>
    <w:p w:rsidR="007B37DF" w:rsidRPr="007B37DF"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r w:rsidRPr="007B37DF">
        <w:rPr>
          <w:rFonts w:ascii="Times New Roman" w:hAnsi="Times New Roman"/>
          <w:szCs w:val="24"/>
        </w:rPr>
        <w:t>3.</w:t>
      </w:r>
      <w:r w:rsidRPr="007B37DF">
        <w:rPr>
          <w:rFonts w:ascii="Times New Roman" w:hAnsi="Times New Roman"/>
          <w:szCs w:val="24"/>
        </w:rPr>
        <w:tab/>
        <w:t xml:space="preserve">Waive the requirements of Sections 197-c and 197-d of the Charter pursuant to Section 694 of the General Municipal Law; </w:t>
      </w:r>
    </w:p>
    <w:p w:rsidR="007B37DF" w:rsidRPr="007B37DF"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p>
    <w:p w:rsidR="007B37DF" w:rsidRPr="007B37DF"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r w:rsidRPr="007B37DF">
        <w:rPr>
          <w:rFonts w:ascii="Times New Roman" w:hAnsi="Times New Roman"/>
          <w:szCs w:val="24"/>
        </w:rPr>
        <w:t>4.</w:t>
      </w:r>
      <w:r w:rsidRPr="007B37DF">
        <w:rPr>
          <w:rFonts w:ascii="Times New Roman" w:hAnsi="Times New Roman"/>
          <w:szCs w:val="24"/>
        </w:rPr>
        <w:tab/>
        <w:t>Approve the project as an Urban Development Action Area Project pursuant to Section 694 of the General Municipal Law; and</w:t>
      </w:r>
    </w:p>
    <w:p w:rsidR="007B37DF" w:rsidRPr="007B37DF"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p>
    <w:p w:rsidR="007F2E3D" w:rsidRPr="007B37DF" w:rsidRDefault="007F2E3D" w:rsidP="007B37DF">
      <w:pPr>
        <w:tabs>
          <w:tab w:val="left" w:pos="-1440"/>
        </w:tabs>
        <w:ind w:left="720" w:hanging="720"/>
        <w:jc w:val="both"/>
        <w:rPr>
          <w:rFonts w:ascii="Times New Roman" w:hAnsi="Times New Roman"/>
          <w:szCs w:val="24"/>
        </w:rPr>
      </w:pPr>
      <w:r w:rsidRPr="007B37DF">
        <w:rPr>
          <w:rFonts w:ascii="Times New Roman" w:hAnsi="Times New Roman"/>
          <w:szCs w:val="24"/>
        </w:rPr>
        <w:t>5.</w:t>
      </w:r>
      <w:r w:rsidRPr="007B37DF">
        <w:rPr>
          <w:rFonts w:ascii="Times New Roman" w:hAnsi="Times New Roman"/>
          <w:szCs w:val="24"/>
        </w:rPr>
        <w:tab/>
        <w:t xml:space="preserve">Approve </w:t>
      </w:r>
      <w:r w:rsidR="002F74B5">
        <w:rPr>
          <w:rFonts w:ascii="Times New Roman" w:hAnsi="Times New Roman"/>
          <w:szCs w:val="24"/>
        </w:rPr>
        <w:t>an</w:t>
      </w:r>
      <w:r w:rsidRPr="007B37DF">
        <w:rPr>
          <w:rFonts w:ascii="Times New Roman" w:hAnsi="Times New Roman"/>
          <w:szCs w:val="24"/>
        </w:rPr>
        <w:t xml:space="preserve"> exemption of the </w:t>
      </w:r>
      <w:r w:rsidR="002F74B5">
        <w:rPr>
          <w:rFonts w:ascii="Times New Roman" w:hAnsi="Times New Roman"/>
          <w:szCs w:val="24"/>
        </w:rPr>
        <w:t>Exemption Area</w:t>
      </w:r>
      <w:r w:rsidRPr="007B37DF">
        <w:rPr>
          <w:rFonts w:ascii="Times New Roman" w:hAnsi="Times New Roman"/>
          <w:szCs w:val="24"/>
        </w:rPr>
        <w:t xml:space="preserve"> from real property taxes pursuant to Section </w:t>
      </w:r>
      <w:r w:rsidR="007259B6" w:rsidRPr="007B37DF">
        <w:rPr>
          <w:rFonts w:ascii="Times New Roman" w:hAnsi="Times New Roman"/>
          <w:szCs w:val="24"/>
        </w:rPr>
        <w:t>577 of Article XI of the Private Housing</w:t>
      </w:r>
      <w:r w:rsidR="00FE3231" w:rsidRPr="007B37DF">
        <w:rPr>
          <w:rFonts w:ascii="Times New Roman" w:hAnsi="Times New Roman"/>
          <w:szCs w:val="24"/>
        </w:rPr>
        <w:t xml:space="preserve"> Finance Law</w:t>
      </w:r>
      <w:r w:rsidRPr="007B37DF">
        <w:rPr>
          <w:rFonts w:ascii="Times New Roman" w:hAnsi="Times New Roman"/>
          <w:szCs w:val="24"/>
        </w:rPr>
        <w:t>.</w:t>
      </w:r>
    </w:p>
    <w:p w:rsidR="00BF593F" w:rsidRPr="008B4CB7" w:rsidRDefault="00BF593F" w:rsidP="00DE39C1">
      <w:pPr>
        <w:tabs>
          <w:tab w:val="left" w:pos="-1440"/>
        </w:tabs>
        <w:jc w:val="both"/>
        <w:rPr>
          <w:rFonts w:ascii="Times New Roman" w:hAnsi="Times New Roman"/>
          <w:szCs w:val="24"/>
        </w:rPr>
      </w:pPr>
    </w:p>
    <w:p w:rsidR="003F6890" w:rsidRPr="008B4CB7" w:rsidRDefault="003F6890" w:rsidP="00DE39C1">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WHEREAS, the Project is to be developed on land that is</w:t>
      </w:r>
      <w:r w:rsidR="00C32BBC" w:rsidRPr="008B4CB7">
        <w:rPr>
          <w:rFonts w:ascii="Times New Roman" w:hAnsi="Times New Roman"/>
          <w:szCs w:val="24"/>
        </w:rPr>
        <w:t xml:space="preserve"> an eligible</w:t>
      </w:r>
      <w:r w:rsidRPr="008B4CB7">
        <w:rPr>
          <w:rFonts w:ascii="Times New Roman" w:hAnsi="Times New Roman"/>
          <w:szCs w:val="24"/>
        </w:rPr>
        <w:t xml:space="preserve"> area as defined in Section 692 of the General Municipal Law, consists solely of the rehabilitation or conservation of existing private or multiple dwellings or the construction of one to four unit dwellings, and does not require any change in land use permitted under the New York City Zoning Resolution;</w:t>
      </w:r>
    </w:p>
    <w:p w:rsidR="0039555C" w:rsidRPr="008B4CB7" w:rsidRDefault="0039555C" w:rsidP="00DE39C1">
      <w:pPr>
        <w:jc w:val="both"/>
        <w:rPr>
          <w:rFonts w:ascii="Times New Roman" w:hAnsi="Times New Roman"/>
          <w:szCs w:val="24"/>
        </w:rPr>
      </w:pPr>
    </w:p>
    <w:p w:rsidR="003F6890" w:rsidRPr="008B4CB7" w:rsidRDefault="003F6890" w:rsidP="00DE39C1">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 xml:space="preserve">WHEREAS, upon due notice, the Council held a public hearing on the Project on </w:t>
      </w:r>
      <w:r w:rsidR="002164AB">
        <w:rPr>
          <w:rFonts w:ascii="Times New Roman" w:hAnsi="Times New Roman"/>
          <w:szCs w:val="24"/>
        </w:rPr>
        <w:t>May 27</w:t>
      </w:r>
      <w:r w:rsidR="00A838DE">
        <w:rPr>
          <w:rFonts w:ascii="Times New Roman" w:hAnsi="Times New Roman"/>
          <w:szCs w:val="24"/>
        </w:rPr>
        <w:t>, 2020</w:t>
      </w:r>
      <w:r w:rsidRPr="008B4CB7">
        <w:rPr>
          <w:rFonts w:ascii="Times New Roman" w:hAnsi="Times New Roman"/>
          <w:szCs w:val="24"/>
        </w:rPr>
        <w:t>;</w:t>
      </w:r>
      <w:r w:rsidR="003E256D">
        <w:rPr>
          <w:rFonts w:ascii="Times New Roman" w:hAnsi="Times New Roman"/>
          <w:szCs w:val="24"/>
        </w:rPr>
        <w:t xml:space="preserve"> and</w:t>
      </w:r>
    </w:p>
    <w:p w:rsidR="007C1E59" w:rsidRPr="008B4CB7" w:rsidRDefault="003F6890" w:rsidP="00DE39C1">
      <w:pPr>
        <w:jc w:val="both"/>
        <w:rPr>
          <w:rFonts w:ascii="Times New Roman" w:hAnsi="Times New Roman"/>
          <w:szCs w:val="24"/>
        </w:rPr>
      </w:pPr>
      <w:r w:rsidRPr="008B4CB7">
        <w:rPr>
          <w:rFonts w:ascii="Times New Roman" w:hAnsi="Times New Roman"/>
          <w:szCs w:val="24"/>
        </w:rPr>
        <w:lastRenderedPageBreak/>
        <w:t xml:space="preserve"> </w:t>
      </w:r>
      <w:r w:rsidRPr="008B4CB7">
        <w:rPr>
          <w:rFonts w:ascii="Times New Roman" w:hAnsi="Times New Roman"/>
          <w:szCs w:val="24"/>
        </w:rPr>
        <w:tab/>
      </w:r>
    </w:p>
    <w:p w:rsidR="003F6890" w:rsidRPr="008B4CB7" w:rsidRDefault="003F6890" w:rsidP="007C1E59">
      <w:pPr>
        <w:ind w:firstLine="720"/>
        <w:jc w:val="both"/>
        <w:rPr>
          <w:rFonts w:ascii="Times New Roman" w:hAnsi="Times New Roman"/>
          <w:szCs w:val="24"/>
        </w:rPr>
      </w:pPr>
      <w:r w:rsidRPr="008B4CB7">
        <w:rPr>
          <w:rFonts w:ascii="Times New Roman" w:hAnsi="Times New Roman"/>
          <w:szCs w:val="24"/>
        </w:rPr>
        <w:t>WHEREAS, the Council has considered the land use and financial implications and other policy</w:t>
      </w:r>
      <w:r w:rsidR="003E256D">
        <w:rPr>
          <w:rFonts w:ascii="Times New Roman" w:hAnsi="Times New Roman"/>
          <w:szCs w:val="24"/>
        </w:rPr>
        <w:t xml:space="preserve"> issues relating to the Project.</w:t>
      </w:r>
    </w:p>
    <w:p w:rsidR="002164AB" w:rsidRDefault="002164AB" w:rsidP="00DE39C1">
      <w:pPr>
        <w:jc w:val="both"/>
        <w:rPr>
          <w:rFonts w:ascii="Times New Roman" w:hAnsi="Times New Roman"/>
          <w:szCs w:val="24"/>
        </w:rPr>
      </w:pPr>
    </w:p>
    <w:p w:rsidR="003F6890" w:rsidRPr="008B4CB7" w:rsidRDefault="003F6890" w:rsidP="00DE39C1">
      <w:pPr>
        <w:jc w:val="both"/>
        <w:rPr>
          <w:rFonts w:ascii="Times New Roman" w:hAnsi="Times New Roman"/>
          <w:szCs w:val="24"/>
        </w:rPr>
      </w:pPr>
      <w:r w:rsidRPr="008B4CB7">
        <w:rPr>
          <w:rFonts w:ascii="Times New Roman" w:hAnsi="Times New Roman"/>
          <w:szCs w:val="24"/>
        </w:rPr>
        <w:t>RESOLVED:</w:t>
      </w:r>
    </w:p>
    <w:p w:rsidR="003F6890" w:rsidRPr="008B4CB7" w:rsidRDefault="003F6890" w:rsidP="00DE39C1">
      <w:pPr>
        <w:jc w:val="both"/>
        <w:rPr>
          <w:rFonts w:ascii="Times New Roman" w:hAnsi="Times New Roman"/>
          <w:szCs w:val="24"/>
        </w:rPr>
      </w:pPr>
    </w:p>
    <w:p w:rsidR="003F6890" w:rsidRPr="008B4CB7" w:rsidRDefault="003F6890" w:rsidP="00DE39C1">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 xml:space="preserve">The Council finds that the present status of the </w:t>
      </w:r>
      <w:r w:rsidR="00E94D13" w:rsidRPr="008B4CB7">
        <w:rPr>
          <w:rFonts w:ascii="Times New Roman" w:hAnsi="Times New Roman"/>
          <w:szCs w:val="24"/>
        </w:rPr>
        <w:t>Disposition</w:t>
      </w:r>
      <w:r w:rsidRPr="008B4CB7">
        <w:rPr>
          <w:rFonts w:ascii="Times New Roman" w:hAnsi="Times New Roman"/>
          <w:szCs w:val="24"/>
        </w:rPr>
        <w:t xml:space="preserve"> Area tends to impair or arrest the sound growth and development of the City of New York and that a designation of the Project as an </w:t>
      </w:r>
      <w:r w:rsidR="00D02468" w:rsidRPr="008B4CB7">
        <w:rPr>
          <w:rFonts w:ascii="Times New Roman" w:hAnsi="Times New Roman"/>
          <w:szCs w:val="24"/>
        </w:rPr>
        <w:t>U</w:t>
      </w:r>
      <w:r w:rsidRPr="008B4CB7">
        <w:rPr>
          <w:rFonts w:ascii="Times New Roman" w:hAnsi="Times New Roman"/>
          <w:szCs w:val="24"/>
        </w:rPr>
        <w:t xml:space="preserve">rban </w:t>
      </w:r>
      <w:r w:rsidR="00D02468" w:rsidRPr="008B4CB7">
        <w:rPr>
          <w:rFonts w:ascii="Times New Roman" w:hAnsi="Times New Roman"/>
          <w:szCs w:val="24"/>
        </w:rPr>
        <w:t>D</w:t>
      </w:r>
      <w:r w:rsidRPr="008B4CB7">
        <w:rPr>
          <w:rFonts w:ascii="Times New Roman" w:hAnsi="Times New Roman"/>
          <w:szCs w:val="24"/>
        </w:rPr>
        <w:t xml:space="preserve">evelopment </w:t>
      </w:r>
      <w:r w:rsidR="00D02468" w:rsidRPr="008B4CB7">
        <w:rPr>
          <w:rFonts w:ascii="Times New Roman" w:hAnsi="Times New Roman"/>
          <w:szCs w:val="24"/>
        </w:rPr>
        <w:t>A</w:t>
      </w:r>
      <w:r w:rsidRPr="008B4CB7">
        <w:rPr>
          <w:rFonts w:ascii="Times New Roman" w:hAnsi="Times New Roman"/>
          <w:szCs w:val="24"/>
        </w:rPr>
        <w:t xml:space="preserve">ction </w:t>
      </w:r>
      <w:r w:rsidR="00D02468" w:rsidRPr="008B4CB7">
        <w:rPr>
          <w:rFonts w:ascii="Times New Roman" w:hAnsi="Times New Roman"/>
          <w:szCs w:val="24"/>
        </w:rPr>
        <w:t>A</w:t>
      </w:r>
      <w:r w:rsidRPr="008B4CB7">
        <w:rPr>
          <w:rFonts w:ascii="Times New Roman" w:hAnsi="Times New Roman"/>
          <w:szCs w:val="24"/>
        </w:rPr>
        <w:t xml:space="preserve">rea </w:t>
      </w:r>
      <w:r w:rsidR="00D02468" w:rsidRPr="008B4CB7">
        <w:rPr>
          <w:rFonts w:ascii="Times New Roman" w:hAnsi="Times New Roman"/>
          <w:szCs w:val="24"/>
        </w:rPr>
        <w:t>P</w:t>
      </w:r>
      <w:r w:rsidRPr="008B4CB7">
        <w:rPr>
          <w:rFonts w:ascii="Times New Roman" w:hAnsi="Times New Roman"/>
          <w:szCs w:val="24"/>
        </w:rPr>
        <w:t>roject is consistent with the policy and purposes stated in Section 691 of the General Municipal Law.</w:t>
      </w:r>
    </w:p>
    <w:p w:rsidR="003F6890" w:rsidRPr="008B4CB7" w:rsidRDefault="003F6890" w:rsidP="00DE39C1">
      <w:pPr>
        <w:jc w:val="both"/>
        <w:rPr>
          <w:rFonts w:ascii="Times New Roman" w:hAnsi="Times New Roman"/>
          <w:szCs w:val="24"/>
        </w:rPr>
      </w:pPr>
    </w:p>
    <w:p w:rsidR="003F6890" w:rsidRPr="008B4CB7" w:rsidRDefault="003F6890" w:rsidP="00DE39C1">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The Council waives the area designation requirement pursuant to Section 693 of the General Municipal Law.</w:t>
      </w:r>
    </w:p>
    <w:p w:rsidR="003F6890" w:rsidRPr="008B4CB7" w:rsidRDefault="003F6890" w:rsidP="00DE39C1">
      <w:pPr>
        <w:jc w:val="both"/>
        <w:rPr>
          <w:rFonts w:ascii="Times New Roman" w:hAnsi="Times New Roman"/>
          <w:szCs w:val="24"/>
        </w:rPr>
      </w:pPr>
    </w:p>
    <w:p w:rsidR="003F6890" w:rsidRPr="008B4CB7" w:rsidRDefault="003F6890" w:rsidP="002D43A2">
      <w:pPr>
        <w:tabs>
          <w:tab w:val="left" w:pos="720"/>
        </w:tabs>
        <w:ind w:firstLine="720"/>
        <w:jc w:val="both"/>
        <w:rPr>
          <w:rFonts w:ascii="Times New Roman" w:hAnsi="Times New Roman"/>
          <w:szCs w:val="24"/>
        </w:rPr>
      </w:pPr>
      <w:r w:rsidRPr="008B4CB7">
        <w:rPr>
          <w:rFonts w:ascii="Times New Roman" w:hAnsi="Times New Roman"/>
          <w:szCs w:val="24"/>
        </w:rPr>
        <w:t>The Council waives the requirements of Sections 197</w:t>
      </w:r>
      <w:r w:rsidRPr="008B4CB7">
        <w:rPr>
          <w:rFonts w:ascii="Times New Roman" w:hAnsi="Times New Roman"/>
          <w:szCs w:val="24"/>
        </w:rPr>
        <w:noBreakHyphen/>
        <w:t>c and 197</w:t>
      </w:r>
      <w:r w:rsidRPr="008B4CB7">
        <w:rPr>
          <w:rFonts w:ascii="Times New Roman" w:hAnsi="Times New Roman"/>
          <w:szCs w:val="24"/>
        </w:rPr>
        <w:noBreakHyphen/>
        <w:t>d of the New York City Charter pursuant to Section 694 of the General Municipal Law.</w:t>
      </w:r>
    </w:p>
    <w:p w:rsidR="003F6890" w:rsidRPr="008B4CB7" w:rsidRDefault="003F6890" w:rsidP="00DE39C1">
      <w:pPr>
        <w:jc w:val="both"/>
        <w:rPr>
          <w:rFonts w:ascii="Times New Roman" w:hAnsi="Times New Roman"/>
          <w:szCs w:val="24"/>
        </w:rPr>
      </w:pPr>
    </w:p>
    <w:p w:rsidR="003F6890" w:rsidRPr="008B4CB7" w:rsidRDefault="003F6890" w:rsidP="00DE39C1">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 xml:space="preserve">The Council approves the Project as an </w:t>
      </w:r>
      <w:r w:rsidR="00D02468" w:rsidRPr="008B4CB7">
        <w:rPr>
          <w:rFonts w:ascii="Times New Roman" w:hAnsi="Times New Roman"/>
          <w:szCs w:val="24"/>
        </w:rPr>
        <w:t>U</w:t>
      </w:r>
      <w:r w:rsidRPr="008B4CB7">
        <w:rPr>
          <w:rFonts w:ascii="Times New Roman" w:hAnsi="Times New Roman"/>
          <w:szCs w:val="24"/>
        </w:rPr>
        <w:t xml:space="preserve">rban </w:t>
      </w:r>
      <w:r w:rsidR="00D02468" w:rsidRPr="008B4CB7">
        <w:rPr>
          <w:rFonts w:ascii="Times New Roman" w:hAnsi="Times New Roman"/>
          <w:szCs w:val="24"/>
        </w:rPr>
        <w:t>D</w:t>
      </w:r>
      <w:r w:rsidRPr="008B4CB7">
        <w:rPr>
          <w:rFonts w:ascii="Times New Roman" w:hAnsi="Times New Roman"/>
          <w:szCs w:val="24"/>
        </w:rPr>
        <w:t xml:space="preserve">evelopment </w:t>
      </w:r>
      <w:r w:rsidR="00D02468" w:rsidRPr="008B4CB7">
        <w:rPr>
          <w:rFonts w:ascii="Times New Roman" w:hAnsi="Times New Roman"/>
          <w:szCs w:val="24"/>
        </w:rPr>
        <w:t>A</w:t>
      </w:r>
      <w:r w:rsidRPr="008B4CB7">
        <w:rPr>
          <w:rFonts w:ascii="Times New Roman" w:hAnsi="Times New Roman"/>
          <w:szCs w:val="24"/>
        </w:rPr>
        <w:t xml:space="preserve">ction </w:t>
      </w:r>
      <w:r w:rsidR="00D02468" w:rsidRPr="008B4CB7">
        <w:rPr>
          <w:rFonts w:ascii="Times New Roman" w:hAnsi="Times New Roman"/>
          <w:szCs w:val="24"/>
        </w:rPr>
        <w:t>A</w:t>
      </w:r>
      <w:r w:rsidRPr="008B4CB7">
        <w:rPr>
          <w:rFonts w:ascii="Times New Roman" w:hAnsi="Times New Roman"/>
          <w:szCs w:val="24"/>
        </w:rPr>
        <w:t xml:space="preserve">rea </w:t>
      </w:r>
      <w:r w:rsidR="00D02468" w:rsidRPr="008B4CB7">
        <w:rPr>
          <w:rFonts w:ascii="Times New Roman" w:hAnsi="Times New Roman"/>
          <w:szCs w:val="24"/>
        </w:rPr>
        <w:t>P</w:t>
      </w:r>
      <w:r w:rsidRPr="008B4CB7">
        <w:rPr>
          <w:rFonts w:ascii="Times New Roman" w:hAnsi="Times New Roman"/>
          <w:szCs w:val="24"/>
        </w:rPr>
        <w:t>roject pursuant to Section 6</w:t>
      </w:r>
      <w:r w:rsidR="007C1E59" w:rsidRPr="008B4CB7">
        <w:rPr>
          <w:rFonts w:ascii="Times New Roman" w:hAnsi="Times New Roman"/>
          <w:szCs w:val="24"/>
        </w:rPr>
        <w:t>94 of the General Municipal Law</w:t>
      </w:r>
      <w:r w:rsidR="00E94D13" w:rsidRPr="008B4CB7">
        <w:rPr>
          <w:rFonts w:ascii="Times New Roman" w:hAnsi="Times New Roman"/>
          <w:szCs w:val="24"/>
        </w:rPr>
        <w:t>.</w:t>
      </w:r>
    </w:p>
    <w:p w:rsidR="007C1E59" w:rsidRPr="008B4CB7" w:rsidRDefault="007C1E59" w:rsidP="00DE39C1">
      <w:pPr>
        <w:tabs>
          <w:tab w:val="left" w:pos="-1440"/>
        </w:tabs>
        <w:jc w:val="both"/>
        <w:rPr>
          <w:rFonts w:ascii="Times New Roman" w:hAnsi="Times New Roman"/>
          <w:szCs w:val="24"/>
        </w:rPr>
      </w:pPr>
    </w:p>
    <w:p w:rsidR="003F6890" w:rsidRPr="008B4CB7" w:rsidRDefault="003F6890" w:rsidP="00DE39C1">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The Project shall be developed in a manner consistent with the Project Summary that HPD has submitted to the Council</w:t>
      </w:r>
      <w:r w:rsidR="00B478DF" w:rsidRPr="008B4CB7">
        <w:rPr>
          <w:rFonts w:ascii="Times New Roman" w:hAnsi="Times New Roman"/>
          <w:szCs w:val="24"/>
        </w:rPr>
        <w:t xml:space="preserve"> on </w:t>
      </w:r>
      <w:r w:rsidR="00EC2AD2">
        <w:rPr>
          <w:rFonts w:ascii="Times New Roman" w:hAnsi="Times New Roman"/>
          <w:szCs w:val="24"/>
        </w:rPr>
        <w:t>May 19</w:t>
      </w:r>
      <w:r w:rsidR="00056483">
        <w:rPr>
          <w:rFonts w:ascii="Times New Roman" w:hAnsi="Times New Roman"/>
          <w:szCs w:val="24"/>
        </w:rPr>
        <w:t>, 20</w:t>
      </w:r>
      <w:r w:rsidR="00A838DE">
        <w:rPr>
          <w:rFonts w:ascii="Times New Roman" w:hAnsi="Times New Roman"/>
          <w:szCs w:val="24"/>
        </w:rPr>
        <w:t>20</w:t>
      </w:r>
      <w:r w:rsidRPr="008B4CB7">
        <w:rPr>
          <w:rFonts w:ascii="Times New Roman" w:hAnsi="Times New Roman"/>
          <w:szCs w:val="24"/>
        </w:rPr>
        <w:t>, a copy of which is attached hereto.</w:t>
      </w:r>
    </w:p>
    <w:p w:rsidR="00DE39C1" w:rsidRPr="008B4CB7" w:rsidRDefault="00DE39C1" w:rsidP="00DE39C1">
      <w:pPr>
        <w:tabs>
          <w:tab w:val="left" w:pos="-1440"/>
        </w:tabs>
        <w:jc w:val="both"/>
        <w:rPr>
          <w:rFonts w:ascii="Times New Roman" w:hAnsi="Times New Roman"/>
          <w:szCs w:val="24"/>
        </w:rPr>
      </w:pPr>
    </w:p>
    <w:p w:rsidR="00DE39C1" w:rsidRPr="008B4CB7" w:rsidRDefault="00C8019F" w:rsidP="00C8019F">
      <w:pPr>
        <w:tabs>
          <w:tab w:val="left" w:pos="540"/>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jc w:val="both"/>
        <w:rPr>
          <w:rFonts w:ascii="Times New Roman" w:hAnsi="Times New Roman"/>
          <w:szCs w:val="24"/>
        </w:rPr>
      </w:pPr>
      <w:r w:rsidRPr="008B4CB7">
        <w:rPr>
          <w:rFonts w:ascii="Times New Roman" w:hAnsi="Times New Roman"/>
          <w:szCs w:val="24"/>
        </w:rPr>
        <w:tab/>
      </w:r>
      <w:r w:rsidRPr="008B4CB7">
        <w:rPr>
          <w:rFonts w:ascii="Times New Roman" w:hAnsi="Times New Roman"/>
          <w:szCs w:val="24"/>
        </w:rPr>
        <w:tab/>
        <w:t xml:space="preserve">Pursuant to Section </w:t>
      </w:r>
      <w:r w:rsidR="00B67256" w:rsidRPr="008B4CB7">
        <w:rPr>
          <w:rFonts w:ascii="Times New Roman" w:hAnsi="Times New Roman"/>
          <w:szCs w:val="24"/>
        </w:rPr>
        <w:t>577</w:t>
      </w:r>
      <w:r w:rsidRPr="008B4CB7">
        <w:rPr>
          <w:rFonts w:ascii="Times New Roman" w:hAnsi="Times New Roman"/>
          <w:szCs w:val="24"/>
        </w:rPr>
        <w:t xml:space="preserve"> of </w:t>
      </w:r>
      <w:r w:rsidR="00B67256" w:rsidRPr="008B4CB7">
        <w:rPr>
          <w:rFonts w:ascii="Times New Roman" w:hAnsi="Times New Roman"/>
          <w:szCs w:val="24"/>
        </w:rPr>
        <w:t>Article XI of the Private Housing Finance Law</w:t>
      </w:r>
      <w:r w:rsidRPr="008B4CB7">
        <w:rPr>
          <w:rFonts w:ascii="Times New Roman" w:hAnsi="Times New Roman"/>
          <w:szCs w:val="24"/>
        </w:rPr>
        <w:t>, the Council a</w:t>
      </w:r>
      <w:r w:rsidR="00DE39C1" w:rsidRPr="008B4CB7">
        <w:rPr>
          <w:rFonts w:ascii="Times New Roman" w:hAnsi="Times New Roman"/>
          <w:szCs w:val="24"/>
        </w:rPr>
        <w:t>pprove</w:t>
      </w:r>
      <w:r w:rsidRPr="008B4CB7">
        <w:rPr>
          <w:rFonts w:ascii="Times New Roman" w:hAnsi="Times New Roman"/>
          <w:szCs w:val="24"/>
        </w:rPr>
        <w:t>s</w:t>
      </w:r>
      <w:r w:rsidR="00DE39C1" w:rsidRPr="008B4CB7">
        <w:rPr>
          <w:rFonts w:ascii="Times New Roman" w:hAnsi="Times New Roman"/>
          <w:szCs w:val="24"/>
        </w:rPr>
        <w:t xml:space="preserve"> </w:t>
      </w:r>
      <w:r w:rsidRPr="008B4CB7">
        <w:rPr>
          <w:rFonts w:ascii="Times New Roman" w:hAnsi="Times New Roman"/>
          <w:szCs w:val="24"/>
        </w:rPr>
        <w:t>an</w:t>
      </w:r>
      <w:r w:rsidR="00DE39C1" w:rsidRPr="008B4CB7">
        <w:rPr>
          <w:rFonts w:ascii="Times New Roman" w:hAnsi="Times New Roman"/>
          <w:szCs w:val="24"/>
        </w:rPr>
        <w:t xml:space="preserve"> exemption of the </w:t>
      </w:r>
      <w:r w:rsidR="002F74B5">
        <w:rPr>
          <w:rFonts w:ascii="Times New Roman" w:hAnsi="Times New Roman"/>
          <w:szCs w:val="24"/>
        </w:rPr>
        <w:t>Exemption</w:t>
      </w:r>
      <w:r w:rsidRPr="008B4CB7">
        <w:rPr>
          <w:rFonts w:ascii="Times New Roman" w:hAnsi="Times New Roman"/>
          <w:szCs w:val="24"/>
        </w:rPr>
        <w:t xml:space="preserve"> Area </w:t>
      </w:r>
      <w:r w:rsidR="00DE39C1" w:rsidRPr="008B4CB7">
        <w:rPr>
          <w:rFonts w:ascii="Times New Roman" w:hAnsi="Times New Roman"/>
          <w:szCs w:val="24"/>
        </w:rPr>
        <w:t>from real property taxes</w:t>
      </w:r>
      <w:r w:rsidRPr="008B4CB7">
        <w:rPr>
          <w:rFonts w:ascii="Times New Roman" w:hAnsi="Times New Roman"/>
          <w:szCs w:val="24"/>
        </w:rPr>
        <w:t xml:space="preserve"> </w:t>
      </w:r>
      <w:r w:rsidR="00DE39C1" w:rsidRPr="008B4CB7">
        <w:rPr>
          <w:rFonts w:ascii="Times New Roman" w:hAnsi="Times New Roman"/>
          <w:szCs w:val="24"/>
        </w:rPr>
        <w:t>as follows:</w:t>
      </w:r>
    </w:p>
    <w:p w:rsidR="00140885" w:rsidRPr="00B74CD9" w:rsidRDefault="00140885" w:rsidP="00B74CD9">
      <w:pPr>
        <w:widowControl/>
        <w:tabs>
          <w:tab w:val="left" w:pos="720"/>
        </w:tabs>
        <w:suppressAutoHyphens/>
        <w:overflowPunct w:val="0"/>
        <w:autoSpaceDE w:val="0"/>
        <w:autoSpaceDN w:val="0"/>
        <w:adjustRightInd w:val="0"/>
        <w:ind w:left="720" w:hanging="720"/>
        <w:jc w:val="both"/>
        <w:textAlignment w:val="baseline"/>
        <w:rPr>
          <w:rFonts w:ascii="Times New Roman" w:hAnsi="Times New Roman"/>
          <w:snapToGrid/>
          <w:szCs w:val="24"/>
        </w:rPr>
      </w:pPr>
    </w:p>
    <w:p w:rsidR="002164AB" w:rsidRPr="00B74CD9" w:rsidRDefault="002164AB" w:rsidP="00B74CD9">
      <w:pPr>
        <w:tabs>
          <w:tab w:val="left" w:pos="720"/>
        </w:tabs>
        <w:ind w:left="720" w:hanging="720"/>
        <w:jc w:val="both"/>
        <w:rPr>
          <w:rFonts w:ascii="Times New Roman" w:hAnsi="Times New Roman"/>
          <w:szCs w:val="24"/>
        </w:rPr>
      </w:pPr>
      <w:r w:rsidRPr="00B74CD9">
        <w:rPr>
          <w:rFonts w:ascii="Times New Roman" w:hAnsi="Times New Roman"/>
          <w:szCs w:val="24"/>
        </w:rPr>
        <w:t>a.</w:t>
      </w:r>
      <w:r w:rsidRPr="00B74CD9">
        <w:rPr>
          <w:rFonts w:ascii="Times New Roman" w:hAnsi="Times New Roman"/>
          <w:szCs w:val="24"/>
        </w:rPr>
        <w:tab/>
        <w:t>All of the value of the property in the Disposition Area, including both the land and any improvements (excluding those portions, if any, devoted to business, commercial or community facility use), shall be exempt from real property taxation, other than assessments for local improvements, for a period commencing upon the later of (i) the date of conveyance of the Disposition Area to the Sponsor, or (ii) the date that HPD and the Sponsor enter into a regulatory agreement governing the operation of the Disposition Area (“Effective Date”) and terminating upon the earlier to occur of (i) a date which is forty (40) years from the Effective Date, (ii) the date of the expiration or termination of the regulatory agreement between HPD and the Sponsor, or (iii) the date upon which the Disposition Area ceases to be owned by either a housing development fund company or an entity wholly controlled by a housing development fund company (“Expiration Date”).</w:t>
      </w:r>
    </w:p>
    <w:p w:rsidR="002164AB" w:rsidRPr="00B74CD9" w:rsidRDefault="002164AB" w:rsidP="00B74CD9">
      <w:pPr>
        <w:tabs>
          <w:tab w:val="left" w:pos="720"/>
        </w:tabs>
        <w:ind w:left="720" w:hanging="720"/>
        <w:jc w:val="both"/>
        <w:rPr>
          <w:rFonts w:ascii="Times New Roman" w:hAnsi="Times New Roman"/>
          <w:szCs w:val="24"/>
        </w:rPr>
      </w:pPr>
      <w:r w:rsidRPr="00B74CD9">
        <w:rPr>
          <w:rFonts w:ascii="Times New Roman" w:hAnsi="Times New Roman"/>
          <w:szCs w:val="24"/>
        </w:rPr>
        <w:t>b.</w:t>
      </w:r>
      <w:r w:rsidRPr="00B74CD9">
        <w:rPr>
          <w:rFonts w:ascii="Times New Roman" w:hAnsi="Times New Roman"/>
          <w:szCs w:val="24"/>
        </w:rPr>
        <w:tab/>
        <w:t xml:space="preserve">Notwithstanding any provision hereof to the contrary, the exemption from real property taxation provided hereunder ("Exemption") shall terminate if HPD determines at any time </w:t>
      </w:r>
      <w:r w:rsidRPr="00B74CD9">
        <w:rPr>
          <w:rFonts w:ascii="Times New Roman" w:hAnsi="Times New Roman"/>
          <w:szCs w:val="24"/>
        </w:rPr>
        <w:lastRenderedPageBreak/>
        <w:t>that (i) the Disposition Area is not being operated in accordance with the requirements of Article XI of the Private Housing Finance Law, (ii) the Disposition Area is not being operated in accordance with the requirements of the regulatory agreement between HPD and the Sponsor, (iii) the Disposition Area is not being operated in accordance with the requirements of any other agreement with, or for the benefit of, the City of New York, or (iv) the demolition of any private or multiple dwelling on the Disposition Area has commenced without the prior written consent of HPD.  HPD shall deliver written notice of any such determination to the owner of the Disposition Area and all mortgagees of record, which notice shall provide for an opportunity to cure of not less than sixty (60) days.  If the noncompliance specified in such notice is not cured within the time period specified herein, the Exemption shall prospectively terminate.</w:t>
      </w:r>
    </w:p>
    <w:p w:rsidR="00B74CD9" w:rsidRPr="00B74CD9" w:rsidRDefault="00B74CD9" w:rsidP="00B74CD9">
      <w:pPr>
        <w:tabs>
          <w:tab w:val="left" w:pos="720"/>
        </w:tabs>
        <w:ind w:left="720" w:hanging="720"/>
        <w:jc w:val="both"/>
        <w:rPr>
          <w:rFonts w:ascii="Times New Roman" w:hAnsi="Times New Roman"/>
          <w:szCs w:val="24"/>
        </w:rPr>
      </w:pPr>
    </w:p>
    <w:p w:rsidR="002164AB" w:rsidRPr="00B74CD9" w:rsidRDefault="002164AB" w:rsidP="00B74CD9">
      <w:pPr>
        <w:tabs>
          <w:tab w:val="left" w:pos="720"/>
        </w:tabs>
        <w:ind w:left="720" w:hanging="720"/>
        <w:jc w:val="both"/>
        <w:rPr>
          <w:rFonts w:ascii="Times New Roman" w:hAnsi="Times New Roman"/>
          <w:szCs w:val="24"/>
        </w:rPr>
      </w:pPr>
      <w:r w:rsidRPr="00B74CD9">
        <w:rPr>
          <w:rFonts w:ascii="Times New Roman" w:hAnsi="Times New Roman"/>
          <w:szCs w:val="24"/>
        </w:rPr>
        <w:t>c.</w:t>
      </w:r>
      <w:r w:rsidRPr="00B74CD9">
        <w:rPr>
          <w:rFonts w:ascii="Times New Roman" w:hAnsi="Times New Roman"/>
          <w:szCs w:val="24"/>
        </w:rPr>
        <w:tab/>
        <w:t xml:space="preserve">In consideration of the Exemption, the Sponsor and any future owner of the Disposition Area, for so long as the Exemption shall remain in effect, shall waive the benefits, if any, of any additional or concurrent exemption from or abatement of real property taxation which may be authorized under any existing or future local, state or federal law, rule or regulation. </w:t>
      </w:r>
      <w:bookmarkStart w:id="1" w:name="_Hlk30586561"/>
      <w:r w:rsidRPr="00B74CD9">
        <w:rPr>
          <w:rFonts w:ascii="Times New Roman" w:hAnsi="Times New Roman"/>
          <w:szCs w:val="24"/>
        </w:rPr>
        <w:t>Notwithstanding the foregoing, nothing herein shall prohibit the granting of any real property tax abatement pursuant to Sections 467-b or 467-c of the Real Property Tax Law to real property occupied by senior citizens or persons with disabilities.</w:t>
      </w:r>
      <w:bookmarkEnd w:id="1"/>
    </w:p>
    <w:p w:rsidR="00767C7A" w:rsidRPr="00B74CD9" w:rsidRDefault="00767C7A" w:rsidP="00B74CD9">
      <w:pPr>
        <w:tabs>
          <w:tab w:val="left" w:pos="720"/>
        </w:tabs>
        <w:ind w:left="720" w:hanging="720"/>
        <w:jc w:val="both"/>
        <w:rPr>
          <w:rFonts w:ascii="Times New Roman" w:hAnsi="Times New Roman"/>
          <w:szCs w:val="24"/>
        </w:rPr>
      </w:pPr>
    </w:p>
    <w:p w:rsidR="00E97380" w:rsidRDefault="00E97380" w:rsidP="00EA3B9D">
      <w:pPr>
        <w:widowControl/>
        <w:tabs>
          <w:tab w:val="center" w:pos="4812"/>
        </w:tabs>
        <w:suppressAutoHyphens/>
        <w:overflowPunct w:val="0"/>
        <w:autoSpaceDE w:val="0"/>
        <w:autoSpaceDN w:val="0"/>
        <w:adjustRightInd w:val="0"/>
        <w:jc w:val="center"/>
        <w:textAlignment w:val="baseline"/>
        <w:rPr>
          <w:rFonts w:ascii="Times New Roman" w:hAnsi="Times New Roman"/>
          <w:b/>
          <w:szCs w:val="24"/>
        </w:rPr>
      </w:pPr>
    </w:p>
    <w:p w:rsidR="000E7933" w:rsidRDefault="000E7933" w:rsidP="00EA3B9D">
      <w:pPr>
        <w:widowControl/>
        <w:tabs>
          <w:tab w:val="center" w:pos="4812"/>
        </w:tabs>
        <w:suppressAutoHyphens/>
        <w:overflowPunct w:val="0"/>
        <w:autoSpaceDE w:val="0"/>
        <w:autoSpaceDN w:val="0"/>
        <w:adjustRightInd w:val="0"/>
        <w:jc w:val="center"/>
        <w:textAlignment w:val="baseline"/>
        <w:rPr>
          <w:rFonts w:ascii="Times New Roman" w:hAnsi="Times New Roman"/>
          <w:b/>
          <w:szCs w:val="24"/>
        </w:rPr>
      </w:pPr>
    </w:p>
    <w:p w:rsidR="00EA3B9D" w:rsidRPr="00EA3B9D" w:rsidRDefault="00EA3B9D" w:rsidP="00EA3B9D">
      <w:pPr>
        <w:widowControl/>
        <w:tabs>
          <w:tab w:val="center" w:pos="4812"/>
        </w:tabs>
        <w:suppressAutoHyphens/>
        <w:overflowPunct w:val="0"/>
        <w:autoSpaceDE w:val="0"/>
        <w:autoSpaceDN w:val="0"/>
        <w:adjustRightInd w:val="0"/>
        <w:jc w:val="center"/>
        <w:textAlignment w:val="baseline"/>
        <w:rPr>
          <w:rFonts w:ascii="Arial" w:hAnsi="Arial" w:cs="Arial"/>
          <w:snapToGrid/>
          <w:sz w:val="19"/>
          <w:szCs w:val="19"/>
        </w:rPr>
      </w:pPr>
      <w:r w:rsidRPr="00EA3B9D">
        <w:rPr>
          <w:rFonts w:ascii="Arial" w:hAnsi="Arial" w:cs="Arial"/>
          <w:b/>
          <w:snapToGrid/>
          <w:sz w:val="19"/>
          <w:szCs w:val="19"/>
          <w:u w:val="single"/>
        </w:rPr>
        <w:t>PROJECT SUMMARY</w:t>
      </w:r>
    </w:p>
    <w:p w:rsidR="00EA3B9D" w:rsidRPr="00EA3B9D" w:rsidRDefault="00EA3B9D" w:rsidP="00EA3B9D">
      <w:pPr>
        <w:widowControl/>
        <w:tabs>
          <w:tab w:val="left" w:pos="720"/>
          <w:tab w:val="left" w:pos="2880"/>
          <w:tab w:val="left" w:pos="4320"/>
          <w:tab w:val="left" w:pos="5040"/>
          <w:tab w:val="left" w:pos="8640"/>
        </w:tabs>
        <w:suppressAutoHyphens/>
        <w:overflowPunct w:val="0"/>
        <w:autoSpaceDE w:val="0"/>
        <w:autoSpaceDN w:val="0"/>
        <w:adjustRightInd w:val="0"/>
        <w:textAlignment w:val="baseline"/>
        <w:rPr>
          <w:rFonts w:ascii="Arial" w:hAnsi="Arial" w:cs="Arial"/>
          <w:snapToGrid/>
          <w:sz w:val="19"/>
          <w:szCs w:val="19"/>
        </w:rPr>
      </w:pPr>
    </w:p>
    <w:p w:rsidR="00EA3B9D" w:rsidRPr="00EA3B9D" w:rsidRDefault="00EA3B9D" w:rsidP="00EA3B9D">
      <w:pPr>
        <w:widowControl/>
        <w:tabs>
          <w:tab w:val="left" w:pos="720"/>
          <w:tab w:val="left" w:pos="2880"/>
          <w:tab w:val="left" w:pos="4320"/>
          <w:tab w:val="left" w:pos="5040"/>
          <w:tab w:val="left" w:pos="8640"/>
        </w:tabs>
        <w:suppressAutoHyphens/>
        <w:overflowPunct w:val="0"/>
        <w:autoSpaceDE w:val="0"/>
        <w:autoSpaceDN w:val="0"/>
        <w:adjustRightInd w:val="0"/>
        <w:textAlignment w:val="baseline"/>
        <w:rPr>
          <w:rFonts w:ascii="Arial" w:hAnsi="Arial" w:cs="Arial"/>
          <w:snapToGrid/>
          <w:sz w:val="19"/>
          <w:szCs w:val="19"/>
        </w:rPr>
      </w:pP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19"/>
          <w:szCs w:val="19"/>
        </w:rPr>
      </w:pPr>
      <w:r w:rsidRPr="00B74CD9">
        <w:rPr>
          <w:rFonts w:ascii="Arial" w:hAnsi="Arial"/>
          <w:b/>
          <w:sz w:val="19"/>
          <w:szCs w:val="19"/>
        </w:rPr>
        <w:t>1.</w:t>
      </w:r>
      <w:r w:rsidRPr="00B74CD9">
        <w:rPr>
          <w:rFonts w:ascii="Arial" w:hAnsi="Arial"/>
          <w:b/>
          <w:sz w:val="19"/>
          <w:szCs w:val="19"/>
        </w:rPr>
        <w:tab/>
        <w:t>PROGRAM:</w:t>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t>AFFORDABLE NEIGHBORHOOD COOPERATIVE PROGRAM</w:t>
      </w: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19"/>
          <w:szCs w:val="19"/>
        </w:rPr>
      </w:pP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19"/>
          <w:szCs w:val="19"/>
        </w:rPr>
      </w:pPr>
      <w:r w:rsidRPr="00B74CD9">
        <w:rPr>
          <w:rFonts w:ascii="Arial" w:hAnsi="Arial"/>
          <w:b/>
          <w:sz w:val="19"/>
          <w:szCs w:val="19"/>
        </w:rPr>
        <w:t>2.</w:t>
      </w:r>
      <w:r w:rsidRPr="00B74CD9">
        <w:rPr>
          <w:rFonts w:ascii="Arial" w:hAnsi="Arial"/>
          <w:b/>
          <w:sz w:val="19"/>
          <w:szCs w:val="19"/>
        </w:rPr>
        <w:tab/>
        <w:t>PROJECT:</w:t>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t>2274 Adam Clayton Powell Jr. Blvd. Cluster</w:t>
      </w: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19"/>
          <w:szCs w:val="19"/>
        </w:rPr>
      </w:pP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 w:hanging="480"/>
        <w:rPr>
          <w:rFonts w:ascii="Arial" w:hAnsi="Arial"/>
          <w:sz w:val="19"/>
          <w:szCs w:val="19"/>
        </w:rPr>
      </w:pPr>
      <w:r w:rsidRPr="00B74CD9">
        <w:rPr>
          <w:rFonts w:ascii="Arial" w:hAnsi="Arial"/>
          <w:b/>
          <w:sz w:val="19"/>
          <w:szCs w:val="19"/>
        </w:rPr>
        <w:t>3.</w:t>
      </w:r>
      <w:r w:rsidRPr="00B74CD9">
        <w:rPr>
          <w:rFonts w:ascii="Arial" w:hAnsi="Arial"/>
          <w:b/>
          <w:sz w:val="19"/>
          <w:szCs w:val="19"/>
        </w:rPr>
        <w:tab/>
        <w:t>LOCATION:</w:t>
      </w: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19"/>
          <w:szCs w:val="19"/>
        </w:rPr>
      </w:pP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19"/>
          <w:szCs w:val="19"/>
        </w:rPr>
      </w:pPr>
      <w:r w:rsidRPr="00B74CD9">
        <w:rPr>
          <w:rFonts w:ascii="Arial" w:hAnsi="Arial"/>
          <w:b/>
          <w:sz w:val="19"/>
          <w:szCs w:val="19"/>
        </w:rPr>
        <w:tab/>
        <w:t>a.</w:t>
      </w:r>
      <w:r w:rsidRPr="00B74CD9">
        <w:rPr>
          <w:rFonts w:ascii="Arial" w:hAnsi="Arial"/>
          <w:b/>
          <w:sz w:val="19"/>
          <w:szCs w:val="19"/>
        </w:rPr>
        <w:tab/>
        <w:t>BOROUGH:</w:t>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t>Manhattan</w:t>
      </w: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19"/>
          <w:szCs w:val="19"/>
        </w:rPr>
      </w:pP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19"/>
          <w:szCs w:val="19"/>
        </w:rPr>
      </w:pPr>
      <w:r w:rsidRPr="00B74CD9">
        <w:rPr>
          <w:rFonts w:ascii="Arial" w:hAnsi="Arial"/>
          <w:b/>
          <w:sz w:val="19"/>
          <w:szCs w:val="19"/>
        </w:rPr>
        <w:tab/>
        <w:t>b.</w:t>
      </w:r>
      <w:r w:rsidRPr="00B74CD9">
        <w:rPr>
          <w:rFonts w:ascii="Arial" w:hAnsi="Arial"/>
          <w:b/>
          <w:sz w:val="19"/>
          <w:szCs w:val="19"/>
        </w:rPr>
        <w:tab/>
        <w:t>COMMUNITY DISTRICT:</w:t>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t>10</w:t>
      </w: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19"/>
          <w:szCs w:val="19"/>
        </w:rPr>
      </w:pP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19"/>
          <w:szCs w:val="19"/>
        </w:rPr>
      </w:pPr>
      <w:r w:rsidRPr="00B74CD9">
        <w:rPr>
          <w:rFonts w:ascii="Arial" w:hAnsi="Arial"/>
          <w:b/>
          <w:sz w:val="19"/>
          <w:szCs w:val="19"/>
        </w:rPr>
        <w:tab/>
        <w:t>c.</w:t>
      </w:r>
      <w:r w:rsidRPr="00B74CD9">
        <w:rPr>
          <w:rFonts w:ascii="Arial" w:hAnsi="Arial"/>
          <w:b/>
          <w:sz w:val="19"/>
          <w:szCs w:val="19"/>
        </w:rPr>
        <w:tab/>
        <w:t>COUNCIL DISTRICT:</w:t>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Pr>
          <w:rFonts w:ascii="Arial" w:hAnsi="Arial"/>
          <w:sz w:val="19"/>
          <w:szCs w:val="19"/>
        </w:rPr>
        <w:tab/>
      </w:r>
      <w:r w:rsidRPr="00B74CD9">
        <w:rPr>
          <w:rFonts w:ascii="Arial" w:hAnsi="Arial"/>
          <w:sz w:val="19"/>
          <w:szCs w:val="19"/>
        </w:rPr>
        <w:t>9</w:t>
      </w: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19"/>
          <w:szCs w:val="19"/>
        </w:rPr>
      </w:pP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680" w:hanging="7680"/>
        <w:rPr>
          <w:rFonts w:ascii="Arial" w:hAnsi="Arial"/>
          <w:sz w:val="19"/>
          <w:szCs w:val="19"/>
        </w:rPr>
      </w:pPr>
      <w:r w:rsidRPr="00B74CD9">
        <w:rPr>
          <w:rFonts w:ascii="Arial" w:hAnsi="Arial"/>
          <w:b/>
          <w:sz w:val="19"/>
          <w:szCs w:val="19"/>
        </w:rPr>
        <w:tab/>
        <w:t>d.</w:t>
      </w:r>
      <w:r w:rsidRPr="00B74CD9">
        <w:rPr>
          <w:rFonts w:ascii="Arial" w:hAnsi="Arial"/>
          <w:b/>
          <w:sz w:val="19"/>
          <w:szCs w:val="19"/>
        </w:rPr>
        <w:tab/>
        <w:t>DISPOSITION AREA:</w:t>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Pr>
          <w:rFonts w:ascii="Arial" w:hAnsi="Arial"/>
          <w:sz w:val="19"/>
          <w:szCs w:val="19"/>
        </w:rPr>
        <w:tab/>
      </w:r>
      <w:r w:rsidRPr="00B74CD9">
        <w:rPr>
          <w:rFonts w:ascii="Arial" w:hAnsi="Arial"/>
          <w:sz w:val="19"/>
          <w:szCs w:val="19"/>
          <w:u w:val="single"/>
        </w:rPr>
        <w:t>BLOCK</w:t>
      </w:r>
      <w:r w:rsidRPr="00B74CD9">
        <w:rPr>
          <w:rFonts w:ascii="Arial" w:hAnsi="Arial"/>
          <w:sz w:val="19"/>
          <w:szCs w:val="19"/>
        </w:rPr>
        <w:tab/>
      </w:r>
      <w:r w:rsidRPr="00B74CD9">
        <w:rPr>
          <w:rFonts w:ascii="Arial" w:hAnsi="Arial"/>
          <w:sz w:val="19"/>
          <w:szCs w:val="19"/>
        </w:rPr>
        <w:tab/>
      </w:r>
      <w:r w:rsidRPr="00B74CD9">
        <w:rPr>
          <w:rFonts w:ascii="Arial" w:hAnsi="Arial"/>
          <w:sz w:val="19"/>
          <w:szCs w:val="19"/>
          <w:u w:val="single"/>
        </w:rPr>
        <w:t>LOT</w:t>
      </w:r>
      <w:r w:rsidRPr="00B74CD9">
        <w:rPr>
          <w:rFonts w:ascii="Arial" w:hAnsi="Arial"/>
          <w:sz w:val="19"/>
          <w:szCs w:val="19"/>
        </w:rPr>
        <w:tab/>
      </w:r>
      <w:r w:rsidRPr="00B74CD9">
        <w:rPr>
          <w:rFonts w:ascii="Arial" w:hAnsi="Arial"/>
          <w:sz w:val="19"/>
          <w:szCs w:val="19"/>
        </w:rPr>
        <w:tab/>
      </w:r>
      <w:r w:rsidRPr="00B74CD9">
        <w:rPr>
          <w:rFonts w:ascii="Arial" w:hAnsi="Arial"/>
          <w:sz w:val="19"/>
          <w:szCs w:val="19"/>
          <w:u w:val="single"/>
        </w:rPr>
        <w:t>ADDRESS</w:t>
      </w: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1440" w:hanging="1440"/>
        <w:rPr>
          <w:rFonts w:ascii="Arial" w:hAnsi="Arial"/>
          <w:sz w:val="19"/>
          <w:szCs w:val="19"/>
        </w:rPr>
      </w:pP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t>1729</w:t>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t>45</w:t>
      </w:r>
      <w:r w:rsidRPr="00B74CD9">
        <w:rPr>
          <w:rFonts w:ascii="Arial" w:hAnsi="Arial"/>
          <w:sz w:val="19"/>
          <w:szCs w:val="19"/>
        </w:rPr>
        <w:tab/>
      </w:r>
      <w:r w:rsidRPr="00B74CD9">
        <w:rPr>
          <w:rFonts w:ascii="Arial" w:hAnsi="Arial"/>
          <w:sz w:val="19"/>
          <w:szCs w:val="19"/>
        </w:rPr>
        <w:tab/>
        <w:t>24 West 132 Street</w:t>
      </w: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1440" w:hanging="1440"/>
        <w:rPr>
          <w:rFonts w:ascii="Arial" w:hAnsi="Arial"/>
          <w:sz w:val="19"/>
          <w:szCs w:val="19"/>
        </w:rPr>
      </w:pP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t>1736</w:t>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t>23</w:t>
      </w:r>
      <w:r w:rsidRPr="00B74CD9">
        <w:rPr>
          <w:rFonts w:ascii="Arial" w:hAnsi="Arial"/>
          <w:sz w:val="19"/>
          <w:szCs w:val="19"/>
        </w:rPr>
        <w:tab/>
      </w:r>
      <w:r w:rsidRPr="00B74CD9">
        <w:rPr>
          <w:rFonts w:ascii="Arial" w:hAnsi="Arial"/>
          <w:sz w:val="19"/>
          <w:szCs w:val="19"/>
        </w:rPr>
        <w:tab/>
        <w:t>37 West 138 Street</w:t>
      </w: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1440" w:hanging="1440"/>
        <w:rPr>
          <w:rFonts w:ascii="Arial" w:hAnsi="Arial"/>
          <w:sz w:val="19"/>
          <w:szCs w:val="19"/>
        </w:rPr>
      </w:pP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t>1938</w:t>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t>38</w:t>
      </w:r>
      <w:r w:rsidRPr="00B74CD9">
        <w:rPr>
          <w:rFonts w:ascii="Arial" w:hAnsi="Arial"/>
          <w:sz w:val="19"/>
          <w:szCs w:val="19"/>
        </w:rPr>
        <w:tab/>
      </w:r>
      <w:r w:rsidRPr="00B74CD9">
        <w:rPr>
          <w:rFonts w:ascii="Arial" w:hAnsi="Arial"/>
          <w:sz w:val="19"/>
          <w:szCs w:val="19"/>
        </w:rPr>
        <w:tab/>
        <w:t>202 West 133 Street</w:t>
      </w:r>
    </w:p>
    <w:p w:rsidR="00B74CD9" w:rsidRPr="00B74CD9" w:rsidRDefault="00B74CD9" w:rsidP="00B74CD9">
      <w:pPr>
        <w:tabs>
          <w:tab w:val="left" w:pos="480"/>
          <w:tab w:val="left" w:pos="9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0" w:hanging="7200"/>
        <w:rPr>
          <w:rFonts w:ascii="Arial" w:hAnsi="Arial"/>
          <w:sz w:val="19"/>
          <w:szCs w:val="19"/>
        </w:rPr>
      </w:pP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t>1939</w:t>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t>34</w:t>
      </w:r>
      <w:r w:rsidRPr="00B74CD9">
        <w:rPr>
          <w:rFonts w:ascii="Arial" w:hAnsi="Arial"/>
          <w:sz w:val="19"/>
          <w:szCs w:val="19"/>
        </w:rPr>
        <w:tab/>
      </w:r>
      <w:r w:rsidRPr="00B74CD9">
        <w:rPr>
          <w:rFonts w:ascii="Arial" w:hAnsi="Arial"/>
          <w:sz w:val="19"/>
          <w:szCs w:val="19"/>
        </w:rPr>
        <w:tab/>
        <w:t>2274 Adam Clayton Powell Jr Blvd.</w:t>
      </w: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sz w:val="19"/>
          <w:szCs w:val="19"/>
        </w:rPr>
      </w:pP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680" w:hanging="7680"/>
        <w:rPr>
          <w:rFonts w:ascii="Arial" w:hAnsi="Arial"/>
          <w:sz w:val="19"/>
          <w:szCs w:val="19"/>
        </w:rPr>
      </w:pP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t xml:space="preserve">      </w:t>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t xml:space="preserve">       </w:t>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t xml:space="preserve">               </w:t>
      </w: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19"/>
          <w:szCs w:val="19"/>
        </w:rPr>
      </w:pP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19"/>
          <w:szCs w:val="19"/>
        </w:rPr>
      </w:pPr>
      <w:r w:rsidRPr="00B74CD9">
        <w:rPr>
          <w:rFonts w:ascii="Arial" w:hAnsi="Arial"/>
          <w:b/>
          <w:sz w:val="19"/>
          <w:szCs w:val="19"/>
        </w:rPr>
        <w:t>4.</w:t>
      </w:r>
      <w:r w:rsidRPr="00B74CD9">
        <w:rPr>
          <w:rFonts w:ascii="Arial" w:hAnsi="Arial"/>
          <w:b/>
          <w:sz w:val="19"/>
          <w:szCs w:val="19"/>
        </w:rPr>
        <w:tab/>
        <w:t>BASIS OF DISPOSITION PRICE:</w:t>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bookmarkStart w:id="2" w:name="_Hlk30598466"/>
      <w:r>
        <w:rPr>
          <w:rFonts w:ascii="Arial" w:hAnsi="Arial"/>
          <w:sz w:val="19"/>
          <w:szCs w:val="19"/>
        </w:rPr>
        <w:tab/>
      </w:r>
      <w:r w:rsidRPr="00B74CD9">
        <w:rPr>
          <w:rFonts w:ascii="Arial" w:hAnsi="Arial"/>
          <w:sz w:val="19"/>
          <w:szCs w:val="19"/>
        </w:rPr>
        <w:t>Nominal ($1.00 per building).  The Sponsor will also deliver a note and mortgage for the remainder of the appraised value (“Land Debt”) with a term of up to sixty (60) years following cooperative conversion. The remaining balance of the Land Debt may be forgiven in the final year of that period.</w:t>
      </w:r>
    </w:p>
    <w:bookmarkEnd w:id="2"/>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19"/>
          <w:szCs w:val="19"/>
        </w:rPr>
      </w:pP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19"/>
          <w:szCs w:val="19"/>
        </w:rPr>
      </w:pPr>
      <w:r w:rsidRPr="00B74CD9">
        <w:rPr>
          <w:rFonts w:ascii="Arial" w:hAnsi="Arial"/>
          <w:b/>
          <w:sz w:val="19"/>
          <w:szCs w:val="19"/>
        </w:rPr>
        <w:t>5.</w:t>
      </w:r>
      <w:r w:rsidRPr="00B74CD9">
        <w:rPr>
          <w:rFonts w:ascii="Arial" w:hAnsi="Arial"/>
          <w:b/>
          <w:sz w:val="19"/>
          <w:szCs w:val="19"/>
        </w:rPr>
        <w:tab/>
        <w:t>TYPE OF PROJECT:</w:t>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Pr>
          <w:rFonts w:ascii="Arial" w:hAnsi="Arial"/>
          <w:sz w:val="19"/>
          <w:szCs w:val="19"/>
        </w:rPr>
        <w:tab/>
      </w:r>
      <w:r w:rsidRPr="00B74CD9">
        <w:rPr>
          <w:rFonts w:ascii="Arial" w:hAnsi="Arial"/>
          <w:sz w:val="19"/>
          <w:szCs w:val="19"/>
        </w:rPr>
        <w:t>Rehabilitation</w:t>
      </w: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19"/>
          <w:szCs w:val="19"/>
        </w:rPr>
      </w:pP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19"/>
          <w:szCs w:val="19"/>
        </w:rPr>
      </w:pPr>
      <w:r w:rsidRPr="00B74CD9">
        <w:rPr>
          <w:rFonts w:ascii="Arial" w:hAnsi="Arial"/>
          <w:b/>
          <w:sz w:val="19"/>
          <w:szCs w:val="19"/>
        </w:rPr>
        <w:t>6.</w:t>
      </w:r>
      <w:r w:rsidRPr="00B74CD9">
        <w:rPr>
          <w:rFonts w:ascii="Arial" w:hAnsi="Arial"/>
          <w:b/>
          <w:sz w:val="19"/>
          <w:szCs w:val="19"/>
        </w:rPr>
        <w:tab/>
        <w:t>APPROXIMATE NUMBER OF BUILDINGS:</w:t>
      </w:r>
      <w:r w:rsidRPr="00B74CD9">
        <w:rPr>
          <w:rFonts w:ascii="Arial" w:hAnsi="Arial"/>
          <w:sz w:val="19"/>
          <w:szCs w:val="19"/>
        </w:rPr>
        <w:tab/>
      </w:r>
      <w:r>
        <w:rPr>
          <w:rFonts w:ascii="Arial" w:hAnsi="Arial"/>
          <w:sz w:val="19"/>
          <w:szCs w:val="19"/>
        </w:rPr>
        <w:tab/>
      </w:r>
      <w:r w:rsidRPr="00B74CD9">
        <w:rPr>
          <w:rFonts w:ascii="Arial" w:hAnsi="Arial"/>
          <w:sz w:val="19"/>
          <w:szCs w:val="19"/>
        </w:rPr>
        <w:t>4 Multiple Dwellings</w:t>
      </w: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19"/>
          <w:szCs w:val="19"/>
        </w:rPr>
      </w:pP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19"/>
          <w:szCs w:val="19"/>
        </w:rPr>
      </w:pPr>
      <w:r w:rsidRPr="00B74CD9">
        <w:rPr>
          <w:rFonts w:ascii="Arial" w:hAnsi="Arial"/>
          <w:b/>
          <w:sz w:val="19"/>
          <w:szCs w:val="19"/>
        </w:rPr>
        <w:t>7.</w:t>
      </w:r>
      <w:r w:rsidRPr="00B74CD9">
        <w:rPr>
          <w:rFonts w:ascii="Arial" w:hAnsi="Arial"/>
          <w:b/>
          <w:sz w:val="19"/>
          <w:szCs w:val="19"/>
        </w:rPr>
        <w:tab/>
        <w:t>APPROXIMATE NUMBER OF UNITS:</w:t>
      </w:r>
      <w:r w:rsidRPr="00B74CD9">
        <w:rPr>
          <w:rFonts w:ascii="Arial" w:hAnsi="Arial"/>
          <w:sz w:val="19"/>
          <w:szCs w:val="19"/>
        </w:rPr>
        <w:tab/>
      </w:r>
      <w:r w:rsidRPr="00B74CD9">
        <w:rPr>
          <w:rFonts w:ascii="Arial" w:hAnsi="Arial"/>
          <w:sz w:val="19"/>
          <w:szCs w:val="19"/>
        </w:rPr>
        <w:tab/>
      </w:r>
      <w:r>
        <w:rPr>
          <w:rFonts w:ascii="Arial" w:hAnsi="Arial"/>
          <w:sz w:val="19"/>
          <w:szCs w:val="19"/>
        </w:rPr>
        <w:tab/>
      </w:r>
      <w:r w:rsidRPr="00B74CD9">
        <w:rPr>
          <w:rFonts w:ascii="Arial" w:hAnsi="Arial"/>
          <w:sz w:val="19"/>
          <w:szCs w:val="19"/>
        </w:rPr>
        <w:t>60</w:t>
      </w: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19"/>
          <w:szCs w:val="19"/>
        </w:rPr>
      </w:pP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19"/>
          <w:szCs w:val="19"/>
        </w:rPr>
      </w:pPr>
      <w:r w:rsidRPr="00B74CD9">
        <w:rPr>
          <w:rFonts w:ascii="Arial" w:hAnsi="Arial"/>
          <w:b/>
          <w:sz w:val="19"/>
          <w:szCs w:val="19"/>
        </w:rPr>
        <w:t>8.</w:t>
      </w:r>
      <w:r w:rsidRPr="00B74CD9">
        <w:rPr>
          <w:rFonts w:ascii="Arial" w:hAnsi="Arial"/>
          <w:b/>
          <w:sz w:val="19"/>
          <w:szCs w:val="19"/>
        </w:rPr>
        <w:tab/>
        <w:t>HOUSING TYPE:</w:t>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t>Cooperative.  If units remain unsold at the end of the marketing period and HPD determines in writing that (i) sale is not feasible within a reasonable time, and (ii) a rental fallback is the best available alternative, then Sponsor may operate the building as rental housing in accordance with the written instructions of HPD.</w:t>
      </w: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19"/>
          <w:szCs w:val="19"/>
        </w:rPr>
      </w:pP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 w:hanging="480"/>
        <w:rPr>
          <w:rFonts w:ascii="Arial" w:hAnsi="Arial"/>
          <w:b/>
          <w:sz w:val="19"/>
          <w:szCs w:val="19"/>
        </w:rPr>
      </w:pPr>
      <w:r w:rsidRPr="00B74CD9">
        <w:rPr>
          <w:rFonts w:ascii="Arial" w:hAnsi="Arial"/>
          <w:b/>
          <w:sz w:val="19"/>
          <w:szCs w:val="19"/>
        </w:rPr>
        <w:t>9.</w:t>
      </w:r>
      <w:r w:rsidRPr="00B74CD9">
        <w:rPr>
          <w:rFonts w:ascii="Arial" w:hAnsi="Arial"/>
          <w:b/>
          <w:sz w:val="19"/>
          <w:szCs w:val="19"/>
        </w:rPr>
        <w:tab/>
        <w:t>ESTIMATE OF INITIAL</w:t>
      </w: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cs="Arial"/>
          <w:sz w:val="19"/>
          <w:szCs w:val="19"/>
        </w:rPr>
      </w:pPr>
      <w:r w:rsidRPr="00B74CD9">
        <w:rPr>
          <w:rFonts w:ascii="Arial" w:hAnsi="Arial"/>
          <w:b/>
          <w:sz w:val="19"/>
          <w:szCs w:val="19"/>
        </w:rPr>
        <w:tab/>
        <w:t>PRICE:</w:t>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cs="Arial"/>
          <w:sz w:val="19"/>
          <w:szCs w:val="19"/>
        </w:rPr>
        <w:t>The cooperative interests attributable to occupied apartments will be sold to the existing tenants for $2,500 per apartment.  The cooperative interests attributable to vacant apartments will be sold for a price affordable to families earning no more than 165% of the area median income.</w:t>
      </w: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19"/>
          <w:szCs w:val="19"/>
        </w:rPr>
      </w:pP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19"/>
          <w:szCs w:val="19"/>
        </w:rPr>
      </w:pPr>
      <w:r w:rsidRPr="00B74CD9">
        <w:rPr>
          <w:rFonts w:ascii="Arial" w:hAnsi="Arial"/>
          <w:b/>
          <w:sz w:val="19"/>
          <w:szCs w:val="19"/>
        </w:rPr>
        <w:t>10.</w:t>
      </w:r>
      <w:r w:rsidRPr="00B74CD9">
        <w:rPr>
          <w:rFonts w:ascii="Arial" w:hAnsi="Arial"/>
          <w:b/>
          <w:sz w:val="19"/>
          <w:szCs w:val="19"/>
        </w:rPr>
        <w:tab/>
        <w:t>INCOME TARGETS:</w:t>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t>The Disposition Area contains partially occupied buildings which will be sold subject to existing tenancies. After sale, units must be resold in compliance with federal regulations, where applicable.  Units not subject to such regulation may be resold to purchasers with annual household incomes up to 165% of the area median.</w:t>
      </w: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19"/>
          <w:szCs w:val="19"/>
        </w:rPr>
      </w:pP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19"/>
          <w:szCs w:val="19"/>
        </w:rPr>
      </w:pPr>
      <w:r w:rsidRPr="00B74CD9">
        <w:rPr>
          <w:rFonts w:ascii="Arial" w:hAnsi="Arial"/>
          <w:b/>
          <w:sz w:val="19"/>
          <w:szCs w:val="19"/>
        </w:rPr>
        <w:t>11.</w:t>
      </w:r>
      <w:r w:rsidRPr="00B74CD9">
        <w:rPr>
          <w:rFonts w:ascii="Arial" w:hAnsi="Arial"/>
          <w:b/>
          <w:sz w:val="19"/>
          <w:szCs w:val="19"/>
        </w:rPr>
        <w:tab/>
        <w:t>PROPOSED FACILITIES:</w:t>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t>One (1) storefront commercial space at 2274 Adam Clayton Powell Jr. Blvd.</w:t>
      </w: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19"/>
          <w:szCs w:val="19"/>
        </w:rPr>
      </w:pP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5280" w:hanging="5280"/>
        <w:rPr>
          <w:rFonts w:ascii="Arial" w:hAnsi="Arial"/>
          <w:sz w:val="19"/>
          <w:szCs w:val="19"/>
        </w:rPr>
      </w:pPr>
      <w:r w:rsidRPr="00B74CD9">
        <w:rPr>
          <w:rFonts w:ascii="Arial" w:hAnsi="Arial"/>
          <w:b/>
          <w:sz w:val="19"/>
          <w:szCs w:val="19"/>
        </w:rPr>
        <w:t>12.</w:t>
      </w:r>
      <w:r w:rsidRPr="00B74CD9">
        <w:rPr>
          <w:rFonts w:ascii="Arial" w:hAnsi="Arial"/>
          <w:b/>
          <w:sz w:val="19"/>
          <w:szCs w:val="19"/>
        </w:rPr>
        <w:tab/>
        <w:t>PROPOSED CODES/ORDINANCES:</w:t>
      </w:r>
      <w:r w:rsidRPr="00B74CD9">
        <w:rPr>
          <w:rFonts w:ascii="Arial" w:hAnsi="Arial"/>
          <w:sz w:val="19"/>
          <w:szCs w:val="19"/>
        </w:rPr>
        <w:tab/>
      </w:r>
      <w:r w:rsidRPr="00B74CD9">
        <w:rPr>
          <w:rFonts w:ascii="Arial" w:hAnsi="Arial"/>
          <w:sz w:val="19"/>
          <w:szCs w:val="19"/>
        </w:rPr>
        <w:tab/>
      </w:r>
      <w:r>
        <w:rPr>
          <w:rFonts w:ascii="Arial" w:hAnsi="Arial"/>
          <w:sz w:val="19"/>
          <w:szCs w:val="19"/>
        </w:rPr>
        <w:tab/>
      </w:r>
      <w:r w:rsidRPr="00B74CD9">
        <w:rPr>
          <w:rFonts w:ascii="Arial" w:hAnsi="Arial"/>
          <w:sz w:val="19"/>
          <w:szCs w:val="19"/>
        </w:rPr>
        <w:t>None</w:t>
      </w: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19"/>
          <w:szCs w:val="19"/>
        </w:rPr>
      </w:pP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19"/>
          <w:szCs w:val="19"/>
        </w:rPr>
      </w:pPr>
      <w:r w:rsidRPr="00B74CD9">
        <w:rPr>
          <w:rFonts w:ascii="Arial" w:hAnsi="Arial"/>
          <w:b/>
          <w:sz w:val="19"/>
          <w:szCs w:val="19"/>
        </w:rPr>
        <w:t>13.</w:t>
      </w:r>
      <w:r w:rsidRPr="00B74CD9">
        <w:rPr>
          <w:rFonts w:ascii="Arial" w:hAnsi="Arial"/>
          <w:b/>
          <w:sz w:val="19"/>
          <w:szCs w:val="19"/>
        </w:rPr>
        <w:tab/>
        <w:t>ENVIRONMENTAL STATUS:</w:t>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t>Type II</w:t>
      </w: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19"/>
          <w:szCs w:val="19"/>
        </w:rPr>
      </w:pPr>
    </w:p>
    <w:p w:rsidR="00B74CD9" w:rsidRPr="00B74CD9" w:rsidRDefault="00B74CD9" w:rsidP="00B74C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19"/>
          <w:szCs w:val="19"/>
        </w:rPr>
      </w:pPr>
      <w:r w:rsidRPr="00B74CD9">
        <w:rPr>
          <w:rFonts w:ascii="Arial" w:hAnsi="Arial"/>
          <w:b/>
          <w:sz w:val="19"/>
          <w:szCs w:val="19"/>
        </w:rPr>
        <w:t>14.</w:t>
      </w:r>
      <w:r w:rsidRPr="00B74CD9">
        <w:rPr>
          <w:rFonts w:ascii="Arial" w:hAnsi="Arial"/>
          <w:b/>
          <w:sz w:val="19"/>
          <w:szCs w:val="19"/>
        </w:rPr>
        <w:tab/>
        <w:t>PROPOSED TIME SCHEDULE:</w:t>
      </w:r>
      <w:r w:rsidRPr="00B74CD9">
        <w:rPr>
          <w:rFonts w:ascii="Arial" w:hAnsi="Arial"/>
          <w:sz w:val="19"/>
          <w:szCs w:val="19"/>
        </w:rPr>
        <w:tab/>
      </w:r>
      <w:r w:rsidRPr="00B74CD9">
        <w:rPr>
          <w:rFonts w:ascii="Arial" w:hAnsi="Arial"/>
          <w:sz w:val="19"/>
          <w:szCs w:val="19"/>
        </w:rPr>
        <w:tab/>
      </w:r>
      <w:r w:rsidRPr="00B74CD9">
        <w:rPr>
          <w:rFonts w:ascii="Arial" w:hAnsi="Arial"/>
          <w:sz w:val="19"/>
          <w:szCs w:val="19"/>
        </w:rPr>
        <w:tab/>
      </w:r>
      <w:r>
        <w:rPr>
          <w:rFonts w:ascii="Arial" w:hAnsi="Arial"/>
          <w:sz w:val="19"/>
          <w:szCs w:val="19"/>
        </w:rPr>
        <w:tab/>
      </w:r>
      <w:r w:rsidRPr="00B74CD9">
        <w:rPr>
          <w:rFonts w:ascii="Arial" w:hAnsi="Arial"/>
          <w:sz w:val="19"/>
          <w:szCs w:val="19"/>
        </w:rPr>
        <w:t>Approximately 36 months from closing to cooperative conversion.</w:t>
      </w:r>
    </w:p>
    <w:p w:rsidR="00B74CD9" w:rsidRPr="00B74CD9" w:rsidRDefault="00B74CD9" w:rsidP="00B74CD9">
      <w:pPr>
        <w:rPr>
          <w:sz w:val="19"/>
          <w:szCs w:val="19"/>
        </w:rPr>
      </w:pPr>
    </w:p>
    <w:p w:rsidR="00B74CD9" w:rsidRPr="00B74CD9" w:rsidRDefault="00B74CD9" w:rsidP="00EA3B9D">
      <w:pPr>
        <w:widowControl/>
        <w:tabs>
          <w:tab w:val="left" w:pos="720"/>
          <w:tab w:val="left" w:pos="2880"/>
          <w:tab w:val="left" w:pos="4320"/>
          <w:tab w:val="left" w:pos="5040"/>
          <w:tab w:val="left" w:pos="8640"/>
        </w:tabs>
        <w:suppressAutoHyphens/>
        <w:overflowPunct w:val="0"/>
        <w:autoSpaceDE w:val="0"/>
        <w:autoSpaceDN w:val="0"/>
        <w:adjustRightInd w:val="0"/>
        <w:ind w:left="4800" w:hanging="4800"/>
        <w:textAlignment w:val="baseline"/>
        <w:rPr>
          <w:rFonts w:ascii="Arial" w:hAnsi="Arial" w:cs="Arial"/>
          <w:b/>
          <w:snapToGrid/>
          <w:sz w:val="19"/>
          <w:szCs w:val="19"/>
        </w:rPr>
      </w:pPr>
    </w:p>
    <w:p w:rsidR="00B74CD9" w:rsidRPr="00B74CD9" w:rsidRDefault="00B74CD9" w:rsidP="00EA3B9D">
      <w:pPr>
        <w:widowControl/>
        <w:tabs>
          <w:tab w:val="left" w:pos="720"/>
          <w:tab w:val="left" w:pos="2880"/>
          <w:tab w:val="left" w:pos="4320"/>
          <w:tab w:val="left" w:pos="5040"/>
          <w:tab w:val="left" w:pos="8640"/>
        </w:tabs>
        <w:suppressAutoHyphens/>
        <w:overflowPunct w:val="0"/>
        <w:autoSpaceDE w:val="0"/>
        <w:autoSpaceDN w:val="0"/>
        <w:adjustRightInd w:val="0"/>
        <w:ind w:left="4800" w:hanging="4800"/>
        <w:textAlignment w:val="baseline"/>
        <w:rPr>
          <w:rFonts w:ascii="Arial" w:hAnsi="Arial" w:cs="Arial"/>
          <w:b/>
          <w:snapToGrid/>
          <w:sz w:val="19"/>
          <w:szCs w:val="19"/>
        </w:rPr>
      </w:pPr>
    </w:p>
    <w:p w:rsidR="00B74CD9" w:rsidRDefault="00B74CD9" w:rsidP="00EA3B9D">
      <w:pPr>
        <w:widowControl/>
        <w:tabs>
          <w:tab w:val="left" w:pos="720"/>
          <w:tab w:val="left" w:pos="2880"/>
          <w:tab w:val="left" w:pos="4320"/>
          <w:tab w:val="left" w:pos="5040"/>
          <w:tab w:val="left" w:pos="8640"/>
        </w:tabs>
        <w:suppressAutoHyphens/>
        <w:overflowPunct w:val="0"/>
        <w:autoSpaceDE w:val="0"/>
        <w:autoSpaceDN w:val="0"/>
        <w:adjustRightInd w:val="0"/>
        <w:ind w:left="4800" w:hanging="4800"/>
        <w:textAlignment w:val="baseline"/>
        <w:rPr>
          <w:rFonts w:ascii="Arial" w:hAnsi="Arial" w:cs="Arial"/>
          <w:b/>
          <w:snapToGrid/>
          <w:sz w:val="19"/>
          <w:szCs w:val="19"/>
        </w:rPr>
      </w:pPr>
    </w:p>
    <w:p w:rsidR="000E7933" w:rsidRPr="008B4CB7" w:rsidRDefault="000E7933" w:rsidP="000E7933">
      <w:pPr>
        <w:jc w:val="both"/>
        <w:rPr>
          <w:rFonts w:ascii="Times New Roman" w:hAnsi="Times New Roman"/>
          <w:szCs w:val="24"/>
        </w:rPr>
      </w:pPr>
      <w:r w:rsidRPr="008B4CB7">
        <w:rPr>
          <w:rFonts w:ascii="Times New Roman" w:hAnsi="Times New Roman"/>
          <w:szCs w:val="24"/>
        </w:rPr>
        <w:t>Adopted.</w:t>
      </w:r>
    </w:p>
    <w:p w:rsidR="000E7933" w:rsidRPr="008B4CB7" w:rsidRDefault="000E7933" w:rsidP="000E7933">
      <w:pPr>
        <w:jc w:val="both"/>
        <w:rPr>
          <w:rFonts w:ascii="Times New Roman" w:hAnsi="Times New Roman"/>
          <w:szCs w:val="24"/>
        </w:rPr>
      </w:pPr>
    </w:p>
    <w:p w:rsidR="000E7933" w:rsidRPr="008B4CB7" w:rsidRDefault="000E7933" w:rsidP="000E7933">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Office of the City Clerk, }</w:t>
      </w:r>
    </w:p>
    <w:p w:rsidR="000E7933" w:rsidRPr="008B4CB7" w:rsidRDefault="000E7933" w:rsidP="000E7933">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The City of New York,  } ss.:</w:t>
      </w:r>
    </w:p>
    <w:p w:rsidR="000E7933" w:rsidRPr="008B4CB7" w:rsidRDefault="000E7933" w:rsidP="000E7933">
      <w:pPr>
        <w:jc w:val="both"/>
        <w:rPr>
          <w:rFonts w:ascii="Times New Roman" w:hAnsi="Times New Roman"/>
          <w:szCs w:val="24"/>
        </w:rPr>
      </w:pPr>
    </w:p>
    <w:p w:rsidR="000E7933" w:rsidRPr="008B4CB7" w:rsidRDefault="000E7933" w:rsidP="000E7933">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 xml:space="preserve">   </w:t>
      </w:r>
      <w:r w:rsidRPr="008B4CB7">
        <w:rPr>
          <w:rFonts w:ascii="Times New Roman" w:hAnsi="Times New Roman"/>
          <w:szCs w:val="24"/>
        </w:rPr>
        <w:tab/>
        <w:t xml:space="preserve">I hereby certify that the foregoing is a true copy of a Resolution passed by The Council of The City of New York on </w:t>
      </w:r>
      <w:r>
        <w:rPr>
          <w:rFonts w:ascii="Times New Roman" w:hAnsi="Times New Roman"/>
          <w:szCs w:val="24"/>
        </w:rPr>
        <w:t>__________, 2020</w:t>
      </w:r>
      <w:r w:rsidRPr="008B4CB7">
        <w:rPr>
          <w:rFonts w:ascii="Times New Roman" w:hAnsi="Times New Roman"/>
          <w:szCs w:val="24"/>
        </w:rPr>
        <w:t>, on file in this office.</w:t>
      </w:r>
    </w:p>
    <w:p w:rsidR="000E7933" w:rsidRPr="008B4CB7" w:rsidRDefault="000E7933" w:rsidP="000E7933">
      <w:pPr>
        <w:jc w:val="both"/>
        <w:rPr>
          <w:rFonts w:ascii="Times New Roman" w:hAnsi="Times New Roman"/>
          <w:szCs w:val="24"/>
        </w:rPr>
      </w:pPr>
    </w:p>
    <w:p w:rsidR="000E7933" w:rsidRDefault="000E7933" w:rsidP="000E7933">
      <w:pPr>
        <w:jc w:val="both"/>
        <w:rPr>
          <w:rFonts w:ascii="Times New Roman" w:hAnsi="Times New Roman"/>
          <w:szCs w:val="24"/>
        </w:rPr>
      </w:pPr>
    </w:p>
    <w:p w:rsidR="000E7933" w:rsidRPr="008B4CB7" w:rsidRDefault="000E7933" w:rsidP="000E7933">
      <w:pPr>
        <w:jc w:val="both"/>
        <w:rPr>
          <w:rFonts w:ascii="Times New Roman" w:hAnsi="Times New Roman"/>
          <w:szCs w:val="24"/>
        </w:rPr>
      </w:pPr>
    </w:p>
    <w:p w:rsidR="000E7933" w:rsidRPr="008B4CB7" w:rsidRDefault="000E7933" w:rsidP="000E7933">
      <w:pPr>
        <w:jc w:val="both"/>
        <w:rPr>
          <w:rFonts w:ascii="Times New Roman" w:hAnsi="Times New Roman"/>
          <w:szCs w:val="24"/>
        </w:rPr>
      </w:pPr>
    </w:p>
    <w:p w:rsidR="000E7933" w:rsidRPr="008B4CB7" w:rsidRDefault="000E7933" w:rsidP="000E7933">
      <w:pPr>
        <w:tabs>
          <w:tab w:val="left" w:pos="-1440"/>
        </w:tabs>
        <w:jc w:val="right"/>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 xml:space="preserve">       </w:t>
      </w:r>
      <w:r w:rsidRPr="008B4CB7">
        <w:rPr>
          <w:rFonts w:ascii="Times New Roman" w:hAnsi="Times New Roman"/>
          <w:szCs w:val="24"/>
        </w:rPr>
        <w:tab/>
        <w:t xml:space="preserve">       </w:t>
      </w:r>
      <w:r w:rsidRPr="008B4CB7">
        <w:rPr>
          <w:rFonts w:ascii="Times New Roman" w:hAnsi="Times New Roman"/>
          <w:szCs w:val="24"/>
        </w:rPr>
        <w:tab/>
        <w:t xml:space="preserve">       </w:t>
      </w:r>
      <w:r w:rsidRPr="008B4CB7">
        <w:rPr>
          <w:rFonts w:ascii="Times New Roman" w:hAnsi="Times New Roman"/>
          <w:szCs w:val="24"/>
        </w:rPr>
        <w:tab/>
        <w:t xml:space="preserve">      </w:t>
      </w:r>
      <w:r w:rsidRPr="008B4CB7">
        <w:rPr>
          <w:rFonts w:ascii="Times New Roman" w:hAnsi="Times New Roman"/>
          <w:szCs w:val="24"/>
        </w:rPr>
        <w:tab/>
      </w:r>
      <w:r w:rsidRPr="008B4CB7">
        <w:rPr>
          <w:rFonts w:ascii="Times New Roman" w:hAnsi="Times New Roman"/>
          <w:szCs w:val="24"/>
        </w:rPr>
        <w:tab/>
      </w:r>
      <w:r w:rsidRPr="008B4CB7">
        <w:rPr>
          <w:rFonts w:ascii="Times New Roman" w:hAnsi="Times New Roman"/>
          <w:szCs w:val="24"/>
        </w:rPr>
        <w:tab/>
      </w:r>
      <w:r w:rsidRPr="008B4CB7">
        <w:rPr>
          <w:rFonts w:ascii="Times New Roman" w:hAnsi="Times New Roman"/>
          <w:szCs w:val="24"/>
        </w:rPr>
        <w:tab/>
        <w:t>…............................................….</w:t>
      </w:r>
    </w:p>
    <w:p w:rsidR="000E7933" w:rsidRDefault="000E7933" w:rsidP="000E7933">
      <w:pPr>
        <w:tabs>
          <w:tab w:val="left" w:pos="-1440"/>
          <w:tab w:val="left" w:pos="6390"/>
        </w:tabs>
        <w:jc w:val="right"/>
        <w:rPr>
          <w:rFonts w:ascii="Times New Roman" w:hAnsi="Times New Roman"/>
          <w:szCs w:val="24"/>
        </w:rPr>
      </w:pPr>
      <w:r w:rsidRPr="008B4CB7">
        <w:rPr>
          <w:rFonts w:ascii="Times New Roman" w:hAnsi="Times New Roman"/>
          <w:szCs w:val="24"/>
        </w:rPr>
        <w:t xml:space="preserve">      City Clerk, Clerk of The Council</w:t>
      </w:r>
    </w:p>
    <w:p w:rsidR="00B74CD9" w:rsidRDefault="00B74CD9" w:rsidP="00EA3B9D">
      <w:pPr>
        <w:widowControl/>
        <w:tabs>
          <w:tab w:val="left" w:pos="720"/>
          <w:tab w:val="left" w:pos="2880"/>
          <w:tab w:val="left" w:pos="4320"/>
          <w:tab w:val="left" w:pos="5040"/>
          <w:tab w:val="left" w:pos="8640"/>
        </w:tabs>
        <w:suppressAutoHyphens/>
        <w:overflowPunct w:val="0"/>
        <w:autoSpaceDE w:val="0"/>
        <w:autoSpaceDN w:val="0"/>
        <w:adjustRightInd w:val="0"/>
        <w:ind w:left="4800" w:hanging="4800"/>
        <w:textAlignment w:val="baseline"/>
        <w:rPr>
          <w:rFonts w:ascii="Arial" w:hAnsi="Arial" w:cs="Arial"/>
          <w:b/>
          <w:snapToGrid/>
          <w:sz w:val="19"/>
          <w:szCs w:val="19"/>
        </w:rPr>
      </w:pPr>
    </w:p>
    <w:sectPr w:rsidR="00B74CD9" w:rsidSect="00FD0C74">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F5B" w:rsidRDefault="00247F5B">
      <w:r>
        <w:separator/>
      </w:r>
    </w:p>
  </w:endnote>
  <w:endnote w:type="continuationSeparator" w:id="0">
    <w:p w:rsidR="00247F5B" w:rsidRDefault="0024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90" w:rsidRDefault="003F68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6890" w:rsidRDefault="003F6890">
    <w:pPr>
      <w:pStyle w:val="Footer"/>
      <w:ind w:right="360"/>
    </w:pPr>
  </w:p>
  <w:p w:rsidR="003F6890" w:rsidRDefault="003F689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90" w:rsidRDefault="003F68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F5B" w:rsidRDefault="00247F5B">
      <w:r>
        <w:separator/>
      </w:r>
    </w:p>
  </w:footnote>
  <w:footnote w:type="continuationSeparator" w:id="0">
    <w:p w:rsidR="00247F5B" w:rsidRDefault="00247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90" w:rsidRDefault="003F6890">
    <w:pPr>
      <w:pStyle w:val="Header"/>
      <w:rPr>
        <w:rFonts w:ascii="Times New Roman" w:hAnsi="Times New Roman"/>
        <w:b/>
        <w:bCs/>
      </w:rPr>
    </w:pPr>
    <w:r>
      <w:rPr>
        <w:rFonts w:ascii="Times New Roman" w:hAnsi="Times New Roman"/>
        <w:b/>
        <w:bCs/>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070E25">
      <w:rPr>
        <w:rFonts w:ascii="Times New Roman" w:hAnsi="Times New Roman"/>
        <w:b/>
        <w:bCs/>
        <w:noProof/>
      </w:rPr>
      <w:t>5</w:t>
    </w:r>
    <w:r>
      <w:rPr>
        <w:rFonts w:ascii="Times New Roman" w:hAnsi="Times New Roman"/>
        <w:b/>
        <w:bCs/>
      </w:rPr>
      <w:fldChar w:fldCharType="end"/>
    </w:r>
    <w:r>
      <w:rPr>
        <w:rFonts w:ascii="Times New Roman" w:hAnsi="Times New Roman"/>
        <w:b/>
        <w:bCs/>
      </w:rPr>
      <w:t xml:space="preserve"> of </w:t>
    </w:r>
    <w:r>
      <w:rPr>
        <w:rFonts w:ascii="Times New Roman" w:hAnsi="Times New Roman"/>
        <w:b/>
        <w:bCs/>
      </w:rPr>
      <w:fldChar w:fldCharType="begin"/>
    </w:r>
    <w:r>
      <w:rPr>
        <w:rFonts w:ascii="Times New Roman" w:hAnsi="Times New Roman"/>
        <w:b/>
        <w:bCs/>
      </w:rPr>
      <w:instrText xml:space="preserve"> NUMPAGES </w:instrText>
    </w:r>
    <w:r>
      <w:rPr>
        <w:rFonts w:ascii="Times New Roman" w:hAnsi="Times New Roman"/>
        <w:b/>
        <w:bCs/>
      </w:rPr>
      <w:fldChar w:fldCharType="separate"/>
    </w:r>
    <w:r w:rsidR="00070E25">
      <w:rPr>
        <w:rFonts w:ascii="Times New Roman" w:hAnsi="Times New Roman"/>
        <w:b/>
        <w:bCs/>
        <w:noProof/>
      </w:rPr>
      <w:t>5</w:t>
    </w:r>
    <w:r>
      <w:rPr>
        <w:rFonts w:ascii="Times New Roman" w:hAnsi="Times New Roman"/>
        <w:b/>
        <w:bCs/>
      </w:rPr>
      <w:fldChar w:fldCharType="end"/>
    </w:r>
  </w:p>
  <w:p w:rsidR="003F6890" w:rsidRDefault="00886F53">
    <w:pPr>
      <w:pStyle w:val="Header"/>
      <w:rPr>
        <w:rFonts w:ascii="Times New Roman" w:hAnsi="Times New Roman"/>
        <w:b/>
        <w:bCs/>
      </w:rPr>
    </w:pPr>
    <w:r>
      <w:rPr>
        <w:rFonts w:ascii="Times New Roman" w:hAnsi="Times New Roman"/>
        <w:b/>
        <w:bCs/>
      </w:rPr>
      <w:t>20</w:t>
    </w:r>
    <w:r w:rsidR="00056483">
      <w:rPr>
        <w:rFonts w:ascii="Times New Roman" w:hAnsi="Times New Roman"/>
        <w:b/>
        <w:bCs/>
      </w:rPr>
      <w:t>205</w:t>
    </w:r>
    <w:r w:rsidR="002164AB">
      <w:rPr>
        <w:rFonts w:ascii="Times New Roman" w:hAnsi="Times New Roman"/>
        <w:b/>
        <w:bCs/>
      </w:rPr>
      <w:t>414</w:t>
    </w:r>
    <w:r w:rsidR="00140885">
      <w:rPr>
        <w:rFonts w:ascii="Times New Roman" w:hAnsi="Times New Roman"/>
        <w:b/>
        <w:bCs/>
      </w:rPr>
      <w:t xml:space="preserve"> HAM</w:t>
    </w:r>
  </w:p>
  <w:p w:rsidR="003F6890" w:rsidRDefault="003F6890">
    <w:pPr>
      <w:pStyle w:val="Header"/>
      <w:rPr>
        <w:rFonts w:ascii="Times New Roman" w:hAnsi="Times New Roman"/>
        <w:b/>
        <w:bCs/>
      </w:rPr>
    </w:pPr>
    <w:r>
      <w:rPr>
        <w:rFonts w:ascii="Times New Roman" w:hAnsi="Times New Roman"/>
        <w:b/>
        <w:bCs/>
      </w:rPr>
      <w:t xml:space="preserve">Res. No. </w:t>
    </w:r>
    <w:r w:rsidR="002164AB">
      <w:rPr>
        <w:rFonts w:ascii="Times New Roman" w:hAnsi="Times New Roman"/>
        <w:b/>
        <w:bCs/>
      </w:rPr>
      <w:t>____</w:t>
    </w:r>
    <w:r w:rsidR="005369DB">
      <w:rPr>
        <w:rFonts w:ascii="Times New Roman" w:hAnsi="Times New Roman"/>
        <w:b/>
        <w:bCs/>
      </w:rPr>
      <w:t xml:space="preserve"> </w:t>
    </w:r>
    <w:r>
      <w:rPr>
        <w:rFonts w:ascii="Times New Roman" w:hAnsi="Times New Roman"/>
        <w:b/>
        <w:bCs/>
      </w:rPr>
      <w:t>(</w:t>
    </w:r>
    <w:r w:rsidR="002164AB">
      <w:rPr>
        <w:rFonts w:ascii="Times New Roman" w:hAnsi="Times New Roman"/>
        <w:b/>
        <w:bCs/>
      </w:rPr>
      <w:t xml:space="preserve">Pre. </w:t>
    </w:r>
    <w:r>
      <w:rPr>
        <w:rFonts w:ascii="Times New Roman" w:hAnsi="Times New Roman"/>
        <w:b/>
        <w:bCs/>
      </w:rPr>
      <w:t xml:space="preserve">L.U. No. </w:t>
    </w:r>
    <w:r w:rsidR="000E7933">
      <w:rPr>
        <w:rFonts w:ascii="Times New Roman" w:hAnsi="Times New Roman"/>
        <w:b/>
        <w:bCs/>
      </w:rPr>
      <w:t>663</w:t>
    </w:r>
    <w:r w:rsidR="007A43F4">
      <w:rPr>
        <w:rFonts w:ascii="Times New Roman" w:hAnsi="Times New Roman"/>
        <w:b/>
        <w:bCs/>
      </w:rPr>
      <w:t>)</w:t>
    </w:r>
  </w:p>
  <w:p w:rsidR="00FD0C74" w:rsidRDefault="00FD0C74">
    <w:pPr>
      <w:pStyle w:val="Header"/>
      <w:rPr>
        <w:rFonts w:ascii="Times New Roman" w:hAnsi="Times New Roman"/>
        <w:b/>
        <w:bCs/>
      </w:rPr>
    </w:pPr>
  </w:p>
  <w:p w:rsidR="003F6890" w:rsidRDefault="003F6890">
    <w:pPr>
      <w:pStyle w:val="Header"/>
      <w:rPr>
        <w:rFonts w:ascii="Times New Roman" w:hAnsi="Times New Roman"/>
        <w:b/>
        <w:bCs/>
      </w:rPr>
    </w:pPr>
  </w:p>
  <w:p w:rsidR="003F6890" w:rsidRDefault="003F6890" w:rsidP="00FD0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FB6"/>
    <w:multiLevelType w:val="hybridMultilevel"/>
    <w:tmpl w:val="C750DAC4"/>
    <w:lvl w:ilvl="0" w:tplc="4B56ACA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25697586"/>
    <w:multiLevelType w:val="hybridMultilevel"/>
    <w:tmpl w:val="1D4A02A8"/>
    <w:lvl w:ilvl="0" w:tplc="04090019">
      <w:start w:val="1"/>
      <w:numFmt w:val="lowerLetter"/>
      <w:lvlText w:val="%1."/>
      <w:lvlJc w:val="left"/>
      <w:pPr>
        <w:ind w:left="1560" w:hanging="360"/>
      </w:pPr>
      <w:rPr>
        <w:rFonts w:hint="default"/>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2BB04099"/>
    <w:multiLevelType w:val="hybridMultilevel"/>
    <w:tmpl w:val="643A95CC"/>
    <w:lvl w:ilvl="0" w:tplc="AFE80A2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BCE2D3B"/>
    <w:multiLevelType w:val="hybridMultilevel"/>
    <w:tmpl w:val="0A1A0C9E"/>
    <w:lvl w:ilvl="0" w:tplc="B7A278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D986ABA"/>
    <w:multiLevelType w:val="hybridMultilevel"/>
    <w:tmpl w:val="D00C163E"/>
    <w:lvl w:ilvl="0" w:tplc="0B1C987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541AB"/>
    <w:multiLevelType w:val="hybridMultilevel"/>
    <w:tmpl w:val="C75A3E02"/>
    <w:lvl w:ilvl="0" w:tplc="AC26A52A">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BBF44C1"/>
    <w:multiLevelType w:val="hybridMultilevel"/>
    <w:tmpl w:val="B740B324"/>
    <w:lvl w:ilvl="0" w:tplc="E474C9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AF418D"/>
    <w:multiLevelType w:val="hybridMultilevel"/>
    <w:tmpl w:val="C29A436A"/>
    <w:lvl w:ilvl="0" w:tplc="1F22C0BE">
      <w:start w:val="1"/>
      <w:numFmt w:val="lowerLetter"/>
      <w:lvlText w:val="%1."/>
      <w:lvlJc w:val="left"/>
      <w:pPr>
        <w:ind w:left="1350" w:hanging="45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5FAA48AC"/>
    <w:multiLevelType w:val="hybridMultilevel"/>
    <w:tmpl w:val="94946000"/>
    <w:lvl w:ilvl="0" w:tplc="B3BEFF3E">
      <w:start w:val="1"/>
      <w:numFmt w:val="lowerLetter"/>
      <w:lvlText w:val="%1."/>
      <w:lvlJc w:val="left"/>
      <w:pPr>
        <w:ind w:left="810" w:hanging="360"/>
      </w:pPr>
      <w:rPr>
        <w:rFonts w:ascii="Arial" w:hAnsi="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76601DB3"/>
    <w:multiLevelType w:val="hybridMultilevel"/>
    <w:tmpl w:val="3B34B3D0"/>
    <w:lvl w:ilvl="0" w:tplc="25C2F2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FAC4BF3"/>
    <w:multiLevelType w:val="hybridMultilevel"/>
    <w:tmpl w:val="6ED452CC"/>
    <w:lvl w:ilvl="0" w:tplc="416EADC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7"/>
  </w:num>
  <w:num w:numId="4">
    <w:abstractNumId w:val="0"/>
  </w:num>
  <w:num w:numId="5">
    <w:abstractNumId w:val="1"/>
  </w:num>
  <w:num w:numId="6">
    <w:abstractNumId w:val="5"/>
  </w:num>
  <w:num w:numId="7">
    <w:abstractNumId w:val="10"/>
  </w:num>
  <w:num w:numId="8">
    <w:abstractNumId w:val="6"/>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BC"/>
    <w:rsid w:val="000002DF"/>
    <w:rsid w:val="00004FFC"/>
    <w:rsid w:val="00011082"/>
    <w:rsid w:val="000133F5"/>
    <w:rsid w:val="0001607B"/>
    <w:rsid w:val="00046603"/>
    <w:rsid w:val="00053D9E"/>
    <w:rsid w:val="00056483"/>
    <w:rsid w:val="00060AE0"/>
    <w:rsid w:val="00064CDB"/>
    <w:rsid w:val="00070E25"/>
    <w:rsid w:val="00075C44"/>
    <w:rsid w:val="000865AA"/>
    <w:rsid w:val="00095547"/>
    <w:rsid w:val="000B4D1B"/>
    <w:rsid w:val="000D1233"/>
    <w:rsid w:val="000E4050"/>
    <w:rsid w:val="000E4BA9"/>
    <w:rsid w:val="000E7933"/>
    <w:rsid w:val="000F3033"/>
    <w:rsid w:val="0012328A"/>
    <w:rsid w:val="00123B78"/>
    <w:rsid w:val="00140885"/>
    <w:rsid w:val="001444A7"/>
    <w:rsid w:val="00150097"/>
    <w:rsid w:val="00154911"/>
    <w:rsid w:val="001905FB"/>
    <w:rsid w:val="00194924"/>
    <w:rsid w:val="00195043"/>
    <w:rsid w:val="00197A82"/>
    <w:rsid w:val="001B7FE5"/>
    <w:rsid w:val="001C0CF4"/>
    <w:rsid w:val="001C15E8"/>
    <w:rsid w:val="001E73FD"/>
    <w:rsid w:val="001F0D52"/>
    <w:rsid w:val="001F48F8"/>
    <w:rsid w:val="001F601C"/>
    <w:rsid w:val="002015B9"/>
    <w:rsid w:val="002023C9"/>
    <w:rsid w:val="0020489D"/>
    <w:rsid w:val="00212C0F"/>
    <w:rsid w:val="002164AB"/>
    <w:rsid w:val="002253ED"/>
    <w:rsid w:val="002329C4"/>
    <w:rsid w:val="00247F5B"/>
    <w:rsid w:val="002906C8"/>
    <w:rsid w:val="00297FD8"/>
    <w:rsid w:val="002B4A2D"/>
    <w:rsid w:val="002B77A0"/>
    <w:rsid w:val="002C32F3"/>
    <w:rsid w:val="002D43A2"/>
    <w:rsid w:val="002D5C0B"/>
    <w:rsid w:val="002E5DC0"/>
    <w:rsid w:val="002F09F8"/>
    <w:rsid w:val="002F3101"/>
    <w:rsid w:val="002F74B5"/>
    <w:rsid w:val="00307D92"/>
    <w:rsid w:val="00353754"/>
    <w:rsid w:val="003541F8"/>
    <w:rsid w:val="003940F0"/>
    <w:rsid w:val="0039555C"/>
    <w:rsid w:val="003A5FE9"/>
    <w:rsid w:val="003B7F88"/>
    <w:rsid w:val="003C2030"/>
    <w:rsid w:val="003E256D"/>
    <w:rsid w:val="003F6890"/>
    <w:rsid w:val="00413E8F"/>
    <w:rsid w:val="0042213C"/>
    <w:rsid w:val="00426F92"/>
    <w:rsid w:val="004541FC"/>
    <w:rsid w:val="00457DF6"/>
    <w:rsid w:val="0047079E"/>
    <w:rsid w:val="00473F99"/>
    <w:rsid w:val="004B06BE"/>
    <w:rsid w:val="004E4340"/>
    <w:rsid w:val="005369DB"/>
    <w:rsid w:val="00540D40"/>
    <w:rsid w:val="0054129D"/>
    <w:rsid w:val="00554B16"/>
    <w:rsid w:val="005640BB"/>
    <w:rsid w:val="00573F75"/>
    <w:rsid w:val="005916C1"/>
    <w:rsid w:val="00597F4E"/>
    <w:rsid w:val="005E4623"/>
    <w:rsid w:val="006118A3"/>
    <w:rsid w:val="00612629"/>
    <w:rsid w:val="00612EFF"/>
    <w:rsid w:val="0061721D"/>
    <w:rsid w:val="006230EB"/>
    <w:rsid w:val="0063329B"/>
    <w:rsid w:val="006879DC"/>
    <w:rsid w:val="006907CD"/>
    <w:rsid w:val="006B15A3"/>
    <w:rsid w:val="006F46C4"/>
    <w:rsid w:val="0070025D"/>
    <w:rsid w:val="00704884"/>
    <w:rsid w:val="00714287"/>
    <w:rsid w:val="00723A37"/>
    <w:rsid w:val="007259B6"/>
    <w:rsid w:val="007544A3"/>
    <w:rsid w:val="00767C7A"/>
    <w:rsid w:val="007757FA"/>
    <w:rsid w:val="00783153"/>
    <w:rsid w:val="007A43F4"/>
    <w:rsid w:val="007B37DF"/>
    <w:rsid w:val="007C1E59"/>
    <w:rsid w:val="007F2E3D"/>
    <w:rsid w:val="007F316F"/>
    <w:rsid w:val="00806090"/>
    <w:rsid w:val="00812E46"/>
    <w:rsid w:val="00847176"/>
    <w:rsid w:val="00886F53"/>
    <w:rsid w:val="008A7678"/>
    <w:rsid w:val="008B4CB7"/>
    <w:rsid w:val="008C0956"/>
    <w:rsid w:val="008C3301"/>
    <w:rsid w:val="008D17DC"/>
    <w:rsid w:val="00906B60"/>
    <w:rsid w:val="00916241"/>
    <w:rsid w:val="0092095A"/>
    <w:rsid w:val="0092524D"/>
    <w:rsid w:val="00926427"/>
    <w:rsid w:val="00935393"/>
    <w:rsid w:val="00957010"/>
    <w:rsid w:val="00961A61"/>
    <w:rsid w:val="009625D4"/>
    <w:rsid w:val="00985EBF"/>
    <w:rsid w:val="00987A7F"/>
    <w:rsid w:val="00991F56"/>
    <w:rsid w:val="00997CDA"/>
    <w:rsid w:val="009A3106"/>
    <w:rsid w:val="009C25D9"/>
    <w:rsid w:val="009D3115"/>
    <w:rsid w:val="00A0134F"/>
    <w:rsid w:val="00A05B5B"/>
    <w:rsid w:val="00A301B6"/>
    <w:rsid w:val="00A51E23"/>
    <w:rsid w:val="00A65FAF"/>
    <w:rsid w:val="00A8368B"/>
    <w:rsid w:val="00A838DE"/>
    <w:rsid w:val="00A87AC4"/>
    <w:rsid w:val="00A952F6"/>
    <w:rsid w:val="00AA2BC7"/>
    <w:rsid w:val="00AA7FDC"/>
    <w:rsid w:val="00AB6656"/>
    <w:rsid w:val="00AD73FC"/>
    <w:rsid w:val="00AF54D5"/>
    <w:rsid w:val="00B40232"/>
    <w:rsid w:val="00B41920"/>
    <w:rsid w:val="00B4274B"/>
    <w:rsid w:val="00B478DF"/>
    <w:rsid w:val="00B6667B"/>
    <w:rsid w:val="00B67256"/>
    <w:rsid w:val="00B701E0"/>
    <w:rsid w:val="00B71927"/>
    <w:rsid w:val="00B72CE0"/>
    <w:rsid w:val="00B74CD9"/>
    <w:rsid w:val="00B800C2"/>
    <w:rsid w:val="00B81EF7"/>
    <w:rsid w:val="00B9224F"/>
    <w:rsid w:val="00BA178A"/>
    <w:rsid w:val="00BA40D5"/>
    <w:rsid w:val="00BA4DD0"/>
    <w:rsid w:val="00BA5981"/>
    <w:rsid w:val="00BA5C49"/>
    <w:rsid w:val="00BB57AC"/>
    <w:rsid w:val="00BC1D5E"/>
    <w:rsid w:val="00BC7206"/>
    <w:rsid w:val="00BE4ADA"/>
    <w:rsid w:val="00BE5116"/>
    <w:rsid w:val="00BE7A08"/>
    <w:rsid w:val="00BF593F"/>
    <w:rsid w:val="00C013AA"/>
    <w:rsid w:val="00C20C4C"/>
    <w:rsid w:val="00C32BBC"/>
    <w:rsid w:val="00C365DB"/>
    <w:rsid w:val="00C441CA"/>
    <w:rsid w:val="00C5059A"/>
    <w:rsid w:val="00C60F1A"/>
    <w:rsid w:val="00C631B6"/>
    <w:rsid w:val="00C8019F"/>
    <w:rsid w:val="00C813FE"/>
    <w:rsid w:val="00C859FA"/>
    <w:rsid w:val="00CC1363"/>
    <w:rsid w:val="00CD36CD"/>
    <w:rsid w:val="00CD66B8"/>
    <w:rsid w:val="00CD7621"/>
    <w:rsid w:val="00CE08A2"/>
    <w:rsid w:val="00D02468"/>
    <w:rsid w:val="00D07CC8"/>
    <w:rsid w:val="00D24C15"/>
    <w:rsid w:val="00D2681D"/>
    <w:rsid w:val="00D31D91"/>
    <w:rsid w:val="00D32FDC"/>
    <w:rsid w:val="00D42714"/>
    <w:rsid w:val="00D4354A"/>
    <w:rsid w:val="00D56762"/>
    <w:rsid w:val="00D6064D"/>
    <w:rsid w:val="00D6533F"/>
    <w:rsid w:val="00D6715E"/>
    <w:rsid w:val="00D92EAB"/>
    <w:rsid w:val="00DD1946"/>
    <w:rsid w:val="00DE357A"/>
    <w:rsid w:val="00DE39C1"/>
    <w:rsid w:val="00E05A5F"/>
    <w:rsid w:val="00E2010C"/>
    <w:rsid w:val="00E63B64"/>
    <w:rsid w:val="00E63D49"/>
    <w:rsid w:val="00E67E53"/>
    <w:rsid w:val="00E75ABE"/>
    <w:rsid w:val="00E81F17"/>
    <w:rsid w:val="00E9078F"/>
    <w:rsid w:val="00E94D13"/>
    <w:rsid w:val="00E97380"/>
    <w:rsid w:val="00EA0BE4"/>
    <w:rsid w:val="00EA3B9D"/>
    <w:rsid w:val="00EB0D09"/>
    <w:rsid w:val="00EC1358"/>
    <w:rsid w:val="00EC2AD2"/>
    <w:rsid w:val="00EC4FC1"/>
    <w:rsid w:val="00ED1B5F"/>
    <w:rsid w:val="00ED5C97"/>
    <w:rsid w:val="00EE55A3"/>
    <w:rsid w:val="00EE6FD1"/>
    <w:rsid w:val="00F3377B"/>
    <w:rsid w:val="00F432ED"/>
    <w:rsid w:val="00F6133F"/>
    <w:rsid w:val="00F87D00"/>
    <w:rsid w:val="00F92D8E"/>
    <w:rsid w:val="00FC12B0"/>
    <w:rsid w:val="00FC422F"/>
    <w:rsid w:val="00FD0C74"/>
    <w:rsid w:val="00FD2C40"/>
    <w:rsid w:val="00FD4934"/>
    <w:rsid w:val="00FE3231"/>
    <w:rsid w:val="00FF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E45881"/>
  <w15:chartTrackingRefBased/>
  <w15:docId w15:val="{7E7A29DE-9162-41AF-AB6D-D8D53A69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1440"/>
      </w:tabs>
      <w:ind w:left="1440" w:right="180" w:hanging="720"/>
      <w:jc w:val="both"/>
    </w:pPr>
    <w:rPr>
      <w:rFonts w:ascii="Times New Roman" w:hAnsi="Times New Roman"/>
    </w:rPr>
  </w:style>
  <w:style w:type="paragraph" w:styleId="BalloonText">
    <w:name w:val="Balloon Text"/>
    <w:basedOn w:val="Normal"/>
    <w:link w:val="BalloonTextChar"/>
    <w:rsid w:val="002F3101"/>
    <w:rPr>
      <w:rFonts w:ascii="Tahoma" w:hAnsi="Tahoma" w:cs="Tahoma"/>
      <w:sz w:val="16"/>
      <w:szCs w:val="16"/>
    </w:rPr>
  </w:style>
  <w:style w:type="character" w:customStyle="1" w:styleId="BalloonTextChar">
    <w:name w:val="Balloon Text Char"/>
    <w:link w:val="BalloonText"/>
    <w:rsid w:val="002F3101"/>
    <w:rPr>
      <w:rFonts w:ascii="Tahoma" w:hAnsi="Tahoma" w:cs="Tahoma"/>
      <w:snapToGrid w:val="0"/>
      <w:sz w:val="16"/>
      <w:szCs w:val="16"/>
    </w:rPr>
  </w:style>
  <w:style w:type="paragraph" w:styleId="BodyText2">
    <w:name w:val="Body Text 2"/>
    <w:basedOn w:val="Normal"/>
    <w:link w:val="BodyText2Char"/>
    <w:rsid w:val="00BE5116"/>
    <w:pPr>
      <w:widowControl/>
      <w:tabs>
        <w:tab w:val="left" w:pos="480"/>
        <w:tab w:val="left" w:pos="960"/>
        <w:tab w:val="left" w:pos="1440"/>
        <w:tab w:val="left" w:pos="1920"/>
        <w:tab w:val="left" w:pos="2400"/>
        <w:tab w:val="left" w:pos="2880"/>
        <w:tab w:val="left" w:pos="3360"/>
        <w:tab w:val="left" w:pos="378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960" w:hanging="960"/>
      <w:textAlignment w:val="baseline"/>
    </w:pPr>
    <w:rPr>
      <w:rFonts w:ascii="Arial" w:hAnsi="Arial"/>
      <w:snapToGrid/>
      <w:sz w:val="20"/>
    </w:rPr>
  </w:style>
  <w:style w:type="character" w:customStyle="1" w:styleId="BodyText2Char">
    <w:name w:val="Body Text 2 Char"/>
    <w:link w:val="BodyText2"/>
    <w:rsid w:val="00BE5116"/>
    <w:rPr>
      <w:rFonts w:ascii="Arial" w:hAnsi="Arial"/>
    </w:rPr>
  </w:style>
  <w:style w:type="paragraph" w:styleId="ListParagraph">
    <w:name w:val="List Paragraph"/>
    <w:basedOn w:val="Normal"/>
    <w:uiPriority w:val="34"/>
    <w:qFormat/>
    <w:rsid w:val="00BE5116"/>
    <w:pPr>
      <w:widowControl/>
      <w:overflowPunct w:val="0"/>
      <w:autoSpaceDE w:val="0"/>
      <w:autoSpaceDN w:val="0"/>
      <w:adjustRightInd w:val="0"/>
      <w:ind w:left="720"/>
      <w:contextualSpacing/>
    </w:pPr>
    <w:rPr>
      <w:rFonts w:ascii="Courier New" w:hAnsi="Courier New"/>
      <w:snapToGrid/>
      <w:sz w:val="20"/>
    </w:rPr>
  </w:style>
  <w:style w:type="paragraph" w:styleId="BodyText">
    <w:name w:val="Body Text"/>
    <w:basedOn w:val="Normal"/>
    <w:link w:val="BodyTextChar"/>
    <w:rsid w:val="00140885"/>
    <w:pPr>
      <w:spacing w:after="120"/>
    </w:pPr>
  </w:style>
  <w:style w:type="character" w:customStyle="1" w:styleId="BodyTextChar">
    <w:name w:val="Body Text Char"/>
    <w:link w:val="BodyText"/>
    <w:rsid w:val="00140885"/>
    <w:rPr>
      <w:rFonts w:ascii="Courier" w:hAnsi="Courier"/>
      <w:snapToGrid w:val="0"/>
      <w:sz w:val="24"/>
    </w:rPr>
  </w:style>
  <w:style w:type="character" w:styleId="CommentReference">
    <w:name w:val="annotation reference"/>
    <w:rsid w:val="002F74B5"/>
    <w:rPr>
      <w:sz w:val="16"/>
      <w:szCs w:val="16"/>
    </w:rPr>
  </w:style>
  <w:style w:type="paragraph" w:styleId="CommentText">
    <w:name w:val="annotation text"/>
    <w:basedOn w:val="Normal"/>
    <w:link w:val="CommentTextChar"/>
    <w:rsid w:val="002F74B5"/>
    <w:rPr>
      <w:sz w:val="20"/>
    </w:rPr>
  </w:style>
  <w:style w:type="character" w:customStyle="1" w:styleId="CommentTextChar">
    <w:name w:val="Comment Text Char"/>
    <w:link w:val="CommentText"/>
    <w:rsid w:val="002F74B5"/>
    <w:rPr>
      <w:rFonts w:ascii="Courier" w:hAnsi="Courier"/>
      <w:snapToGrid w:val="0"/>
    </w:rPr>
  </w:style>
  <w:style w:type="paragraph" w:styleId="CommentSubject">
    <w:name w:val="annotation subject"/>
    <w:basedOn w:val="CommentText"/>
    <w:next w:val="CommentText"/>
    <w:link w:val="CommentSubjectChar"/>
    <w:rsid w:val="002F74B5"/>
    <w:rPr>
      <w:b/>
      <w:bCs/>
    </w:rPr>
  </w:style>
  <w:style w:type="character" w:customStyle="1" w:styleId="CommentSubjectChar">
    <w:name w:val="Comment Subject Char"/>
    <w:link w:val="CommentSubject"/>
    <w:rsid w:val="002F74B5"/>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1D298-BEB3-4D4C-B059-CD5C8B64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UDAAP RESO W/ 696 TAX EXEMPTIONS</vt:lpstr>
    </vt:vector>
  </TitlesOfParts>
  <Company>NYC Council</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UDAAP RESO W/ 696 TAX EXEMPTIONS</dc:title>
  <dc:subject/>
  <dc:creator>NYC Council</dc:creator>
  <cp:keywords/>
  <cp:lastModifiedBy>DelFranco, Ruthie</cp:lastModifiedBy>
  <cp:revision>4</cp:revision>
  <cp:lastPrinted>2016-10-31T17:34:00Z</cp:lastPrinted>
  <dcterms:created xsi:type="dcterms:W3CDTF">2020-09-15T16:19:00Z</dcterms:created>
  <dcterms:modified xsi:type="dcterms:W3CDTF">2020-09-15T21:55:00Z</dcterms:modified>
</cp:coreProperties>
</file>