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0084" w14:textId="214CABAF" w:rsidR="00A46411" w:rsidRPr="00A46411" w:rsidRDefault="00A46411" w:rsidP="00E37A80">
      <w:pPr>
        <w:jc w:val="center"/>
        <w:rPr>
          <w:rFonts w:ascii="Times" w:eastAsia="Times New Roman" w:hAnsi="Times" w:cs="Arial"/>
          <w:color w:val="000000" w:themeColor="text1"/>
          <w:shd w:val="clear" w:color="auto" w:fill="FEFEFE"/>
        </w:rPr>
      </w:pPr>
      <w:r w:rsidRPr="00A46411">
        <w:rPr>
          <w:rFonts w:ascii="Times" w:eastAsia="Times New Roman" w:hAnsi="Times" w:cs="Arial"/>
          <w:color w:val="000000" w:themeColor="text1"/>
          <w:shd w:val="clear" w:color="auto" w:fill="FEFEFE"/>
        </w:rPr>
        <w:t>Res. No.</w:t>
      </w:r>
      <w:r w:rsidR="003C3BE3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 1386</w:t>
      </w:r>
    </w:p>
    <w:p w14:paraId="62669A4C" w14:textId="77777777" w:rsidR="00A46411" w:rsidRPr="00A46411" w:rsidRDefault="00A46411" w:rsidP="0082628B">
      <w:pPr>
        <w:rPr>
          <w:rFonts w:ascii="Times" w:eastAsia="Times New Roman" w:hAnsi="Times" w:cs="Arial"/>
          <w:color w:val="000000" w:themeColor="text1"/>
          <w:shd w:val="clear" w:color="auto" w:fill="FEFEFE"/>
        </w:rPr>
      </w:pPr>
    </w:p>
    <w:p w14:paraId="69775600" w14:textId="77777777" w:rsidR="0082628B" w:rsidRPr="0082628B" w:rsidRDefault="0082628B" w:rsidP="00E37A80">
      <w:pPr>
        <w:jc w:val="both"/>
        <w:rPr>
          <w:rFonts w:ascii="Times" w:eastAsia="Times New Roman" w:hAnsi="Times" w:cs="Arial"/>
          <w:vanish/>
          <w:color w:val="000000" w:themeColor="text1"/>
          <w:shd w:val="clear" w:color="auto" w:fill="FEFEFE"/>
        </w:rPr>
      </w:pPr>
      <w:r w:rsidRPr="0082628B">
        <w:rPr>
          <w:rFonts w:ascii="Times" w:eastAsia="Times New Roman" w:hAnsi="Times" w:cs="Arial"/>
          <w:vanish/>
          <w:color w:val="000000" w:themeColor="text1"/>
          <w:shd w:val="clear" w:color="auto" w:fill="FEFEFE"/>
        </w:rPr>
        <w:t>..Title</w:t>
      </w:r>
    </w:p>
    <w:p w14:paraId="26EAB272" w14:textId="6DDBFB22" w:rsidR="00D47F0A" w:rsidRDefault="00D47F0A" w:rsidP="00E37A80">
      <w:pPr>
        <w:jc w:val="both"/>
        <w:rPr>
          <w:rFonts w:ascii="Times" w:eastAsia="Times New Roman" w:hAnsi="Times" w:cs="Arial"/>
          <w:color w:val="000000" w:themeColor="text1"/>
          <w:shd w:val="clear" w:color="auto" w:fill="FEFEFE"/>
        </w:rPr>
      </w:pPr>
      <w:r w:rsidRPr="00D47F0A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Resolution calling upon the New York State Legislature to adopt and the Governor to sign legislation </w:t>
      </w:r>
      <w:r w:rsidR="00E24EAA">
        <w:rPr>
          <w:rFonts w:ascii="Times" w:eastAsia="Times New Roman" w:hAnsi="Times" w:cs="Arial"/>
          <w:color w:val="000000" w:themeColor="text1"/>
          <w:shd w:val="clear" w:color="auto" w:fill="FEFEFE"/>
        </w:rPr>
        <w:t>to chang</w:t>
      </w:r>
      <w:r w:rsidR="00E37A80">
        <w:rPr>
          <w:rFonts w:ascii="Times" w:eastAsia="Times New Roman" w:hAnsi="Times" w:cs="Arial"/>
          <w:color w:val="000000" w:themeColor="text1"/>
          <w:shd w:val="clear" w:color="auto" w:fill="FEFEFE"/>
        </w:rPr>
        <w:t>e</w:t>
      </w:r>
      <w:r w:rsidR="00E24EAA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 the renewal period from one year to two years for the Disabled Homeowners’ Exemption</w:t>
      </w:r>
      <w:r w:rsidR="0082628B">
        <w:rPr>
          <w:rFonts w:ascii="Times" w:eastAsia="Times New Roman" w:hAnsi="Times" w:cs="Arial"/>
          <w:color w:val="000000" w:themeColor="text1"/>
          <w:shd w:val="clear" w:color="auto" w:fill="FEFEFE"/>
        </w:rPr>
        <w:t>.</w:t>
      </w:r>
    </w:p>
    <w:p w14:paraId="2B3E307A" w14:textId="07407873" w:rsidR="0082628B" w:rsidRPr="0082628B" w:rsidRDefault="0082628B" w:rsidP="00E37A80">
      <w:pPr>
        <w:jc w:val="both"/>
        <w:rPr>
          <w:rFonts w:ascii="Times" w:eastAsia="Times New Roman" w:hAnsi="Times" w:cs="Arial"/>
          <w:vanish/>
          <w:color w:val="000000" w:themeColor="text1"/>
          <w:shd w:val="clear" w:color="auto" w:fill="FEFEFE"/>
        </w:rPr>
      </w:pPr>
      <w:r w:rsidRPr="0082628B">
        <w:rPr>
          <w:rFonts w:ascii="Times" w:eastAsia="Times New Roman" w:hAnsi="Times" w:cs="Arial"/>
          <w:vanish/>
          <w:color w:val="000000" w:themeColor="text1"/>
          <w:shd w:val="clear" w:color="auto" w:fill="FEFEFE"/>
        </w:rPr>
        <w:t>..Body</w:t>
      </w:r>
    </w:p>
    <w:p w14:paraId="2762DA1A" w14:textId="77777777" w:rsidR="00D47F0A" w:rsidRPr="00A46411" w:rsidRDefault="00D47F0A">
      <w:pPr>
        <w:jc w:val="both"/>
        <w:rPr>
          <w:rFonts w:ascii="Times" w:eastAsia="Times New Roman" w:hAnsi="Times" w:cs="Arial"/>
          <w:color w:val="000000" w:themeColor="text1"/>
          <w:shd w:val="clear" w:color="auto" w:fill="FEFEFE"/>
        </w:rPr>
      </w:pPr>
    </w:p>
    <w:p w14:paraId="3517CD39" w14:textId="2D93D187" w:rsidR="0019079B" w:rsidRDefault="00E51598">
      <w:pPr>
        <w:jc w:val="both"/>
        <w:rPr>
          <w:rFonts w:ascii="Times" w:eastAsia="Times New Roman" w:hAnsi="Times" w:cs="Arial"/>
          <w:color w:val="000000" w:themeColor="text1"/>
          <w:shd w:val="clear" w:color="auto" w:fill="FEFEFE"/>
        </w:rPr>
      </w:pPr>
      <w:r>
        <w:rPr>
          <w:rFonts w:ascii="Times" w:eastAsia="Times New Roman" w:hAnsi="Times" w:cs="Arial"/>
          <w:color w:val="000000" w:themeColor="text1"/>
          <w:shd w:val="clear" w:color="auto" w:fill="FEFEFE"/>
        </w:rPr>
        <w:t>By Council Members Vallone, Yeger and Chin</w:t>
      </w:r>
    </w:p>
    <w:p w14:paraId="1AD9F658" w14:textId="77777777" w:rsidR="00E51598" w:rsidRDefault="00E51598">
      <w:pPr>
        <w:jc w:val="both"/>
        <w:rPr>
          <w:rFonts w:ascii="Times" w:eastAsia="Times New Roman" w:hAnsi="Times" w:cs="Arial"/>
          <w:color w:val="000000" w:themeColor="text1"/>
          <w:shd w:val="clear" w:color="auto" w:fill="FEFEFE"/>
        </w:rPr>
      </w:pPr>
      <w:bookmarkStart w:id="0" w:name="_GoBack"/>
      <w:bookmarkEnd w:id="0"/>
    </w:p>
    <w:p w14:paraId="7595E1B0" w14:textId="6A8FDCFA" w:rsidR="00E37A80" w:rsidRDefault="005C766D" w:rsidP="00E37A80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" w:hAnsi="Times" w:cs="Arial"/>
          <w:color w:val="000000" w:themeColor="text1"/>
          <w:shd w:val="clear" w:color="auto" w:fill="FEFEFE"/>
        </w:rPr>
      </w:pPr>
      <w:r w:rsidRPr="00C71062">
        <w:rPr>
          <w:rFonts w:ascii="Times" w:hAnsi="Times" w:cs="Arial"/>
          <w:color w:val="000000" w:themeColor="text1"/>
          <w:shd w:val="clear" w:color="auto" w:fill="FEFEFE"/>
        </w:rPr>
        <w:t xml:space="preserve">Whereas, </w:t>
      </w:r>
      <w:r w:rsidR="00386BA0">
        <w:rPr>
          <w:rFonts w:ascii="Times" w:hAnsi="Times" w:cs="Arial"/>
          <w:color w:val="000000" w:themeColor="text1"/>
          <w:shd w:val="clear" w:color="auto" w:fill="FEFEFE"/>
        </w:rPr>
        <w:t xml:space="preserve">The 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>Senior Citizen Homeowners' Exemption</w:t>
      </w:r>
      <w:r w:rsidR="00386BA0">
        <w:rPr>
          <w:rFonts w:ascii="Times" w:hAnsi="Times" w:cs="Arial"/>
          <w:color w:val="000000" w:themeColor="text1"/>
          <w:shd w:val="clear" w:color="auto" w:fill="FEFEFE"/>
        </w:rPr>
        <w:t xml:space="preserve"> 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>(SCHE) and the Disabled Homeowners' Exemption (DHE) programs provide a property tax exemption of up to 50</w:t>
      </w:r>
      <w:r w:rsidR="00386BA0">
        <w:rPr>
          <w:rFonts w:ascii="Times" w:hAnsi="Times" w:cs="Arial"/>
          <w:color w:val="000000" w:themeColor="text1"/>
          <w:shd w:val="clear" w:color="auto" w:fill="FEFEFE"/>
        </w:rPr>
        <w:t xml:space="preserve"> 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>percent of the assessed value</w:t>
      </w:r>
      <w:r w:rsidR="00E37A80">
        <w:rPr>
          <w:rFonts w:ascii="Times" w:hAnsi="Times" w:cs="Arial"/>
          <w:color w:val="000000" w:themeColor="text1"/>
          <w:shd w:val="clear" w:color="auto" w:fill="FEFEFE"/>
        </w:rPr>
        <w:t xml:space="preserve"> of real property owned by eligible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 xml:space="preserve"> senior </w:t>
      </w:r>
      <w:r w:rsidR="00E37A80">
        <w:rPr>
          <w:rFonts w:ascii="Times" w:hAnsi="Times" w:cs="Arial"/>
          <w:color w:val="000000" w:themeColor="text1"/>
          <w:shd w:val="clear" w:color="auto" w:fill="FEFEFE"/>
        </w:rPr>
        <w:t>citizens or people with disabilities; and</w:t>
      </w:r>
    </w:p>
    <w:p w14:paraId="63BF536F" w14:textId="163CAB8F" w:rsidR="00E37A80" w:rsidRDefault="00E37A80" w:rsidP="00E37A80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" w:hAnsi="Times" w:cs="Arial"/>
          <w:color w:val="000000" w:themeColor="text1"/>
          <w:shd w:val="clear" w:color="auto" w:fill="FEFEFE"/>
        </w:rPr>
      </w:pPr>
      <w:r>
        <w:rPr>
          <w:rFonts w:ascii="Times" w:hAnsi="Times" w:cs="Arial"/>
          <w:color w:val="000000" w:themeColor="text1"/>
          <w:shd w:val="clear" w:color="auto" w:fill="FEFEFE"/>
        </w:rPr>
        <w:t xml:space="preserve">Whereas, To qualify, the property owner’s income must </w:t>
      </w:r>
      <w:r w:rsidR="00515C72">
        <w:rPr>
          <w:rFonts w:ascii="Times" w:hAnsi="Times" w:cs="Arial"/>
          <w:color w:val="000000" w:themeColor="text1"/>
          <w:shd w:val="clear" w:color="auto" w:fill="FEFEFE"/>
        </w:rPr>
        <w:t>not exceed $58,399</w:t>
      </w:r>
      <w:r>
        <w:rPr>
          <w:rFonts w:ascii="Times" w:hAnsi="Times" w:cs="Arial"/>
          <w:color w:val="000000" w:themeColor="text1"/>
          <w:shd w:val="clear" w:color="auto" w:fill="FEFEFE"/>
        </w:rPr>
        <w:t xml:space="preserve"> and the property must be a</w:t>
      </w:r>
      <w:r w:rsidRPr="00386BA0">
        <w:rPr>
          <w:rFonts w:ascii="Times" w:hAnsi="Times" w:cs="Arial"/>
          <w:color w:val="000000" w:themeColor="text1"/>
          <w:shd w:val="clear" w:color="auto" w:fill="FEFEFE"/>
        </w:rPr>
        <w:t xml:space="preserve"> 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 xml:space="preserve">one-, two-, or three-family home, </w:t>
      </w:r>
      <w:r>
        <w:rPr>
          <w:rFonts w:ascii="Times" w:hAnsi="Times" w:cs="Arial"/>
          <w:color w:val="000000" w:themeColor="text1"/>
          <w:shd w:val="clear" w:color="auto" w:fill="FEFEFE"/>
        </w:rPr>
        <w:t xml:space="preserve">a 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 xml:space="preserve">condominium, or </w:t>
      </w:r>
      <w:r>
        <w:rPr>
          <w:rFonts w:ascii="Times" w:hAnsi="Times" w:cs="Arial"/>
          <w:color w:val="000000" w:themeColor="text1"/>
          <w:shd w:val="clear" w:color="auto" w:fill="FEFEFE"/>
        </w:rPr>
        <w:t xml:space="preserve">a </w:t>
      </w:r>
      <w:r w:rsidR="00386BA0" w:rsidRPr="00386BA0">
        <w:rPr>
          <w:rFonts w:ascii="Times" w:hAnsi="Times" w:cs="Arial"/>
          <w:color w:val="000000" w:themeColor="text1"/>
          <w:shd w:val="clear" w:color="auto" w:fill="FEFEFE"/>
        </w:rPr>
        <w:t xml:space="preserve">cooperative apartment </w:t>
      </w:r>
      <w:r>
        <w:rPr>
          <w:rFonts w:ascii="Times" w:hAnsi="Times" w:cs="Arial"/>
          <w:color w:val="000000" w:themeColor="text1"/>
          <w:shd w:val="clear" w:color="auto" w:fill="FEFEFE"/>
        </w:rPr>
        <w:t>that is</w:t>
      </w:r>
      <w:r w:rsidR="0051384B" w:rsidRPr="0051384B">
        <w:rPr>
          <w:rFonts w:ascii="Times" w:hAnsi="Times" w:cs="Arial"/>
          <w:color w:val="000000" w:themeColor="text1"/>
          <w:shd w:val="clear" w:color="auto" w:fill="FEFEFE"/>
        </w:rPr>
        <w:t xml:space="preserve"> used exclusively for residential purposes</w:t>
      </w:r>
      <w:r>
        <w:rPr>
          <w:rFonts w:ascii="Times" w:hAnsi="Times" w:cs="Arial"/>
          <w:color w:val="000000" w:themeColor="text1"/>
          <w:shd w:val="clear" w:color="auto" w:fill="FEFEFE"/>
        </w:rPr>
        <w:t>; and</w:t>
      </w:r>
    </w:p>
    <w:p w14:paraId="43E618EB" w14:textId="71DA18E5" w:rsidR="00E37A80" w:rsidRDefault="0051384B" w:rsidP="00E37A80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C71062">
        <w:rPr>
          <w:color w:val="000000"/>
        </w:rPr>
        <w:t xml:space="preserve">Whereas, The SCHE benefit </w:t>
      </w:r>
      <w:r w:rsidR="00E37A80">
        <w:rPr>
          <w:color w:val="000000"/>
        </w:rPr>
        <w:t>only needs to be renewed every two years, but the DHE benefit needs to be renewed every year; and</w:t>
      </w:r>
      <w:r w:rsidR="00E37A80" w:rsidRPr="00C71062">
        <w:rPr>
          <w:color w:val="000000"/>
        </w:rPr>
        <w:t xml:space="preserve"> </w:t>
      </w:r>
    </w:p>
    <w:p w14:paraId="0B5FDABD" w14:textId="020DF15B" w:rsidR="0051384B" w:rsidRDefault="00E37A80" w:rsidP="00E37A80">
      <w:pPr>
        <w:pStyle w:val="NormalWeb"/>
        <w:spacing w:before="0" w:beforeAutospacing="0" w:after="0" w:afterAutospacing="0" w:line="480" w:lineRule="auto"/>
        <w:ind w:firstLine="720"/>
        <w:jc w:val="both"/>
        <w:rPr>
          <w:rStyle w:val="apple-converted-space"/>
          <w:color w:val="000000"/>
        </w:rPr>
      </w:pPr>
      <w:r>
        <w:rPr>
          <w:color w:val="000000"/>
        </w:rPr>
        <w:t>Whereas, Failure to renew means that the benefit would be discontinued and the property owner could face a</w:t>
      </w:r>
      <w:r w:rsidR="0051384B" w:rsidRPr="00C71062">
        <w:rPr>
          <w:color w:val="000000"/>
        </w:rPr>
        <w:t xml:space="preserve"> significant</w:t>
      </w:r>
      <w:r>
        <w:rPr>
          <w:color w:val="000000"/>
        </w:rPr>
        <w:t>ly higher</w:t>
      </w:r>
      <w:r w:rsidR="0051384B">
        <w:rPr>
          <w:rStyle w:val="apple-converted-space"/>
          <w:color w:val="000000"/>
        </w:rPr>
        <w:t xml:space="preserve"> property </w:t>
      </w:r>
      <w:r w:rsidR="0051384B" w:rsidRPr="00C71062">
        <w:rPr>
          <w:color w:val="000000"/>
        </w:rPr>
        <w:t xml:space="preserve">tax </w:t>
      </w:r>
      <w:r>
        <w:rPr>
          <w:color w:val="000000"/>
        </w:rPr>
        <w:t>bill</w:t>
      </w:r>
      <w:r w:rsidR="0051384B" w:rsidRPr="00C71062">
        <w:rPr>
          <w:color w:val="000000"/>
        </w:rPr>
        <w:t>; and</w:t>
      </w:r>
      <w:r w:rsidR="0051384B" w:rsidRPr="00C71062">
        <w:rPr>
          <w:rStyle w:val="apple-converted-space"/>
          <w:color w:val="000000"/>
        </w:rPr>
        <w:t> </w:t>
      </w:r>
    </w:p>
    <w:p w14:paraId="7FA3389D" w14:textId="390E2630" w:rsidR="004106B3" w:rsidRDefault="00406932" w:rsidP="004106B3">
      <w:pPr>
        <w:pStyle w:val="NormalWeb"/>
        <w:spacing w:line="480" w:lineRule="auto"/>
        <w:ind w:firstLine="72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Whereas, </w:t>
      </w:r>
      <w:r w:rsidR="00045A08">
        <w:rPr>
          <w:rStyle w:val="apple-converted-space"/>
          <w:color w:val="000000"/>
        </w:rPr>
        <w:t xml:space="preserve">In New York City, the number of SCHE and DHE exemptions provided were </w:t>
      </w:r>
      <w:r w:rsidR="00B34F61">
        <w:rPr>
          <w:rStyle w:val="apple-converted-space"/>
          <w:color w:val="000000"/>
        </w:rPr>
        <w:t>approximately</w:t>
      </w:r>
      <w:r w:rsidR="00045A08">
        <w:rPr>
          <w:rStyle w:val="apple-converted-space"/>
          <w:color w:val="000000"/>
        </w:rPr>
        <w:t xml:space="preserve"> </w:t>
      </w:r>
      <w:r w:rsidR="00045A08" w:rsidRPr="00045A08">
        <w:rPr>
          <w:rStyle w:val="apple-converted-space"/>
          <w:color w:val="000000"/>
        </w:rPr>
        <w:t>48,483</w:t>
      </w:r>
      <w:r w:rsidR="00045A08">
        <w:rPr>
          <w:rStyle w:val="apple-converted-space"/>
          <w:color w:val="000000"/>
        </w:rPr>
        <w:t xml:space="preserve"> and </w:t>
      </w:r>
      <w:r w:rsidR="00045A08" w:rsidRPr="00045A08">
        <w:rPr>
          <w:rStyle w:val="apple-converted-space"/>
          <w:color w:val="000000"/>
        </w:rPr>
        <w:t>2,888</w:t>
      </w:r>
      <w:r w:rsidR="00045A08">
        <w:rPr>
          <w:rStyle w:val="apple-converted-space"/>
          <w:color w:val="000000"/>
        </w:rPr>
        <w:t xml:space="preserve">, respectively, according to the New York City Department of Finance, </w:t>
      </w:r>
      <w:r w:rsidR="00045A08" w:rsidRPr="00B34F61">
        <w:rPr>
          <w:rStyle w:val="apple-converted-space"/>
          <w:i/>
          <w:iCs/>
          <w:color w:val="000000"/>
        </w:rPr>
        <w:t>Fiscal Year 202</w:t>
      </w:r>
      <w:r w:rsidR="002B2090">
        <w:rPr>
          <w:rStyle w:val="apple-converted-space"/>
          <w:i/>
          <w:iCs/>
          <w:color w:val="000000"/>
        </w:rPr>
        <w:t>0</w:t>
      </w:r>
      <w:r w:rsidR="00045A08" w:rsidRPr="00B34F61">
        <w:rPr>
          <w:rStyle w:val="apple-converted-space"/>
          <w:i/>
          <w:iCs/>
          <w:color w:val="000000"/>
        </w:rPr>
        <w:t xml:space="preserve"> Annual Report on Tax Expenditures</w:t>
      </w:r>
      <w:r w:rsidR="00045A08">
        <w:rPr>
          <w:rStyle w:val="apple-converted-space"/>
          <w:color w:val="000000"/>
        </w:rPr>
        <w:t xml:space="preserve">; and </w:t>
      </w:r>
    </w:p>
    <w:p w14:paraId="6ECC9998" w14:textId="2D6975D0" w:rsidR="0093521C" w:rsidRDefault="0093521C" w:rsidP="002B2090">
      <w:pPr>
        <w:pStyle w:val="NormalWeb"/>
        <w:spacing w:line="480" w:lineRule="auto"/>
        <w:ind w:firstLine="72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Whereas, Additionally, </w:t>
      </w:r>
      <w:r w:rsidR="002B2090">
        <w:rPr>
          <w:rStyle w:val="apple-converted-space"/>
          <w:color w:val="000000"/>
        </w:rPr>
        <w:t xml:space="preserve">in Fiscal 2020, </w:t>
      </w:r>
      <w:r>
        <w:rPr>
          <w:rStyle w:val="apple-converted-space"/>
          <w:color w:val="000000"/>
        </w:rPr>
        <w:t>the number of DHE renewal applications received and processed by the City was about 2,777</w:t>
      </w:r>
      <w:r w:rsidR="002B2090">
        <w:rPr>
          <w:rStyle w:val="apple-converted-space"/>
          <w:color w:val="000000"/>
        </w:rPr>
        <w:t>, representing 96 percent of all DHE exemptions provided that year</w:t>
      </w:r>
      <w:r>
        <w:rPr>
          <w:rStyle w:val="apple-converted-space"/>
          <w:color w:val="000000"/>
        </w:rPr>
        <w:t xml:space="preserve">, according to </w:t>
      </w:r>
      <w:r w:rsidR="00C829F2">
        <w:rPr>
          <w:rStyle w:val="apple-converted-space"/>
          <w:color w:val="000000"/>
        </w:rPr>
        <w:t>the</w:t>
      </w:r>
      <w:r>
        <w:rPr>
          <w:rStyle w:val="apple-converted-space"/>
          <w:color w:val="000000"/>
        </w:rPr>
        <w:t xml:space="preserve"> </w:t>
      </w:r>
      <w:r w:rsidRPr="00B34F61">
        <w:rPr>
          <w:rStyle w:val="apple-converted-space"/>
          <w:i/>
          <w:iCs/>
          <w:color w:val="000000"/>
        </w:rPr>
        <w:t>Fiscal 2020</w:t>
      </w:r>
      <w:r w:rsidR="00C829F2">
        <w:rPr>
          <w:rStyle w:val="apple-converted-space"/>
          <w:i/>
          <w:iCs/>
          <w:color w:val="000000"/>
        </w:rPr>
        <w:t xml:space="preserve"> Preliminary</w:t>
      </w:r>
      <w:r w:rsidRPr="00B34F61">
        <w:rPr>
          <w:rStyle w:val="apple-converted-space"/>
          <w:i/>
          <w:iCs/>
          <w:color w:val="000000"/>
        </w:rPr>
        <w:t xml:space="preserve"> Mayor’s Management Report</w:t>
      </w:r>
      <w:r>
        <w:rPr>
          <w:rStyle w:val="apple-converted-space"/>
          <w:color w:val="000000"/>
        </w:rPr>
        <w:t xml:space="preserve">; and </w:t>
      </w:r>
    </w:p>
    <w:p w14:paraId="349965A3" w14:textId="1B15A8D2" w:rsidR="00A97694" w:rsidRDefault="00A97694" w:rsidP="00E37A80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Whereas, To be consistent with the SCHE renewal requirements, the renewal period for</w:t>
      </w:r>
      <w:r w:rsidR="00A215F7">
        <w:rPr>
          <w:color w:val="000000"/>
        </w:rPr>
        <w:t xml:space="preserve"> DHE benefits should be changed from renewing every year to every two years; and</w:t>
      </w:r>
    </w:p>
    <w:p w14:paraId="28FA3497" w14:textId="4CF83DC7" w:rsidR="002B2090" w:rsidRDefault="002B2090" w:rsidP="00B34F61">
      <w:pPr>
        <w:pStyle w:val="NormalWeb"/>
        <w:spacing w:line="480" w:lineRule="auto"/>
        <w:ind w:firstLine="720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Whereas, </w:t>
      </w:r>
      <w:r w:rsidR="00B0323C">
        <w:rPr>
          <w:rStyle w:val="apple-converted-space"/>
          <w:color w:val="000000"/>
        </w:rPr>
        <w:t>C</w:t>
      </w:r>
      <w:r>
        <w:rPr>
          <w:rStyle w:val="apple-converted-space"/>
          <w:color w:val="000000"/>
        </w:rPr>
        <w:t xml:space="preserve">hanging the DHE renewal period to two years would alleviate the administrative burden of processing renewal applications each year; and </w:t>
      </w:r>
    </w:p>
    <w:p w14:paraId="0637AAA3" w14:textId="378EC595" w:rsidR="007B5BA5" w:rsidRDefault="007B5BA5" w:rsidP="00560697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 w:rsidR="002B2090">
        <w:rPr>
          <w:color w:val="000000"/>
        </w:rPr>
        <w:t>Additionally</w:t>
      </w:r>
      <w:r>
        <w:rPr>
          <w:color w:val="000000"/>
        </w:rPr>
        <w:t>, it may potentially allow more eligible DHE recipients to take advantage of tax exemption</w:t>
      </w:r>
      <w:r w:rsidR="002B2090">
        <w:rPr>
          <w:color w:val="000000"/>
        </w:rPr>
        <w:t xml:space="preserve"> by not needing to reapply year after year</w:t>
      </w:r>
      <w:r w:rsidR="000A26DC">
        <w:rPr>
          <w:color w:val="000000"/>
        </w:rPr>
        <w:t xml:space="preserve">, </w:t>
      </w:r>
      <w:r w:rsidR="002B2090">
        <w:rPr>
          <w:color w:val="000000"/>
        </w:rPr>
        <w:t>allowing them to</w:t>
      </w:r>
      <w:r w:rsidR="000A26DC">
        <w:rPr>
          <w:color w:val="000000"/>
        </w:rPr>
        <w:t xml:space="preserve"> </w:t>
      </w:r>
      <w:r>
        <w:rPr>
          <w:color w:val="000000"/>
        </w:rPr>
        <w:t xml:space="preserve">remain in their homes; </w:t>
      </w:r>
      <w:r w:rsidR="00E37A80">
        <w:rPr>
          <w:color w:val="000000"/>
        </w:rPr>
        <w:t xml:space="preserve">now, therefore, be it </w:t>
      </w:r>
    </w:p>
    <w:p w14:paraId="0B458DE1" w14:textId="64345518" w:rsidR="007F74B7" w:rsidRPr="00A46411" w:rsidRDefault="00A46411" w:rsidP="00E37A80">
      <w:pPr>
        <w:spacing w:line="480" w:lineRule="auto"/>
        <w:jc w:val="both"/>
        <w:rPr>
          <w:rFonts w:ascii="Times" w:eastAsia="Times New Roman" w:hAnsi="Times" w:cs="Arial"/>
          <w:color w:val="000000" w:themeColor="text1"/>
          <w:shd w:val="clear" w:color="auto" w:fill="FEFEFE"/>
        </w:rPr>
      </w:pPr>
      <w:r w:rsidRPr="00A46411">
        <w:rPr>
          <w:rFonts w:ascii="Times" w:eastAsia="Times New Roman" w:hAnsi="Times" w:cs="Arial"/>
          <w:color w:val="000000" w:themeColor="text1"/>
          <w:shd w:val="clear" w:color="auto" w:fill="FEFEFE"/>
        </w:rPr>
        <w:tab/>
      </w:r>
      <w:r w:rsidRPr="00D47F0A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Resolved, That the Council of the City of New York calls </w:t>
      </w:r>
      <w:r w:rsidR="00D47F0A" w:rsidRPr="00D47F0A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upon the New York State Legislature to adopt and the Governor to sign legislation </w:t>
      </w:r>
      <w:r w:rsidR="00A215F7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in relation to changing the renewal period </w:t>
      </w:r>
      <w:r w:rsidR="00E24EAA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from one year to two years </w:t>
      </w:r>
      <w:r w:rsidR="00A215F7">
        <w:rPr>
          <w:rFonts w:ascii="Times" w:eastAsia="Times New Roman" w:hAnsi="Times" w:cs="Arial"/>
          <w:color w:val="000000" w:themeColor="text1"/>
          <w:shd w:val="clear" w:color="auto" w:fill="FEFEFE"/>
        </w:rPr>
        <w:t>for the Disabled Homeowners</w:t>
      </w:r>
      <w:r w:rsidR="00E24EAA">
        <w:rPr>
          <w:rFonts w:ascii="Times" w:eastAsia="Times New Roman" w:hAnsi="Times" w:cs="Arial"/>
          <w:color w:val="000000" w:themeColor="text1"/>
          <w:shd w:val="clear" w:color="auto" w:fill="FEFEFE"/>
        </w:rPr>
        <w:t>’</w:t>
      </w:r>
      <w:r w:rsidR="00A215F7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 Exemption</w:t>
      </w:r>
      <w:r w:rsidR="007B5BA5">
        <w:rPr>
          <w:rFonts w:ascii="Times" w:eastAsia="Times New Roman" w:hAnsi="Times" w:cs="Arial"/>
          <w:color w:val="000000" w:themeColor="text1"/>
          <w:shd w:val="clear" w:color="auto" w:fill="FEFEFE"/>
        </w:rPr>
        <w:t xml:space="preserve">. </w:t>
      </w:r>
    </w:p>
    <w:p w14:paraId="0660B753" w14:textId="77777777" w:rsidR="00A46411" w:rsidRPr="007F74B7" w:rsidRDefault="00A46411" w:rsidP="00E37A80">
      <w:pPr>
        <w:jc w:val="both"/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</w:pPr>
      <w:r w:rsidRPr="007F74B7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SR</w:t>
      </w:r>
    </w:p>
    <w:p w14:paraId="4765B10D" w14:textId="15F2D4D6" w:rsidR="00A46411" w:rsidRPr="007F74B7" w:rsidRDefault="00A46411" w:rsidP="00E37A80">
      <w:pPr>
        <w:jc w:val="both"/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</w:pPr>
      <w:r w:rsidRPr="007F74B7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LS 1</w:t>
      </w:r>
      <w:r w:rsidR="00EC1F69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4</w:t>
      </w:r>
      <w:r w:rsidR="005C766D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,</w:t>
      </w:r>
      <w:r w:rsidR="00C71062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631</w:t>
      </w:r>
    </w:p>
    <w:p w14:paraId="23461C5D" w14:textId="10DE7169" w:rsidR="00F2582E" w:rsidRPr="007F74B7" w:rsidRDefault="005C766D">
      <w:pPr>
        <w:jc w:val="both"/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6/</w:t>
      </w:r>
      <w:r w:rsidR="00A215F7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23</w:t>
      </w:r>
      <w:r w:rsidR="00C71062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/</w:t>
      </w:r>
      <w:r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EFEFE"/>
        </w:rPr>
        <w:t>2020</w:t>
      </w:r>
    </w:p>
    <w:p w14:paraId="44B60095" w14:textId="77777777" w:rsidR="00683FF2" w:rsidRPr="00A46411" w:rsidRDefault="00683FF2">
      <w:pPr>
        <w:spacing w:line="480" w:lineRule="auto"/>
        <w:jc w:val="both"/>
        <w:rPr>
          <w:rFonts w:ascii="Times" w:hAnsi="Times"/>
          <w:color w:val="000000" w:themeColor="text1"/>
        </w:rPr>
      </w:pPr>
    </w:p>
    <w:sectPr w:rsidR="00683FF2" w:rsidRPr="00A46411" w:rsidSect="00E5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7BB9" w14:textId="77777777" w:rsidR="00A87492" w:rsidRDefault="00A87492" w:rsidP="00732460">
      <w:r>
        <w:separator/>
      </w:r>
    </w:p>
  </w:endnote>
  <w:endnote w:type="continuationSeparator" w:id="0">
    <w:p w14:paraId="0C0D4B8C" w14:textId="77777777" w:rsidR="00A87492" w:rsidRDefault="00A87492" w:rsidP="007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0CDC" w14:textId="77777777" w:rsidR="00A87492" w:rsidRDefault="00A87492" w:rsidP="00732460">
      <w:r>
        <w:separator/>
      </w:r>
    </w:p>
  </w:footnote>
  <w:footnote w:type="continuationSeparator" w:id="0">
    <w:p w14:paraId="67F5B893" w14:textId="77777777" w:rsidR="00A87492" w:rsidRDefault="00A87492" w:rsidP="0073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2"/>
    <w:rsid w:val="00006634"/>
    <w:rsid w:val="00032E3E"/>
    <w:rsid w:val="00045A08"/>
    <w:rsid w:val="000A26DC"/>
    <w:rsid w:val="000B0203"/>
    <w:rsid w:val="0019079B"/>
    <w:rsid w:val="001E34D6"/>
    <w:rsid w:val="001F6B05"/>
    <w:rsid w:val="002654AD"/>
    <w:rsid w:val="00294A62"/>
    <w:rsid w:val="002B2090"/>
    <w:rsid w:val="002B5271"/>
    <w:rsid w:val="002C7831"/>
    <w:rsid w:val="002D7F82"/>
    <w:rsid w:val="00351A71"/>
    <w:rsid w:val="00385AD0"/>
    <w:rsid w:val="00386BA0"/>
    <w:rsid w:val="003C2BA1"/>
    <w:rsid w:val="003C3BE3"/>
    <w:rsid w:val="00406932"/>
    <w:rsid w:val="004106B3"/>
    <w:rsid w:val="0046454C"/>
    <w:rsid w:val="004707DA"/>
    <w:rsid w:val="00483914"/>
    <w:rsid w:val="00484271"/>
    <w:rsid w:val="004B4D77"/>
    <w:rsid w:val="0051384B"/>
    <w:rsid w:val="00515C72"/>
    <w:rsid w:val="005312C7"/>
    <w:rsid w:val="00560697"/>
    <w:rsid w:val="005B302C"/>
    <w:rsid w:val="005C766D"/>
    <w:rsid w:val="00683FF2"/>
    <w:rsid w:val="0070613A"/>
    <w:rsid w:val="00732460"/>
    <w:rsid w:val="00747032"/>
    <w:rsid w:val="007B5BA5"/>
    <w:rsid w:val="007F1BBA"/>
    <w:rsid w:val="007F74B7"/>
    <w:rsid w:val="00820D1F"/>
    <w:rsid w:val="0082628B"/>
    <w:rsid w:val="0093521C"/>
    <w:rsid w:val="009B2B61"/>
    <w:rsid w:val="00A215F7"/>
    <w:rsid w:val="00A46411"/>
    <w:rsid w:val="00A87492"/>
    <w:rsid w:val="00A97694"/>
    <w:rsid w:val="00B0323C"/>
    <w:rsid w:val="00B1448E"/>
    <w:rsid w:val="00B34F61"/>
    <w:rsid w:val="00B44017"/>
    <w:rsid w:val="00C71062"/>
    <w:rsid w:val="00C829F2"/>
    <w:rsid w:val="00CA1DAE"/>
    <w:rsid w:val="00D47F0A"/>
    <w:rsid w:val="00D63718"/>
    <w:rsid w:val="00D833A2"/>
    <w:rsid w:val="00E057E4"/>
    <w:rsid w:val="00E24EAA"/>
    <w:rsid w:val="00E305F9"/>
    <w:rsid w:val="00E37A80"/>
    <w:rsid w:val="00E51598"/>
    <w:rsid w:val="00E5550C"/>
    <w:rsid w:val="00EC1F69"/>
    <w:rsid w:val="00F2582E"/>
    <w:rsid w:val="00F63B8A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443E"/>
  <w15:chartTrackingRefBased/>
  <w15:docId w15:val="{8CBCB2AB-0462-2C42-A663-0B01185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48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0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4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4A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1062"/>
  </w:style>
  <w:style w:type="paragraph" w:styleId="Header">
    <w:name w:val="header"/>
    <w:basedOn w:val="Normal"/>
    <w:link w:val="HeaderChar"/>
    <w:uiPriority w:val="99"/>
    <w:unhideWhenUsed/>
    <w:rsid w:val="00732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460"/>
  </w:style>
  <w:style w:type="paragraph" w:styleId="Footer">
    <w:name w:val="footer"/>
    <w:basedOn w:val="Normal"/>
    <w:link w:val="FooterChar"/>
    <w:uiPriority w:val="99"/>
    <w:unhideWhenUsed/>
    <w:rsid w:val="00732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10</cp:revision>
  <dcterms:created xsi:type="dcterms:W3CDTF">2020-07-06T16:18:00Z</dcterms:created>
  <dcterms:modified xsi:type="dcterms:W3CDTF">2020-08-19T19:42:00Z</dcterms:modified>
</cp:coreProperties>
</file>