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CE" w:rsidRPr="00C63CCE" w:rsidRDefault="00C63CCE" w:rsidP="00C63CCE">
      <w:pPr>
        <w:ind w:firstLine="0"/>
        <w:jc w:val="center"/>
        <w:rPr>
          <w:rFonts w:ascii="-webkit-standard" w:eastAsia="Calibri" w:hAnsi="-webkit-standard"/>
          <w:color w:val="000000"/>
          <w:sz w:val="20"/>
          <w:szCs w:val="20"/>
        </w:rPr>
      </w:pPr>
      <w:r w:rsidRPr="00C63CCE">
        <w:rPr>
          <w:rFonts w:eastAsia="Calibri"/>
          <w:color w:val="000000"/>
        </w:rPr>
        <w:t>Proposed Int. No.</w:t>
      </w:r>
      <w:r>
        <w:rPr>
          <w:rFonts w:eastAsia="Calibri"/>
          <w:color w:val="000000"/>
        </w:rPr>
        <w:t xml:space="preserve"> 536</w:t>
      </w:r>
      <w:r w:rsidRPr="00C63CCE">
        <w:rPr>
          <w:rFonts w:eastAsia="Calibri"/>
          <w:color w:val="000000"/>
        </w:rPr>
        <w:t>-</w:t>
      </w:r>
      <w:r>
        <w:rPr>
          <w:rFonts w:eastAsia="Calibri"/>
          <w:color w:val="000000"/>
        </w:rPr>
        <w:t>B</w:t>
      </w:r>
    </w:p>
    <w:p w:rsidR="00C63CCE" w:rsidRPr="00C63CCE" w:rsidRDefault="00C63CCE" w:rsidP="00C63CCE">
      <w:pPr>
        <w:ind w:firstLine="0"/>
        <w:rPr>
          <w:rFonts w:ascii="-webkit-standard" w:eastAsia="Calibri" w:hAnsi="-webkit-standard"/>
          <w:color w:val="000000"/>
          <w:sz w:val="20"/>
          <w:szCs w:val="20"/>
        </w:rPr>
      </w:pPr>
      <w:r w:rsidRPr="00C63CCE">
        <w:rPr>
          <w:rFonts w:eastAsia="Calibri"/>
          <w:color w:val="000000"/>
        </w:rPr>
        <w:t> </w:t>
      </w:r>
    </w:p>
    <w:p w:rsidR="0022321D" w:rsidRDefault="0022321D" w:rsidP="0022321D">
      <w:pPr>
        <w:ind w:firstLine="0"/>
        <w:jc w:val="both"/>
        <w:rPr>
          <w:rFonts w:ascii="-webkit-standard" w:eastAsia="Calibri" w:hAnsi="-webkit-standard"/>
          <w:color w:val="000000"/>
          <w:sz w:val="20"/>
          <w:szCs w:val="20"/>
        </w:rPr>
      </w:pPr>
      <w:r>
        <w:rPr>
          <w:color w:val="000000"/>
        </w:rPr>
        <w:t>By Council Members Lancman, the Public Advocate (Mr. Williams), Cornegy, Rosenthal, Constantinides, Levin, Cumbo, Dromm, King, Koo, Reynoso, Chin, Barron, Adams, Rose, Menchaca, Ayala, Ampry-Samuel, Miller, Perkins, Rivera, Kallos, Levine, Torres, Van Bramer, Moya, Lander, Salamanca, Richards, Louis, Treyger, Koslowitz, Brannan, Powers, Gjonaj, Gibson, Eugene, Cohen and the Speaker (Council Member Johnson)</w:t>
      </w:r>
    </w:p>
    <w:p w:rsidR="00E22046" w:rsidRDefault="00E22046" w:rsidP="00C63CCE">
      <w:pPr>
        <w:ind w:firstLine="0"/>
        <w:jc w:val="both"/>
        <w:rPr>
          <w:rFonts w:eastAsia="Calibri"/>
          <w:color w:val="000000"/>
        </w:rPr>
      </w:pPr>
      <w:bookmarkStart w:id="0" w:name="_GoBack"/>
      <w:bookmarkEnd w:id="0"/>
    </w:p>
    <w:p w:rsidR="00C03AD7" w:rsidRPr="00C03AD7" w:rsidRDefault="00C03AD7" w:rsidP="00C63CCE">
      <w:pPr>
        <w:ind w:firstLine="0"/>
        <w:jc w:val="both"/>
        <w:rPr>
          <w:rFonts w:eastAsia="Calibri"/>
          <w:vanish/>
          <w:color w:val="000000"/>
        </w:rPr>
      </w:pPr>
      <w:r w:rsidRPr="00C03AD7">
        <w:rPr>
          <w:rFonts w:eastAsia="Calibri"/>
          <w:vanish/>
          <w:color w:val="000000"/>
        </w:rPr>
        <w:t>..Title</w:t>
      </w:r>
    </w:p>
    <w:p w:rsidR="00C63CCE" w:rsidRDefault="00C03AD7" w:rsidP="00C63CCE">
      <w:pPr>
        <w:ind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A Local Law t</w:t>
      </w:r>
      <w:r w:rsidR="00C63CCE" w:rsidRPr="00C63CCE">
        <w:rPr>
          <w:rFonts w:eastAsia="Calibri"/>
          <w:color w:val="000000"/>
        </w:rPr>
        <w:t>o amend the administrative code of the City of New York, in relation to chokeholds and other such restraints</w:t>
      </w:r>
    </w:p>
    <w:p w:rsidR="00C03AD7" w:rsidRPr="00C03AD7" w:rsidRDefault="00C03AD7" w:rsidP="00C63CCE">
      <w:pPr>
        <w:ind w:firstLine="0"/>
        <w:jc w:val="both"/>
        <w:rPr>
          <w:rFonts w:ascii="-webkit-standard" w:eastAsia="Calibri" w:hAnsi="-webkit-standard"/>
          <w:vanish/>
          <w:color w:val="000000"/>
          <w:sz w:val="20"/>
          <w:szCs w:val="20"/>
        </w:rPr>
      </w:pPr>
      <w:r w:rsidRPr="00C03AD7">
        <w:rPr>
          <w:rFonts w:eastAsia="Calibri"/>
          <w:vanish/>
          <w:color w:val="000000"/>
        </w:rPr>
        <w:t>..Body</w:t>
      </w:r>
    </w:p>
    <w:p w:rsidR="00C63CCE" w:rsidRPr="00C63CCE" w:rsidRDefault="00C63CCE" w:rsidP="00C63CCE">
      <w:pPr>
        <w:ind w:firstLine="0"/>
        <w:rPr>
          <w:rFonts w:ascii="-webkit-standard" w:eastAsia="Calibri" w:hAnsi="-webkit-standard"/>
          <w:color w:val="000000"/>
          <w:sz w:val="20"/>
          <w:szCs w:val="20"/>
        </w:rPr>
      </w:pPr>
      <w:r w:rsidRPr="00C63CCE">
        <w:rPr>
          <w:rFonts w:eastAsia="Calibri"/>
          <w:color w:val="000000"/>
        </w:rPr>
        <w:t> </w:t>
      </w:r>
    </w:p>
    <w:p w:rsidR="00C63CCE" w:rsidRPr="00C63CCE" w:rsidRDefault="00C63CCE" w:rsidP="00C63CCE">
      <w:pPr>
        <w:spacing w:line="480" w:lineRule="auto"/>
        <w:ind w:firstLine="0"/>
        <w:rPr>
          <w:rFonts w:ascii="-webkit-standard" w:eastAsia="Calibri" w:hAnsi="-webkit-standard"/>
          <w:color w:val="000000"/>
          <w:sz w:val="20"/>
          <w:szCs w:val="20"/>
        </w:rPr>
      </w:pPr>
      <w:r w:rsidRPr="00C63CCE">
        <w:rPr>
          <w:rFonts w:eastAsia="Calibri"/>
          <w:color w:val="000000"/>
          <w:u w:val="single"/>
        </w:rPr>
        <w:t>Be it enacted by the Council as follows:</w:t>
      </w:r>
    </w:p>
    <w:p w:rsidR="00C63CCE" w:rsidRPr="00C63CCE" w:rsidRDefault="00C63CCE" w:rsidP="00C63CCE">
      <w:pPr>
        <w:spacing w:line="480" w:lineRule="auto"/>
        <w:jc w:val="both"/>
        <w:rPr>
          <w:rFonts w:ascii="-webkit-standard" w:eastAsia="Calibri" w:hAnsi="-webkit-standard"/>
          <w:color w:val="000000"/>
          <w:sz w:val="20"/>
          <w:szCs w:val="20"/>
        </w:rPr>
      </w:pPr>
      <w:r w:rsidRPr="00C63CCE">
        <w:rPr>
          <w:rFonts w:eastAsia="Calibri"/>
          <w:color w:val="000000"/>
        </w:rPr>
        <w:t>Section 1.  The administrative code of the city of New York is amended by adding a new section 10-18</w:t>
      </w:r>
      <w:r w:rsidR="003876A3">
        <w:rPr>
          <w:rFonts w:eastAsia="Calibri"/>
          <w:color w:val="000000"/>
        </w:rPr>
        <w:t>1</w:t>
      </w:r>
      <w:r w:rsidRPr="00C63CCE">
        <w:rPr>
          <w:rFonts w:eastAsia="Calibri"/>
          <w:color w:val="000000"/>
        </w:rPr>
        <w:t xml:space="preserve"> to read as follows:</w:t>
      </w:r>
    </w:p>
    <w:p w:rsidR="00C63CCE" w:rsidRPr="00C63CCE" w:rsidRDefault="00C63CCE" w:rsidP="008B3201">
      <w:pPr>
        <w:spacing w:line="480" w:lineRule="auto"/>
        <w:jc w:val="both"/>
        <w:rPr>
          <w:rFonts w:ascii="-webkit-standard" w:eastAsia="Calibri" w:hAnsi="-webkit-standard"/>
          <w:color w:val="000000"/>
          <w:sz w:val="20"/>
          <w:szCs w:val="20"/>
        </w:rPr>
      </w:pPr>
      <w:r w:rsidRPr="00C63CCE">
        <w:rPr>
          <w:rFonts w:eastAsia="Calibri"/>
          <w:color w:val="000000"/>
          <w:u w:val="single"/>
        </w:rPr>
        <w:t>§ 10-18</w:t>
      </w:r>
      <w:r w:rsidR="003876A3">
        <w:rPr>
          <w:rFonts w:eastAsia="Calibri"/>
          <w:color w:val="000000"/>
          <w:u w:val="single"/>
        </w:rPr>
        <w:t>1</w:t>
      </w:r>
      <w:r w:rsidRPr="00C63CCE">
        <w:rPr>
          <w:rFonts w:eastAsia="Calibri"/>
          <w:color w:val="000000"/>
          <w:u w:val="single"/>
        </w:rPr>
        <w:t xml:space="preserve"> Unlawful methods of </w:t>
      </w:r>
      <w:r w:rsidR="008B3201" w:rsidRPr="008B3201">
        <w:rPr>
          <w:rFonts w:eastAsia="Calibri"/>
          <w:color w:val="000000"/>
          <w:u w:val="single"/>
        </w:rPr>
        <w:t>restraint.</w:t>
      </w:r>
      <w:r w:rsidR="008B3201" w:rsidRPr="008B3201">
        <w:rPr>
          <w:rFonts w:eastAsia="Calibri"/>
          <w:color w:val="000000"/>
          <w:sz w:val="14"/>
          <w:szCs w:val="14"/>
          <w:u w:val="single"/>
        </w:rPr>
        <w:t> </w:t>
      </w:r>
      <w:r w:rsidR="008B3201" w:rsidRPr="008B3201">
        <w:rPr>
          <w:rFonts w:eastAsia="Calibri"/>
          <w:color w:val="000000"/>
          <w:u w:val="single"/>
        </w:rPr>
        <w:t>a. </w:t>
      </w:r>
      <w:r w:rsidR="008B3201">
        <w:rPr>
          <w:rFonts w:eastAsia="Calibri"/>
          <w:color w:val="000000"/>
          <w:u w:val="single"/>
        </w:rPr>
        <w:t>U</w:t>
      </w:r>
      <w:r w:rsidR="008B3201" w:rsidRPr="00C63CCE">
        <w:rPr>
          <w:rFonts w:eastAsia="Calibri"/>
          <w:color w:val="000000"/>
          <w:u w:val="single"/>
        </w:rPr>
        <w:t xml:space="preserve">nlawful methods </w:t>
      </w:r>
      <w:r w:rsidRPr="00C63CCE">
        <w:rPr>
          <w:rFonts w:eastAsia="Calibri"/>
          <w:color w:val="000000"/>
          <w:u w:val="single"/>
        </w:rPr>
        <w:t>of restraint. No person shall restrain an individual in a manner that restricts the flow of air or blood by compressing the windpipe</w:t>
      </w:r>
      <w:r>
        <w:rPr>
          <w:rFonts w:eastAsia="Calibri"/>
          <w:color w:val="000000"/>
          <w:u w:val="single"/>
        </w:rPr>
        <w:t xml:space="preserve"> </w:t>
      </w:r>
      <w:r w:rsidRPr="00C63CCE">
        <w:rPr>
          <w:rFonts w:eastAsia="Calibri"/>
          <w:color w:val="000000"/>
          <w:u w:val="single"/>
        </w:rPr>
        <w:t>or the carotid arteries on each side of the neck</w:t>
      </w:r>
      <w:r>
        <w:rPr>
          <w:rFonts w:eastAsia="Calibri"/>
          <w:color w:val="000000"/>
          <w:u w:val="single"/>
        </w:rPr>
        <w:t>, or sitting</w:t>
      </w:r>
      <w:r w:rsidR="008D0E2B">
        <w:rPr>
          <w:rFonts w:eastAsia="Calibri"/>
          <w:color w:val="000000"/>
          <w:u w:val="single"/>
        </w:rPr>
        <w:t>, kneeling,</w:t>
      </w:r>
      <w:r>
        <w:rPr>
          <w:rFonts w:eastAsia="Calibri"/>
          <w:color w:val="000000"/>
          <w:u w:val="single"/>
        </w:rPr>
        <w:t xml:space="preserve"> or standing on the chest </w:t>
      </w:r>
      <w:r w:rsidR="0047405C">
        <w:rPr>
          <w:rFonts w:eastAsia="Calibri"/>
          <w:color w:val="000000"/>
          <w:u w:val="single"/>
        </w:rPr>
        <w:t xml:space="preserve">or back </w:t>
      </w:r>
      <w:r>
        <w:rPr>
          <w:rFonts w:eastAsia="Calibri"/>
          <w:color w:val="000000"/>
          <w:u w:val="single"/>
        </w:rPr>
        <w:t>in a manner that compresses the diaphragm</w:t>
      </w:r>
      <w:r w:rsidR="005154CC">
        <w:rPr>
          <w:rFonts w:eastAsia="Calibri"/>
          <w:color w:val="000000"/>
          <w:u w:val="single"/>
        </w:rPr>
        <w:t xml:space="preserve">, </w:t>
      </w:r>
      <w:r w:rsidRPr="00C63CCE">
        <w:rPr>
          <w:rFonts w:eastAsia="Calibri"/>
          <w:color w:val="000000"/>
          <w:u w:val="single"/>
        </w:rPr>
        <w:t>in the course of effecting or attempting to effect an arrest.</w:t>
      </w:r>
    </w:p>
    <w:p w:rsidR="00C63CCE" w:rsidRPr="00C63CCE" w:rsidRDefault="00C63CCE" w:rsidP="00C63CCE">
      <w:pPr>
        <w:spacing w:line="480" w:lineRule="auto"/>
        <w:jc w:val="both"/>
        <w:rPr>
          <w:rFonts w:ascii="-webkit-standard" w:eastAsia="Calibri" w:hAnsi="-webkit-standard"/>
          <w:color w:val="000000"/>
          <w:sz w:val="20"/>
          <w:szCs w:val="20"/>
        </w:rPr>
      </w:pPr>
      <w:r w:rsidRPr="00C63CCE">
        <w:rPr>
          <w:rFonts w:eastAsia="Calibri"/>
          <w:color w:val="000000"/>
          <w:u w:val="single"/>
        </w:rPr>
        <w:t xml:space="preserve">b. Penalties. Any person who violates subdivision a of this section shall be guilty of a misdemeanor punishable by imprisonment of not more than one year </w:t>
      </w:r>
      <w:r w:rsidR="00072EEA">
        <w:rPr>
          <w:rFonts w:eastAsia="Calibri"/>
          <w:color w:val="000000"/>
          <w:u w:val="single"/>
        </w:rPr>
        <w:t>or</w:t>
      </w:r>
      <w:r w:rsidR="00072EEA" w:rsidRPr="00C63CCE">
        <w:rPr>
          <w:rFonts w:eastAsia="Calibri"/>
          <w:color w:val="000000"/>
          <w:u w:val="single"/>
        </w:rPr>
        <w:t xml:space="preserve"> </w:t>
      </w:r>
      <w:r w:rsidRPr="00C63CCE">
        <w:rPr>
          <w:rFonts w:eastAsia="Calibri"/>
          <w:color w:val="000000"/>
          <w:u w:val="single"/>
        </w:rPr>
        <w:t xml:space="preserve">a fine of not more than </w:t>
      </w:r>
      <w:r w:rsidR="00E0689C">
        <w:rPr>
          <w:rFonts w:eastAsia="Calibri"/>
          <w:color w:val="000000"/>
          <w:u w:val="single"/>
        </w:rPr>
        <w:t>$</w:t>
      </w:r>
      <w:r w:rsidR="00AD1FDA">
        <w:rPr>
          <w:rFonts w:eastAsia="Calibri"/>
          <w:color w:val="000000"/>
          <w:u w:val="single"/>
        </w:rPr>
        <w:t>2</w:t>
      </w:r>
      <w:r w:rsidR="003A140E">
        <w:rPr>
          <w:rFonts w:eastAsia="Calibri"/>
          <w:color w:val="000000"/>
          <w:u w:val="single"/>
        </w:rPr>
        <w:t>,</w:t>
      </w:r>
      <w:r w:rsidR="00AD1FDA">
        <w:rPr>
          <w:rFonts w:eastAsia="Calibri"/>
          <w:color w:val="000000"/>
          <w:u w:val="single"/>
        </w:rPr>
        <w:t>500</w:t>
      </w:r>
      <w:r w:rsidRPr="00C63CCE">
        <w:rPr>
          <w:rFonts w:eastAsia="Calibri"/>
          <w:color w:val="000000"/>
          <w:u w:val="single"/>
        </w:rPr>
        <w:t>, or both.</w:t>
      </w:r>
    </w:p>
    <w:p w:rsidR="00C63CCE" w:rsidRPr="00C63CCE" w:rsidRDefault="00C63CCE" w:rsidP="00C63CCE">
      <w:pPr>
        <w:spacing w:line="480" w:lineRule="auto"/>
        <w:ind w:firstLine="0"/>
        <w:jc w:val="both"/>
        <w:rPr>
          <w:rFonts w:ascii="-webkit-standard" w:eastAsia="Calibri" w:hAnsi="-webkit-standard"/>
          <w:color w:val="000000"/>
          <w:sz w:val="20"/>
          <w:szCs w:val="20"/>
        </w:rPr>
      </w:pPr>
      <w:r w:rsidRPr="00C63CCE">
        <w:rPr>
          <w:rFonts w:eastAsia="Calibri"/>
          <w:color w:val="000000"/>
          <w:sz w:val="14"/>
          <w:szCs w:val="14"/>
        </w:rPr>
        <w:t>                     </w:t>
      </w:r>
      <w:r w:rsidRPr="00C63CCE">
        <w:rPr>
          <w:rFonts w:eastAsia="Calibri"/>
          <w:color w:val="000000"/>
          <w:u w:val="single"/>
        </w:rPr>
        <w:t xml:space="preserve">c. Any penalties resulting from a violation of subdivision </w:t>
      </w:r>
      <w:proofErr w:type="gramStart"/>
      <w:r w:rsidRPr="00C63CCE">
        <w:rPr>
          <w:rFonts w:eastAsia="Calibri"/>
          <w:color w:val="000000"/>
          <w:u w:val="single"/>
        </w:rPr>
        <w:t>a of</w:t>
      </w:r>
      <w:proofErr w:type="gramEnd"/>
      <w:r w:rsidRPr="00C63CCE">
        <w:rPr>
          <w:rFonts w:eastAsia="Calibri"/>
          <w:color w:val="000000"/>
          <w:u w:val="single"/>
        </w:rPr>
        <w:t xml:space="preserve"> this section shall not limit or preclude any cause of action available to any person or entity injured or aggrieved by such violation.</w:t>
      </w:r>
    </w:p>
    <w:p w:rsidR="00C63CCE" w:rsidRPr="00C63CCE" w:rsidRDefault="00C63CCE" w:rsidP="0047405C">
      <w:pPr>
        <w:spacing w:line="480" w:lineRule="auto"/>
        <w:jc w:val="both"/>
        <w:rPr>
          <w:rFonts w:ascii="-webkit-standard" w:eastAsia="Calibri" w:hAnsi="-webkit-standard"/>
          <w:color w:val="000000"/>
          <w:sz w:val="20"/>
          <w:szCs w:val="20"/>
        </w:rPr>
      </w:pPr>
      <w:r w:rsidRPr="00C63CCE">
        <w:rPr>
          <w:rFonts w:eastAsia="Calibri"/>
          <w:color w:val="000000"/>
        </w:rPr>
        <w:t>§ 2.  This local law takes effect immediately.</w:t>
      </w:r>
    </w:p>
    <w:p w:rsidR="00C63CCE" w:rsidRPr="00C63CCE" w:rsidRDefault="00C63CCE" w:rsidP="00C63CCE">
      <w:pPr>
        <w:ind w:firstLine="0"/>
        <w:jc w:val="both"/>
        <w:rPr>
          <w:rFonts w:ascii="-webkit-standard" w:eastAsia="Calibri" w:hAnsi="-webkit-standard"/>
          <w:color w:val="000000"/>
          <w:sz w:val="20"/>
          <w:szCs w:val="20"/>
        </w:rPr>
      </w:pPr>
      <w:r w:rsidRPr="00C63CCE">
        <w:rPr>
          <w:rFonts w:eastAsia="Calibri"/>
          <w:color w:val="000000"/>
          <w:sz w:val="20"/>
          <w:szCs w:val="20"/>
        </w:rPr>
        <w:t> </w:t>
      </w:r>
    </w:p>
    <w:p w:rsidR="00C63CCE" w:rsidRPr="00C63CCE" w:rsidRDefault="00C63CCE" w:rsidP="00C63CCE">
      <w:pPr>
        <w:ind w:firstLine="0"/>
        <w:jc w:val="both"/>
        <w:rPr>
          <w:rFonts w:ascii="-webkit-standard" w:eastAsia="Calibri" w:hAnsi="-webkit-standard"/>
          <w:color w:val="000000"/>
          <w:sz w:val="20"/>
          <w:szCs w:val="20"/>
        </w:rPr>
      </w:pPr>
      <w:r w:rsidRPr="00C63CCE">
        <w:rPr>
          <w:rFonts w:eastAsia="Calibri"/>
          <w:color w:val="000000"/>
          <w:sz w:val="20"/>
          <w:szCs w:val="20"/>
        </w:rPr>
        <w:t> </w:t>
      </w:r>
    </w:p>
    <w:p w:rsidR="00C63CCE" w:rsidRPr="00C63CCE" w:rsidRDefault="00C63CCE" w:rsidP="00C63CCE">
      <w:pPr>
        <w:ind w:firstLine="0"/>
        <w:jc w:val="both"/>
        <w:rPr>
          <w:rFonts w:ascii="-webkit-standard" w:eastAsia="Calibri" w:hAnsi="-webkit-standard"/>
          <w:color w:val="000000"/>
          <w:sz w:val="20"/>
          <w:szCs w:val="20"/>
        </w:rPr>
      </w:pPr>
      <w:r w:rsidRPr="00C63CCE">
        <w:rPr>
          <w:rFonts w:eastAsia="Calibri"/>
          <w:color w:val="000000"/>
          <w:sz w:val="20"/>
          <w:szCs w:val="20"/>
        </w:rPr>
        <w:t>LS # 2203/LS 2271/LS 2680/Int. 540-2014</w:t>
      </w:r>
    </w:p>
    <w:p w:rsidR="00C63CCE" w:rsidRPr="00C63CCE" w:rsidRDefault="00C63CCE" w:rsidP="00C63CCE">
      <w:pPr>
        <w:ind w:firstLine="0"/>
        <w:jc w:val="both"/>
        <w:rPr>
          <w:rFonts w:ascii="-webkit-standard" w:eastAsia="Calibri" w:hAnsi="-webkit-standard"/>
          <w:color w:val="000000"/>
          <w:sz w:val="20"/>
          <w:szCs w:val="20"/>
        </w:rPr>
      </w:pPr>
      <w:r w:rsidRPr="00C63CCE">
        <w:rPr>
          <w:rFonts w:eastAsia="Calibri"/>
          <w:color w:val="000000"/>
          <w:sz w:val="20"/>
          <w:szCs w:val="20"/>
        </w:rPr>
        <w:t>LS 181</w:t>
      </w:r>
    </w:p>
    <w:p w:rsidR="00C63CCE" w:rsidRPr="00C63CCE" w:rsidRDefault="00C63CCE" w:rsidP="00C63CCE">
      <w:pPr>
        <w:ind w:firstLine="0"/>
        <w:jc w:val="both"/>
        <w:rPr>
          <w:rFonts w:ascii="-webkit-standard" w:eastAsia="Calibri" w:hAnsi="-webkit-standard"/>
          <w:color w:val="000000"/>
          <w:sz w:val="20"/>
          <w:szCs w:val="20"/>
        </w:rPr>
      </w:pPr>
      <w:r w:rsidRPr="00C63CCE">
        <w:rPr>
          <w:rFonts w:eastAsia="Calibri"/>
          <w:color w:val="000000"/>
          <w:sz w:val="20"/>
          <w:szCs w:val="20"/>
        </w:rPr>
        <w:t>CJG/BG/RC/BC</w:t>
      </w:r>
    </w:p>
    <w:p w:rsidR="00C63CCE" w:rsidRPr="00C63CCE" w:rsidRDefault="00C63CCE" w:rsidP="00C63CCE">
      <w:pPr>
        <w:ind w:firstLine="0"/>
        <w:jc w:val="both"/>
        <w:rPr>
          <w:rFonts w:ascii="-webkit-standard" w:eastAsia="Calibri" w:hAnsi="-webkit-standard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6/10/20</w:t>
      </w:r>
      <w:r w:rsidR="00E0689C">
        <w:rPr>
          <w:rFonts w:eastAsia="Calibri"/>
          <w:color w:val="000000"/>
          <w:sz w:val="20"/>
          <w:szCs w:val="20"/>
        </w:rPr>
        <w:t xml:space="preserve"> 10:01PM</w:t>
      </w:r>
    </w:p>
    <w:p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footerReference w:type="default" r:id="rId8"/>
      <w:foot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4D" w:rsidRDefault="0092444D">
      <w:r>
        <w:separator/>
      </w:r>
    </w:p>
    <w:p w:rsidR="0092444D" w:rsidRDefault="0092444D"/>
  </w:endnote>
  <w:endnote w:type="continuationSeparator" w:id="0">
    <w:p w:rsidR="0092444D" w:rsidRDefault="0092444D">
      <w:r>
        <w:continuationSeparator/>
      </w:r>
    </w:p>
    <w:p w:rsidR="0092444D" w:rsidRDefault="009244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A8B" w:rsidRDefault="005C5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A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5A8B" w:rsidRDefault="005C5A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A8B" w:rsidRDefault="005C5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2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5A8B" w:rsidRDefault="005C5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4D" w:rsidRDefault="0092444D">
      <w:r>
        <w:separator/>
      </w:r>
    </w:p>
    <w:p w:rsidR="0092444D" w:rsidRDefault="0092444D"/>
  </w:footnote>
  <w:footnote w:type="continuationSeparator" w:id="0">
    <w:p w:rsidR="0092444D" w:rsidRDefault="0092444D">
      <w:r>
        <w:continuationSeparator/>
      </w:r>
    </w:p>
    <w:p w:rsidR="0092444D" w:rsidRDefault="009244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364E"/>
    <w:multiLevelType w:val="hybridMultilevel"/>
    <w:tmpl w:val="318C199E"/>
    <w:lvl w:ilvl="0" w:tplc="472A9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315E79"/>
    <w:multiLevelType w:val="hybridMultilevel"/>
    <w:tmpl w:val="DB2E1F8E"/>
    <w:lvl w:ilvl="0" w:tplc="3CE8E3A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374337"/>
    <w:multiLevelType w:val="hybridMultilevel"/>
    <w:tmpl w:val="A15A6932"/>
    <w:lvl w:ilvl="0" w:tplc="144CF8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A5"/>
    <w:rsid w:val="000135A3"/>
    <w:rsid w:val="00035181"/>
    <w:rsid w:val="000502BC"/>
    <w:rsid w:val="00056BB0"/>
    <w:rsid w:val="00064AFB"/>
    <w:rsid w:val="00072EEA"/>
    <w:rsid w:val="0009173E"/>
    <w:rsid w:val="00094A70"/>
    <w:rsid w:val="000A1A45"/>
    <w:rsid w:val="000B6318"/>
    <w:rsid w:val="000C0830"/>
    <w:rsid w:val="000D4A7F"/>
    <w:rsid w:val="000D56CA"/>
    <w:rsid w:val="000E18DE"/>
    <w:rsid w:val="000E2346"/>
    <w:rsid w:val="000F235C"/>
    <w:rsid w:val="001073BD"/>
    <w:rsid w:val="00115B31"/>
    <w:rsid w:val="001445EA"/>
    <w:rsid w:val="001476F7"/>
    <w:rsid w:val="001509BF"/>
    <w:rsid w:val="00150A27"/>
    <w:rsid w:val="00153FCF"/>
    <w:rsid w:val="00162FC0"/>
    <w:rsid w:val="00164D31"/>
    <w:rsid w:val="00165627"/>
    <w:rsid w:val="00167107"/>
    <w:rsid w:val="001739E1"/>
    <w:rsid w:val="00180BD2"/>
    <w:rsid w:val="00195A80"/>
    <w:rsid w:val="001A6196"/>
    <w:rsid w:val="001D4249"/>
    <w:rsid w:val="00205741"/>
    <w:rsid w:val="00207323"/>
    <w:rsid w:val="0021642E"/>
    <w:rsid w:val="0022099D"/>
    <w:rsid w:val="0022321D"/>
    <w:rsid w:val="00241F94"/>
    <w:rsid w:val="002438AF"/>
    <w:rsid w:val="00270162"/>
    <w:rsid w:val="00280955"/>
    <w:rsid w:val="00292C42"/>
    <w:rsid w:val="002B4C6B"/>
    <w:rsid w:val="002C4435"/>
    <w:rsid w:val="002C539C"/>
    <w:rsid w:val="002D5F4F"/>
    <w:rsid w:val="002E0BA5"/>
    <w:rsid w:val="002E743B"/>
    <w:rsid w:val="002F196D"/>
    <w:rsid w:val="002F269C"/>
    <w:rsid w:val="002F2EDF"/>
    <w:rsid w:val="00301E5D"/>
    <w:rsid w:val="00303BD2"/>
    <w:rsid w:val="00303C0E"/>
    <w:rsid w:val="00311618"/>
    <w:rsid w:val="003148DE"/>
    <w:rsid w:val="00320D3B"/>
    <w:rsid w:val="003220AA"/>
    <w:rsid w:val="00325B15"/>
    <w:rsid w:val="0033027F"/>
    <w:rsid w:val="003447CD"/>
    <w:rsid w:val="00352CA7"/>
    <w:rsid w:val="003640AA"/>
    <w:rsid w:val="003720CF"/>
    <w:rsid w:val="003874A1"/>
    <w:rsid w:val="003876A3"/>
    <w:rsid w:val="00387754"/>
    <w:rsid w:val="00394224"/>
    <w:rsid w:val="003A140E"/>
    <w:rsid w:val="003A29EF"/>
    <w:rsid w:val="003A75C2"/>
    <w:rsid w:val="003F26F9"/>
    <w:rsid w:val="003F3109"/>
    <w:rsid w:val="00416CF6"/>
    <w:rsid w:val="0042352E"/>
    <w:rsid w:val="0043107D"/>
    <w:rsid w:val="00432688"/>
    <w:rsid w:val="00444642"/>
    <w:rsid w:val="00447A01"/>
    <w:rsid w:val="00451547"/>
    <w:rsid w:val="00465293"/>
    <w:rsid w:val="0047405C"/>
    <w:rsid w:val="004948B5"/>
    <w:rsid w:val="00497233"/>
    <w:rsid w:val="00497E18"/>
    <w:rsid w:val="004B097C"/>
    <w:rsid w:val="004B0A53"/>
    <w:rsid w:val="004D767E"/>
    <w:rsid w:val="004E1A95"/>
    <w:rsid w:val="004E1CF2"/>
    <w:rsid w:val="004E5B2D"/>
    <w:rsid w:val="004F2CD7"/>
    <w:rsid w:val="004F3343"/>
    <w:rsid w:val="005020E8"/>
    <w:rsid w:val="005154CC"/>
    <w:rsid w:val="00545892"/>
    <w:rsid w:val="00550E96"/>
    <w:rsid w:val="00554C35"/>
    <w:rsid w:val="00562B1D"/>
    <w:rsid w:val="0057235A"/>
    <w:rsid w:val="00586366"/>
    <w:rsid w:val="00595589"/>
    <w:rsid w:val="005A1EBD"/>
    <w:rsid w:val="005A5100"/>
    <w:rsid w:val="005A7EF9"/>
    <w:rsid w:val="005B5DE4"/>
    <w:rsid w:val="005C5A8B"/>
    <w:rsid w:val="005C6980"/>
    <w:rsid w:val="005D2E99"/>
    <w:rsid w:val="005D4A03"/>
    <w:rsid w:val="005E655A"/>
    <w:rsid w:val="005E7681"/>
    <w:rsid w:val="005F3AA6"/>
    <w:rsid w:val="00604607"/>
    <w:rsid w:val="00630AB3"/>
    <w:rsid w:val="00644492"/>
    <w:rsid w:val="00654174"/>
    <w:rsid w:val="00664C2A"/>
    <w:rsid w:val="006662DF"/>
    <w:rsid w:val="00681A93"/>
    <w:rsid w:val="00687344"/>
    <w:rsid w:val="006A691C"/>
    <w:rsid w:val="006B26AF"/>
    <w:rsid w:val="006B590A"/>
    <w:rsid w:val="006B5AB9"/>
    <w:rsid w:val="006C29D8"/>
    <w:rsid w:val="006D3E3C"/>
    <w:rsid w:val="006D549F"/>
    <w:rsid w:val="006D562C"/>
    <w:rsid w:val="006F5CC7"/>
    <w:rsid w:val="007101A2"/>
    <w:rsid w:val="007218EB"/>
    <w:rsid w:val="00724C79"/>
    <w:rsid w:val="0072551E"/>
    <w:rsid w:val="00726706"/>
    <w:rsid w:val="00727E27"/>
    <w:rsid w:val="00727F04"/>
    <w:rsid w:val="00750030"/>
    <w:rsid w:val="00767CD4"/>
    <w:rsid w:val="00770B9A"/>
    <w:rsid w:val="00770DA5"/>
    <w:rsid w:val="00775399"/>
    <w:rsid w:val="007930D9"/>
    <w:rsid w:val="0079601A"/>
    <w:rsid w:val="007A1A40"/>
    <w:rsid w:val="007B0750"/>
    <w:rsid w:val="007B293E"/>
    <w:rsid w:val="007B6497"/>
    <w:rsid w:val="007C1D9D"/>
    <w:rsid w:val="007C6893"/>
    <w:rsid w:val="007C7261"/>
    <w:rsid w:val="007D7A26"/>
    <w:rsid w:val="007E7033"/>
    <w:rsid w:val="007E73C5"/>
    <w:rsid w:val="007E79D5"/>
    <w:rsid w:val="007F0A63"/>
    <w:rsid w:val="007F4087"/>
    <w:rsid w:val="00806569"/>
    <w:rsid w:val="008167F4"/>
    <w:rsid w:val="0083646C"/>
    <w:rsid w:val="0085260B"/>
    <w:rsid w:val="00853E42"/>
    <w:rsid w:val="00865F6E"/>
    <w:rsid w:val="00872BFD"/>
    <w:rsid w:val="00873B26"/>
    <w:rsid w:val="00880099"/>
    <w:rsid w:val="008B3201"/>
    <w:rsid w:val="008D0E2B"/>
    <w:rsid w:val="008E28FA"/>
    <w:rsid w:val="008F0B17"/>
    <w:rsid w:val="008F27CD"/>
    <w:rsid w:val="00900ACB"/>
    <w:rsid w:val="009052DA"/>
    <w:rsid w:val="0091440D"/>
    <w:rsid w:val="0092444D"/>
    <w:rsid w:val="00925999"/>
    <w:rsid w:val="00925D71"/>
    <w:rsid w:val="00927346"/>
    <w:rsid w:val="009329F2"/>
    <w:rsid w:val="00940236"/>
    <w:rsid w:val="0094029B"/>
    <w:rsid w:val="00977E9A"/>
    <w:rsid w:val="009822E5"/>
    <w:rsid w:val="00990ECE"/>
    <w:rsid w:val="009D6E76"/>
    <w:rsid w:val="009D7313"/>
    <w:rsid w:val="009D741A"/>
    <w:rsid w:val="009E6B8A"/>
    <w:rsid w:val="00A03635"/>
    <w:rsid w:val="00A0629A"/>
    <w:rsid w:val="00A10451"/>
    <w:rsid w:val="00A269C2"/>
    <w:rsid w:val="00A32B4D"/>
    <w:rsid w:val="00A36C12"/>
    <w:rsid w:val="00A42896"/>
    <w:rsid w:val="00A44355"/>
    <w:rsid w:val="00A46ACE"/>
    <w:rsid w:val="00A531EC"/>
    <w:rsid w:val="00A654D0"/>
    <w:rsid w:val="00A834C4"/>
    <w:rsid w:val="00AC08BB"/>
    <w:rsid w:val="00AD1881"/>
    <w:rsid w:val="00AD1FDA"/>
    <w:rsid w:val="00AE212E"/>
    <w:rsid w:val="00AF39A5"/>
    <w:rsid w:val="00AF5396"/>
    <w:rsid w:val="00B1579D"/>
    <w:rsid w:val="00B15D83"/>
    <w:rsid w:val="00B1635A"/>
    <w:rsid w:val="00B30100"/>
    <w:rsid w:val="00B4239C"/>
    <w:rsid w:val="00B47730"/>
    <w:rsid w:val="00B51037"/>
    <w:rsid w:val="00B87592"/>
    <w:rsid w:val="00BA4408"/>
    <w:rsid w:val="00BA599A"/>
    <w:rsid w:val="00BB56A7"/>
    <w:rsid w:val="00BB6434"/>
    <w:rsid w:val="00BC1806"/>
    <w:rsid w:val="00BD4E49"/>
    <w:rsid w:val="00BF2F5B"/>
    <w:rsid w:val="00BF76F0"/>
    <w:rsid w:val="00C03AD7"/>
    <w:rsid w:val="00C451A1"/>
    <w:rsid w:val="00C562C5"/>
    <w:rsid w:val="00C63CCE"/>
    <w:rsid w:val="00C744EB"/>
    <w:rsid w:val="00C92A35"/>
    <w:rsid w:val="00C93F56"/>
    <w:rsid w:val="00C96397"/>
    <w:rsid w:val="00C96CEE"/>
    <w:rsid w:val="00CA09E2"/>
    <w:rsid w:val="00CA2899"/>
    <w:rsid w:val="00CA30A1"/>
    <w:rsid w:val="00CA6B5C"/>
    <w:rsid w:val="00CC4ED3"/>
    <w:rsid w:val="00CD2108"/>
    <w:rsid w:val="00CD617E"/>
    <w:rsid w:val="00CE602C"/>
    <w:rsid w:val="00CF17D2"/>
    <w:rsid w:val="00CF18AE"/>
    <w:rsid w:val="00D30A34"/>
    <w:rsid w:val="00D344AA"/>
    <w:rsid w:val="00D52CE9"/>
    <w:rsid w:val="00D929DF"/>
    <w:rsid w:val="00D94395"/>
    <w:rsid w:val="00D94A89"/>
    <w:rsid w:val="00D975BE"/>
    <w:rsid w:val="00DB3BCB"/>
    <w:rsid w:val="00DB6BFB"/>
    <w:rsid w:val="00DC0498"/>
    <w:rsid w:val="00DC57C0"/>
    <w:rsid w:val="00DE67F0"/>
    <w:rsid w:val="00DE6E46"/>
    <w:rsid w:val="00DF1730"/>
    <w:rsid w:val="00DF3385"/>
    <w:rsid w:val="00DF7976"/>
    <w:rsid w:val="00E0423E"/>
    <w:rsid w:val="00E044B2"/>
    <w:rsid w:val="00E05E2D"/>
    <w:rsid w:val="00E06550"/>
    <w:rsid w:val="00E0689C"/>
    <w:rsid w:val="00E132CA"/>
    <w:rsid w:val="00E13406"/>
    <w:rsid w:val="00E22046"/>
    <w:rsid w:val="00E310B4"/>
    <w:rsid w:val="00E34500"/>
    <w:rsid w:val="00E37C8F"/>
    <w:rsid w:val="00E42EF6"/>
    <w:rsid w:val="00E611AD"/>
    <w:rsid w:val="00E611DE"/>
    <w:rsid w:val="00E84A4E"/>
    <w:rsid w:val="00E84B4B"/>
    <w:rsid w:val="00E96AB4"/>
    <w:rsid w:val="00E97376"/>
    <w:rsid w:val="00EB262D"/>
    <w:rsid w:val="00EB4F54"/>
    <w:rsid w:val="00EB5A95"/>
    <w:rsid w:val="00EB7F8D"/>
    <w:rsid w:val="00ED266D"/>
    <w:rsid w:val="00ED2846"/>
    <w:rsid w:val="00ED5A37"/>
    <w:rsid w:val="00ED6ADF"/>
    <w:rsid w:val="00EE1F5D"/>
    <w:rsid w:val="00EF1E62"/>
    <w:rsid w:val="00F01C1E"/>
    <w:rsid w:val="00F0418B"/>
    <w:rsid w:val="00F12CB7"/>
    <w:rsid w:val="00F1371E"/>
    <w:rsid w:val="00F23C44"/>
    <w:rsid w:val="00F33321"/>
    <w:rsid w:val="00F34140"/>
    <w:rsid w:val="00F410C2"/>
    <w:rsid w:val="00F60349"/>
    <w:rsid w:val="00F74C66"/>
    <w:rsid w:val="00F93CA6"/>
    <w:rsid w:val="00FA2172"/>
    <w:rsid w:val="00FA4A1E"/>
    <w:rsid w:val="00FA5BBD"/>
    <w:rsid w:val="00FA63F7"/>
    <w:rsid w:val="00FB2FD6"/>
    <w:rsid w:val="00FC547E"/>
    <w:rsid w:val="00FE7B9B"/>
    <w:rsid w:val="00FF1B80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C64157-9433-4667-9892-761F92C1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4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22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224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2E743B"/>
    <w:pPr>
      <w:spacing w:before="100" w:beforeAutospacing="1" w:after="100" w:afterAutospacing="1"/>
      <w:ind w:firstLine="0"/>
    </w:pPr>
    <w:rPr>
      <w:rFonts w:ascii="Times" w:eastAsia="Calibri" w:hAnsi="Times"/>
      <w:sz w:val="20"/>
      <w:szCs w:val="20"/>
    </w:rPr>
  </w:style>
  <w:style w:type="paragraph" w:styleId="FootnoteText">
    <w:name w:val="footnote text"/>
    <w:aliases w:val="FT"/>
    <w:basedOn w:val="Normal"/>
    <w:link w:val="FootnoteTextChar"/>
    <w:unhideWhenUsed/>
    <w:rsid w:val="004B0A53"/>
    <w:pPr>
      <w:ind w:firstLine="0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"/>
    <w:basedOn w:val="DefaultParagraphFont"/>
    <w:link w:val="FootnoteText"/>
    <w:rsid w:val="004B0A53"/>
  </w:style>
  <w:style w:type="character" w:styleId="FootnoteReference">
    <w:name w:val="footnote reference"/>
    <w:unhideWhenUsed/>
    <w:rsid w:val="004B0A53"/>
    <w:rPr>
      <w:vertAlign w:val="superscript"/>
    </w:rPr>
  </w:style>
  <w:style w:type="character" w:customStyle="1" w:styleId="st1">
    <w:name w:val="st1"/>
    <w:rsid w:val="004B0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51E0-2100-4B67-8E77-5E49744B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Briggs, Emi</dc:creator>
  <cp:keywords/>
  <dc:description/>
  <cp:lastModifiedBy>DelFranco, Ruthie</cp:lastModifiedBy>
  <cp:revision>5</cp:revision>
  <cp:lastPrinted>2019-05-15T20:35:00Z</cp:lastPrinted>
  <dcterms:created xsi:type="dcterms:W3CDTF">2020-06-16T12:37:00Z</dcterms:created>
  <dcterms:modified xsi:type="dcterms:W3CDTF">2020-06-17T14:30:00Z</dcterms:modified>
</cp:coreProperties>
</file>