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3748" w14:textId="05331BEB" w:rsidR="006E6BA1" w:rsidRDefault="004734AE" w:rsidP="00FD6C80">
      <w:pPr>
        <w:widowControl w:val="0"/>
        <w:ind w:left="4680"/>
        <w:rPr>
          <w:b/>
          <w:bCs/>
          <w:u w:val="single"/>
        </w:rPr>
      </w:pPr>
      <w:bookmarkStart w:id="0" w:name="_GoBack"/>
      <w:bookmarkEnd w:id="0"/>
      <w:r w:rsidRPr="37E03600">
        <w:rPr>
          <w:b/>
          <w:bCs/>
        </w:rPr>
        <w:t xml:space="preserve">Finance Division </w:t>
      </w:r>
      <w:r w:rsidR="52E5C3EA" w:rsidRPr="37E03600">
        <w:rPr>
          <w:b/>
          <w:bCs/>
        </w:rPr>
        <w:t xml:space="preserve">Staff: </w:t>
      </w:r>
    </w:p>
    <w:p w14:paraId="213AFA43" w14:textId="14C2B282" w:rsidR="006E6BA1" w:rsidRDefault="006E6BA1" w:rsidP="00FD6C80">
      <w:pPr>
        <w:widowControl w:val="0"/>
        <w:suppressLineNumbers/>
        <w:tabs>
          <w:tab w:val="left" w:pos="3150"/>
          <w:tab w:val="left" w:pos="4500"/>
        </w:tabs>
        <w:ind w:left="4680"/>
      </w:pPr>
      <w:r w:rsidRPr="37E03600">
        <w:t>Rebecca Chasan, Senior Counsel</w:t>
      </w:r>
    </w:p>
    <w:p w14:paraId="6E9F938F" w14:textId="0C46D82E" w:rsidR="006E6BA1" w:rsidRPr="008938F2" w:rsidRDefault="006E6BA1" w:rsidP="00FD6C80">
      <w:pPr>
        <w:widowControl w:val="0"/>
        <w:suppressLineNumbers/>
        <w:tabs>
          <w:tab w:val="left" w:pos="3150"/>
          <w:tab w:val="left" w:pos="4500"/>
        </w:tabs>
        <w:ind w:left="4680"/>
      </w:pPr>
      <w:r w:rsidRPr="37E03600">
        <w:t>Noah Brick, Assistant Counsel</w:t>
      </w:r>
    </w:p>
    <w:p w14:paraId="2CDAC88B" w14:textId="14E023F8" w:rsidR="006E6BA1" w:rsidRPr="008938F2" w:rsidRDefault="006E6BA1" w:rsidP="00FD6C80">
      <w:pPr>
        <w:widowControl w:val="0"/>
        <w:suppressLineNumbers/>
        <w:tabs>
          <w:tab w:val="left" w:pos="3150"/>
          <w:tab w:val="left" w:pos="4500"/>
        </w:tabs>
        <w:ind w:left="4680"/>
      </w:pPr>
      <w:r w:rsidRPr="37E03600">
        <w:t>Stephanie Ruiz, Assistant Counsel</w:t>
      </w:r>
    </w:p>
    <w:p w14:paraId="0323EBBB" w14:textId="75D0B0F7" w:rsidR="004734AE" w:rsidRDefault="004734AE" w:rsidP="00FD6C80">
      <w:pPr>
        <w:widowControl w:val="0"/>
        <w:suppressLineNumbers/>
        <w:tabs>
          <w:tab w:val="left" w:pos="3150"/>
          <w:tab w:val="left" w:pos="4500"/>
        </w:tabs>
        <w:ind w:left="4680"/>
      </w:pPr>
      <w:r w:rsidRPr="37E03600">
        <w:t>Emre Edev, Assistant Director</w:t>
      </w:r>
    </w:p>
    <w:p w14:paraId="0F5DBBFF" w14:textId="6221E5B2" w:rsidR="004734AE" w:rsidRDefault="004734AE" w:rsidP="00FD6C80">
      <w:pPr>
        <w:widowControl w:val="0"/>
        <w:suppressLineNumbers/>
        <w:tabs>
          <w:tab w:val="left" w:pos="3150"/>
          <w:tab w:val="left" w:pos="4500"/>
        </w:tabs>
        <w:ind w:left="4680"/>
      </w:pPr>
      <w:r w:rsidRPr="37E03600">
        <w:t>Kendall Stephenson, Senior Economist</w:t>
      </w:r>
    </w:p>
    <w:p w14:paraId="37030633" w14:textId="4975C225" w:rsidR="004734AE" w:rsidRDefault="004734AE" w:rsidP="00FD6C80">
      <w:pPr>
        <w:widowControl w:val="0"/>
        <w:suppressLineNumbers/>
        <w:tabs>
          <w:tab w:val="left" w:pos="3150"/>
          <w:tab w:val="left" w:pos="4500"/>
        </w:tabs>
        <w:ind w:left="4680"/>
      </w:pPr>
      <w:r w:rsidRPr="37E03600">
        <w:t>Andrew Wilber, Economist</w:t>
      </w:r>
    </w:p>
    <w:p w14:paraId="56E8E690" w14:textId="45A5CF2C" w:rsidR="004734AE" w:rsidRDefault="004734AE" w:rsidP="00FD6C80">
      <w:pPr>
        <w:widowControl w:val="0"/>
        <w:suppressLineNumbers/>
        <w:tabs>
          <w:tab w:val="left" w:pos="3150"/>
          <w:tab w:val="left" w:pos="4500"/>
        </w:tabs>
        <w:ind w:left="4680"/>
      </w:pPr>
      <w:r w:rsidRPr="37E03600">
        <w:t>Daniel Kroop, Senior Financial Analyst</w:t>
      </w:r>
    </w:p>
    <w:p w14:paraId="3D731B92" w14:textId="20D3848C" w:rsidR="004734AE" w:rsidRDefault="004734AE" w:rsidP="00FD6C80">
      <w:pPr>
        <w:widowControl w:val="0"/>
        <w:suppressLineNumbers/>
        <w:tabs>
          <w:tab w:val="left" w:pos="3150"/>
          <w:tab w:val="left" w:pos="4500"/>
        </w:tabs>
        <w:ind w:left="4680"/>
      </w:pPr>
      <w:r w:rsidRPr="37E03600">
        <w:t>John Basile, Senior Financial Analyst</w:t>
      </w:r>
    </w:p>
    <w:p w14:paraId="6D90AC60" w14:textId="5CDF65CF" w:rsidR="00A77A8C" w:rsidRDefault="00A77A8C" w:rsidP="00FD6C80">
      <w:pPr>
        <w:widowControl w:val="0"/>
        <w:suppressLineNumbers/>
        <w:tabs>
          <w:tab w:val="left" w:pos="3150"/>
          <w:tab w:val="left" w:pos="4500"/>
        </w:tabs>
        <w:ind w:left="4680"/>
      </w:pPr>
      <w:r>
        <w:t>Nevin Singh, Financial Analyst</w:t>
      </w:r>
    </w:p>
    <w:p w14:paraId="01519CEE" w14:textId="61BEE884" w:rsidR="00A77A8C" w:rsidRPr="008938F2" w:rsidRDefault="00A77A8C" w:rsidP="00FD6C80">
      <w:pPr>
        <w:widowControl w:val="0"/>
        <w:suppressLineNumbers/>
        <w:tabs>
          <w:tab w:val="left" w:pos="3150"/>
          <w:tab w:val="left" w:pos="4500"/>
        </w:tabs>
        <w:ind w:left="4680"/>
      </w:pPr>
      <w:r>
        <w:t>Frank Sarno, Financial Analyst</w:t>
      </w:r>
    </w:p>
    <w:p w14:paraId="6A9811FB" w14:textId="77777777" w:rsidR="00DF5000" w:rsidRPr="00DF5000" w:rsidRDefault="00DF5000" w:rsidP="00A77A8C">
      <w:pPr>
        <w:widowControl w:val="0"/>
        <w:suppressLineNumbers/>
      </w:pPr>
    </w:p>
    <w:p w14:paraId="66F6C37E" w14:textId="30AD4412" w:rsidR="00DF5000" w:rsidRDefault="004C3D07" w:rsidP="00FD6C80">
      <w:pPr>
        <w:widowControl w:val="0"/>
        <w:suppressLineNumbers/>
        <w:tabs>
          <w:tab w:val="left" w:pos="4680"/>
        </w:tabs>
        <w:jc w:val="center"/>
        <w:outlineLvl w:val="5"/>
        <w:rPr>
          <w:b/>
          <w:bCs/>
          <w:u w:val="single"/>
        </w:rPr>
      </w:pPr>
      <w:r>
        <w:rPr>
          <w:noProof/>
        </w:rPr>
        <w:drawing>
          <wp:inline distT="0" distB="0" distL="0" distR="0" wp14:anchorId="02192209" wp14:editId="3C67ED15">
            <wp:extent cx="862330" cy="880110"/>
            <wp:effectExtent l="0" t="0" r="1270" b="0"/>
            <wp:docPr id="1956443781"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862330" cy="880110"/>
                    </a:xfrm>
                    <a:prstGeom prst="rect">
                      <a:avLst/>
                    </a:prstGeom>
                  </pic:spPr>
                </pic:pic>
              </a:graphicData>
            </a:graphic>
          </wp:inline>
        </w:drawing>
      </w:r>
    </w:p>
    <w:p w14:paraId="23B69589" w14:textId="77777777" w:rsidR="00DF5000" w:rsidRDefault="00DF5000" w:rsidP="00FD6C80">
      <w:pPr>
        <w:widowControl w:val="0"/>
        <w:suppressLineNumbers/>
        <w:jc w:val="center"/>
        <w:outlineLvl w:val="5"/>
        <w:rPr>
          <w:b/>
          <w:bCs/>
          <w:u w:val="single"/>
        </w:rPr>
      </w:pPr>
    </w:p>
    <w:p w14:paraId="2E937DAA" w14:textId="77777777" w:rsidR="00DF5000" w:rsidRPr="00DF5000" w:rsidRDefault="00DF5000" w:rsidP="00FD6C80">
      <w:pPr>
        <w:widowControl w:val="0"/>
        <w:suppressLineNumbers/>
        <w:jc w:val="center"/>
        <w:outlineLvl w:val="5"/>
        <w:rPr>
          <w:b/>
          <w:bCs/>
          <w:u w:val="single"/>
        </w:rPr>
      </w:pPr>
      <w:r w:rsidRPr="37E03600">
        <w:rPr>
          <w:b/>
          <w:bCs/>
          <w:u w:val="single"/>
        </w:rPr>
        <w:t>THE NEW YORK CITY COUNCIL</w:t>
      </w:r>
    </w:p>
    <w:p w14:paraId="6B48B4E0" w14:textId="77777777" w:rsidR="00DF5000" w:rsidRDefault="00DF5000" w:rsidP="00FD6C80">
      <w:pPr>
        <w:widowControl w:val="0"/>
        <w:suppressLineNumbers/>
        <w:jc w:val="center"/>
        <w:rPr>
          <w:b/>
          <w:bCs/>
        </w:rPr>
      </w:pPr>
      <w:r w:rsidRPr="37E03600">
        <w:rPr>
          <w:b/>
          <w:bCs/>
        </w:rPr>
        <w:t>LATONIA MCKINNEY, DIRECTOR, FINANCE DIVISION</w:t>
      </w:r>
    </w:p>
    <w:p w14:paraId="19FFFB58" w14:textId="77777777" w:rsidR="008938F2" w:rsidRPr="008938F2" w:rsidRDefault="008938F2" w:rsidP="00FD6C80">
      <w:pPr>
        <w:widowControl w:val="0"/>
        <w:suppressLineNumbers/>
        <w:jc w:val="center"/>
        <w:rPr>
          <w:b/>
          <w:bCs/>
          <w:u w:val="single"/>
        </w:rPr>
      </w:pPr>
    </w:p>
    <w:p w14:paraId="0C5A0D94" w14:textId="77777777" w:rsidR="008938F2" w:rsidRPr="008938F2" w:rsidRDefault="008938F2" w:rsidP="00FD6C80">
      <w:pPr>
        <w:widowControl w:val="0"/>
        <w:suppressLineNumbers/>
        <w:jc w:val="center"/>
        <w:rPr>
          <w:b/>
          <w:bCs/>
          <w:u w:val="single"/>
        </w:rPr>
      </w:pPr>
      <w:r w:rsidRPr="37E03600">
        <w:rPr>
          <w:b/>
          <w:bCs/>
          <w:u w:val="single"/>
        </w:rPr>
        <w:t>COMMITTEE ON FINANCE</w:t>
      </w:r>
    </w:p>
    <w:p w14:paraId="75C7997D" w14:textId="77777777" w:rsidR="008938F2" w:rsidRPr="008938F2" w:rsidRDefault="008938F2" w:rsidP="00FD6C80">
      <w:pPr>
        <w:widowControl w:val="0"/>
        <w:suppressLineNumbers/>
        <w:jc w:val="center"/>
        <w:rPr>
          <w:b/>
          <w:bCs/>
        </w:rPr>
      </w:pPr>
      <w:r w:rsidRPr="37E03600">
        <w:rPr>
          <w:b/>
          <w:bCs/>
        </w:rPr>
        <w:t>HON. DANIEL DROMM, CHAIR</w:t>
      </w:r>
    </w:p>
    <w:p w14:paraId="0BCFC3A1" w14:textId="65D0C0CF" w:rsidR="00DF5000" w:rsidRPr="00DF5000" w:rsidRDefault="00DF5000" w:rsidP="00FD6C80">
      <w:pPr>
        <w:widowControl w:val="0"/>
        <w:suppressLineNumbers/>
      </w:pPr>
    </w:p>
    <w:p w14:paraId="00793409" w14:textId="472E4E73" w:rsidR="00EF2B9F" w:rsidRPr="0011282B" w:rsidRDefault="008C78D3" w:rsidP="00FD6C80">
      <w:pPr>
        <w:widowControl w:val="0"/>
        <w:suppressLineNumbers/>
        <w:jc w:val="center"/>
        <w:outlineLvl w:val="4"/>
        <w:rPr>
          <w:b/>
          <w:bCs/>
          <w:snapToGrid w:val="0"/>
          <w:u w:val="single"/>
        </w:rPr>
      </w:pPr>
      <w:r w:rsidRPr="37E03600">
        <w:rPr>
          <w:b/>
          <w:bCs/>
        </w:rPr>
        <w:t>June 10, 2020</w:t>
      </w:r>
    </w:p>
    <w:p w14:paraId="240E7682" w14:textId="77777777" w:rsidR="00453F30" w:rsidRPr="0011282B" w:rsidRDefault="00453F30" w:rsidP="00FD6C80">
      <w:pPr>
        <w:widowControl w:val="0"/>
        <w:jc w:val="both"/>
        <w:rPr>
          <w:b/>
          <w:bCs/>
        </w:rPr>
      </w:pPr>
    </w:p>
    <w:p w14:paraId="44CAC17E" w14:textId="0CEED17D" w:rsidR="007F6549" w:rsidRPr="0011282B" w:rsidRDefault="007F6549" w:rsidP="00FD6C80">
      <w:pPr>
        <w:widowControl w:val="0"/>
        <w:shd w:val="clear" w:color="auto" w:fill="FFFFFF" w:themeFill="background1"/>
        <w:ind w:left="3600" w:hanging="3600"/>
        <w:jc w:val="both"/>
      </w:pPr>
      <w:r w:rsidRPr="37E03600">
        <w:rPr>
          <w:b/>
          <w:bCs/>
          <w:u w:val="single"/>
        </w:rPr>
        <w:t>INT</w:t>
      </w:r>
      <w:r w:rsidR="00E12984" w:rsidRPr="37E03600">
        <w:rPr>
          <w:b/>
          <w:bCs/>
          <w:u w:val="single"/>
        </w:rPr>
        <w:t>.</w:t>
      </w:r>
      <w:r w:rsidRPr="37E03600">
        <w:rPr>
          <w:b/>
          <w:bCs/>
          <w:u w:val="single"/>
        </w:rPr>
        <w:t xml:space="preserve"> NO. 1952:</w:t>
      </w:r>
      <w:r w:rsidRPr="37E03600">
        <w:t xml:space="preserve"> </w:t>
      </w:r>
      <w:r w:rsidRPr="0011282B">
        <w:tab/>
      </w:r>
      <w:r w:rsidRPr="37E03600">
        <w:t>By Council Members Gibson</w:t>
      </w:r>
      <w:r w:rsidR="00E5493A">
        <w:t>,</w:t>
      </w:r>
      <w:r w:rsidRPr="37E03600">
        <w:t xml:space="preserve"> Treyger, Lander, Brannan, Rosenthal, Kallos, Louis, Richards, Rose, Moya and Chin</w:t>
      </w:r>
    </w:p>
    <w:p w14:paraId="5E77D808" w14:textId="77777777" w:rsidR="007F6549" w:rsidRPr="0011282B" w:rsidRDefault="007F6549" w:rsidP="00FD6C80">
      <w:pPr>
        <w:widowControl w:val="0"/>
        <w:jc w:val="both"/>
        <w:rPr>
          <w:b/>
          <w:bCs/>
        </w:rPr>
      </w:pPr>
    </w:p>
    <w:p w14:paraId="36A791DC" w14:textId="29CAF79C" w:rsidR="007F6549" w:rsidRPr="0011282B" w:rsidRDefault="007F6549" w:rsidP="00FD6C80">
      <w:pPr>
        <w:widowControl w:val="0"/>
        <w:ind w:left="3600" w:hanging="3600"/>
        <w:jc w:val="both"/>
      </w:pPr>
      <w:r w:rsidRPr="37E03600">
        <w:rPr>
          <w:b/>
          <w:bCs/>
          <w:u w:val="single"/>
        </w:rPr>
        <w:t>TITLE:</w:t>
      </w:r>
      <w:r w:rsidRPr="37E03600">
        <w:t xml:space="preserve">  </w:t>
      </w:r>
      <w:r w:rsidRPr="0011282B">
        <w:tab/>
      </w:r>
      <w:r w:rsidRPr="37E03600">
        <w:t>A Local Law in relation to the creation of a database to track the expenditure of funds in connection with COVID-19</w:t>
      </w:r>
    </w:p>
    <w:p w14:paraId="62A6E8D0" w14:textId="77777777" w:rsidR="0042012F" w:rsidRPr="0011282B" w:rsidRDefault="0042012F" w:rsidP="00FD6C80">
      <w:pPr>
        <w:widowControl w:val="0"/>
        <w:rPr>
          <w:snapToGrid w:val="0"/>
        </w:rPr>
      </w:pPr>
    </w:p>
    <w:p w14:paraId="03F371F9" w14:textId="77777777" w:rsidR="00762F35" w:rsidRPr="0011282B" w:rsidRDefault="00762F35" w:rsidP="00FD6C80">
      <w:pPr>
        <w:widowControl w:val="0"/>
        <w:jc w:val="both"/>
        <w:rPr>
          <w:snapToGrid w:val="0"/>
        </w:rPr>
      </w:pPr>
      <w:r w:rsidRPr="37E03600">
        <w:rPr>
          <w:b/>
          <w:bCs/>
          <w:snapToGrid w:val="0"/>
          <w:u w:val="single"/>
        </w:rPr>
        <w:t>PRECONSIDERED  INT. NO.</w:t>
      </w:r>
      <w:r w:rsidRPr="37E03600">
        <w:rPr>
          <w:snapToGrid w:val="0"/>
        </w:rPr>
        <w:t>:</w:t>
      </w:r>
      <w:r w:rsidRPr="0011282B">
        <w:rPr>
          <w:rFonts w:eastAsia="Calibri"/>
          <w:bCs/>
          <w:snapToGrid w:val="0"/>
        </w:rPr>
        <w:tab/>
      </w:r>
      <w:r w:rsidRPr="37E03600">
        <w:rPr>
          <w:snapToGrid w:val="0"/>
        </w:rPr>
        <w:t>By Council Member Chin</w:t>
      </w:r>
    </w:p>
    <w:p w14:paraId="2D6821F1" w14:textId="77777777" w:rsidR="00762F35" w:rsidRPr="0011282B" w:rsidRDefault="00762F35" w:rsidP="00FD6C80">
      <w:pPr>
        <w:widowControl w:val="0"/>
        <w:jc w:val="both"/>
        <w:rPr>
          <w:snapToGrid w:val="0"/>
        </w:rPr>
      </w:pPr>
    </w:p>
    <w:p w14:paraId="0EEAF524" w14:textId="38714E2F" w:rsidR="00762F35" w:rsidRPr="0011282B" w:rsidRDefault="00762F35" w:rsidP="00FD6C80">
      <w:pPr>
        <w:widowControl w:val="0"/>
        <w:ind w:left="3600" w:hanging="3600"/>
        <w:jc w:val="both"/>
        <w:rPr>
          <w:snapToGrid w:val="0"/>
        </w:rPr>
      </w:pPr>
      <w:r w:rsidRPr="37E03600">
        <w:rPr>
          <w:b/>
          <w:bCs/>
          <w:snapToGrid w:val="0"/>
          <w:u w:val="single"/>
        </w:rPr>
        <w:t>TITLE</w:t>
      </w:r>
      <w:r w:rsidRPr="37E03600">
        <w:rPr>
          <w:snapToGrid w:val="0"/>
        </w:rPr>
        <w:t>:</w:t>
      </w:r>
      <w:r w:rsidRPr="0011282B">
        <w:rPr>
          <w:rFonts w:eastAsia="Calibri"/>
          <w:bCs/>
          <w:snapToGrid w:val="0"/>
        </w:rPr>
        <w:tab/>
      </w:r>
      <w:r w:rsidRPr="37E03600">
        <w:rPr>
          <w:snapToGrid w:val="0"/>
        </w:rPr>
        <w:t>A Local Law in relation to the deferral of property tax liability on real property with an assessed value exceeding two hundred fifty thousand dollars owned by certain property owners impacted by COVID-19</w:t>
      </w:r>
    </w:p>
    <w:p w14:paraId="29EA20D3" w14:textId="77777777" w:rsidR="00EF2B9F" w:rsidRPr="0011282B" w:rsidRDefault="00EF2B9F" w:rsidP="00FD6C80">
      <w:pPr>
        <w:widowControl w:val="0"/>
        <w:jc w:val="both"/>
        <w:rPr>
          <w:snapToGrid w:val="0"/>
        </w:rPr>
      </w:pPr>
    </w:p>
    <w:p w14:paraId="1C18664C" w14:textId="77777777" w:rsidR="00762F35" w:rsidRPr="0011282B" w:rsidRDefault="00762F35" w:rsidP="00FD6C80">
      <w:pPr>
        <w:widowControl w:val="0"/>
        <w:ind w:left="3600" w:hanging="3600"/>
        <w:jc w:val="both"/>
        <w:rPr>
          <w:snapToGrid w:val="0"/>
        </w:rPr>
      </w:pPr>
      <w:r w:rsidRPr="37E03600">
        <w:rPr>
          <w:b/>
          <w:bCs/>
          <w:snapToGrid w:val="0"/>
          <w:u w:val="single"/>
        </w:rPr>
        <w:t>PRECONSIDERED  INT. NO.</w:t>
      </w:r>
      <w:r w:rsidRPr="37E03600">
        <w:rPr>
          <w:snapToGrid w:val="0"/>
        </w:rPr>
        <w:t>:</w:t>
      </w:r>
      <w:r w:rsidRPr="0011282B">
        <w:rPr>
          <w:rFonts w:eastAsia="Calibri"/>
          <w:bCs/>
          <w:snapToGrid w:val="0"/>
        </w:rPr>
        <w:tab/>
      </w:r>
      <w:r w:rsidRPr="37E03600">
        <w:rPr>
          <w:snapToGrid w:val="0"/>
        </w:rPr>
        <w:t>By The Public Advocate (Mr. Williams), and Council Members Kallos and Lander</w:t>
      </w:r>
    </w:p>
    <w:p w14:paraId="6F194394" w14:textId="77777777" w:rsidR="00762F35" w:rsidRPr="0011282B" w:rsidRDefault="00762F35" w:rsidP="00FD6C80">
      <w:pPr>
        <w:widowControl w:val="0"/>
        <w:jc w:val="both"/>
        <w:rPr>
          <w:snapToGrid w:val="0"/>
        </w:rPr>
      </w:pPr>
    </w:p>
    <w:p w14:paraId="758E6327" w14:textId="77777777" w:rsidR="000405CC" w:rsidRDefault="00762F35" w:rsidP="00FD6C80">
      <w:pPr>
        <w:widowControl w:val="0"/>
        <w:ind w:left="3600" w:hanging="3600"/>
        <w:jc w:val="both"/>
        <w:rPr>
          <w:snapToGrid w:val="0"/>
        </w:rPr>
        <w:sectPr w:rsidR="000405CC" w:rsidSect="000405CC">
          <w:headerReference w:type="default" r:id="rId12"/>
          <w:footerReference w:type="default" r:id="rId13"/>
          <w:pgSz w:w="12240" w:h="15840"/>
          <w:pgMar w:top="1440" w:right="1440" w:bottom="1440" w:left="1440" w:header="720" w:footer="720" w:gutter="0"/>
          <w:cols w:space="720"/>
          <w:titlePg/>
          <w:docGrid w:linePitch="360"/>
        </w:sectPr>
      </w:pPr>
      <w:r w:rsidRPr="37E03600">
        <w:rPr>
          <w:b/>
          <w:bCs/>
          <w:snapToGrid w:val="0"/>
          <w:u w:val="single"/>
        </w:rPr>
        <w:t>TITLE</w:t>
      </w:r>
      <w:r w:rsidRPr="37E03600">
        <w:rPr>
          <w:snapToGrid w:val="0"/>
        </w:rPr>
        <w:t>:</w:t>
      </w:r>
      <w:r w:rsidRPr="0011282B">
        <w:rPr>
          <w:rFonts w:eastAsia="Calibri"/>
          <w:bCs/>
          <w:snapToGrid w:val="0"/>
        </w:rPr>
        <w:tab/>
      </w:r>
      <w:r w:rsidRPr="37E03600">
        <w:rPr>
          <w:snapToGrid w:val="0"/>
        </w:rPr>
        <w:t>A Local Law in relation to the deferral of property tax liability on real property with an assessed value of two hundred fifty thousand dollars or less owned by certain property owners impacted by COVID-19</w:t>
      </w:r>
    </w:p>
    <w:p w14:paraId="3EF91753" w14:textId="3DE12766" w:rsidR="008E3777" w:rsidRPr="008E3777" w:rsidRDefault="00DF5000" w:rsidP="008E3777">
      <w:pPr>
        <w:pStyle w:val="ListParagraph"/>
        <w:widowControl w:val="0"/>
        <w:numPr>
          <w:ilvl w:val="0"/>
          <w:numId w:val="2"/>
        </w:numPr>
        <w:spacing w:line="480" w:lineRule="auto"/>
        <w:jc w:val="both"/>
        <w:rPr>
          <w:b/>
          <w:bCs/>
          <w:u w:val="single"/>
        </w:rPr>
      </w:pPr>
      <w:r w:rsidRPr="37E03600">
        <w:rPr>
          <w:b/>
          <w:bCs/>
        </w:rPr>
        <w:lastRenderedPageBreak/>
        <w:t>Introduction</w:t>
      </w:r>
    </w:p>
    <w:p w14:paraId="5AB6C633" w14:textId="2FF6182B" w:rsidR="008E3777" w:rsidRDefault="008E3777" w:rsidP="008E3777">
      <w:pPr>
        <w:widowControl w:val="0"/>
        <w:suppressLineNumbers/>
        <w:tabs>
          <w:tab w:val="left" w:pos="720"/>
          <w:tab w:val="left" w:pos="4500"/>
          <w:tab w:val="left" w:pos="4752"/>
        </w:tabs>
        <w:spacing w:line="480" w:lineRule="auto"/>
        <w:jc w:val="both"/>
      </w:pPr>
      <w:r>
        <w:tab/>
      </w:r>
      <w:r w:rsidRPr="37E03600">
        <w:t>On June 10, 2020, the Committee on Finance, chaired by Council Member Daniel Dromm, will hold a hearing to consider three pieces of legislation relating to tracking COVID-19 expenditures by the City and providing late payment interest rate relief for certain COVID-19-impacted property owners unable to pay their real property tax on July 1, 2020. Representatives from the Administration and members of the public were invited to testify.</w:t>
      </w:r>
    </w:p>
    <w:p w14:paraId="2D3A7A02" w14:textId="7104CFA5" w:rsidR="008E3777" w:rsidRPr="00706947" w:rsidRDefault="008E3777" w:rsidP="00706947">
      <w:pPr>
        <w:widowControl w:val="0"/>
        <w:suppressLineNumbers/>
        <w:tabs>
          <w:tab w:val="left" w:pos="720"/>
          <w:tab w:val="left" w:pos="4500"/>
          <w:tab w:val="left" w:pos="4752"/>
        </w:tabs>
        <w:spacing w:line="480" w:lineRule="auto"/>
        <w:jc w:val="both"/>
      </w:pPr>
      <w:r>
        <w:tab/>
      </w:r>
      <w:r w:rsidRPr="37E03600">
        <w:t xml:space="preserve">The legislation that will be heard includes the following bills: Int. No. 1952, sponsored by Council Member Vanessa Gibson, a local law in relation to the creation of a database to track the expenditure of funds in connection with COVID-19; Preconsidered Int. No. __, sponsored by Council Member Chin, a local law </w:t>
      </w:r>
      <w:r w:rsidRPr="008E3777">
        <w:rPr>
          <w:snapToGrid w:val="0"/>
        </w:rPr>
        <w:t>in relation to the deferral of property tax liability on real property with an assessed value exceeding two hundred fifty thousand dollars owned by certain property owners impacted by COVID-19</w:t>
      </w:r>
      <w:r w:rsidRPr="37E03600">
        <w:t>; and Preconsidered Int. No. __, sponsored by the Public Advocate, a local law in relation to the deferral of property tax liability on real property with an assessed value of two hundred fifty thousand dollars or less owned by certain property owners impacted by COVID-19.</w:t>
      </w:r>
    </w:p>
    <w:p w14:paraId="6BFDA5D3" w14:textId="75009F4B" w:rsidR="00706947" w:rsidRPr="00706947" w:rsidRDefault="00FB6DD9" w:rsidP="00706947">
      <w:pPr>
        <w:pStyle w:val="ListParagraph"/>
        <w:widowControl w:val="0"/>
        <w:numPr>
          <w:ilvl w:val="0"/>
          <w:numId w:val="2"/>
        </w:numPr>
        <w:spacing w:line="480" w:lineRule="auto"/>
        <w:jc w:val="both"/>
        <w:rPr>
          <w:b/>
          <w:bCs/>
          <w:u w:val="single"/>
        </w:rPr>
      </w:pPr>
      <w:r w:rsidRPr="008E3777">
        <w:rPr>
          <w:b/>
          <w:bCs/>
        </w:rPr>
        <w:t>Background</w:t>
      </w:r>
    </w:p>
    <w:p w14:paraId="3D85549C" w14:textId="5B71AEDF" w:rsidR="00706947" w:rsidRPr="00A77A8C" w:rsidRDefault="00706947" w:rsidP="00A77A8C">
      <w:pPr>
        <w:widowControl w:val="0"/>
        <w:spacing w:line="480" w:lineRule="auto"/>
        <w:ind w:firstLine="720"/>
        <w:jc w:val="both"/>
        <w:rPr>
          <w:spacing w:val="-2"/>
        </w:rPr>
      </w:pPr>
      <w:r w:rsidRPr="00FD5D1D">
        <w:rPr>
          <w:spacing w:val="-2"/>
        </w:rPr>
        <w:t xml:space="preserve">The outbreak of the novel coronavirus, COVID-19, in the City of New York has resulted in a myriad of concerns for many New Yorkers, </w:t>
      </w:r>
      <w:r w:rsidR="00185B6F">
        <w:rPr>
          <w:spacing w:val="-2"/>
        </w:rPr>
        <w:t>including</w:t>
      </w:r>
      <w:r w:rsidRPr="00FD5D1D">
        <w:rPr>
          <w:spacing w:val="-2"/>
        </w:rPr>
        <w:t xml:space="preserve"> loss of income and housing instability.</w:t>
      </w:r>
      <w:r w:rsidR="00A77A8C">
        <w:rPr>
          <w:spacing w:val="-2"/>
        </w:rPr>
        <w:t xml:space="preserve"> </w:t>
      </w:r>
      <w:r w:rsidRPr="37E03600">
        <w:t>The first case of COVID-19 in New York State was confirmed on March 1, 2020, an individual who contracted the virus while traveling in Iran, and then returned home to Manhattan.</w:t>
      </w:r>
      <w:r w:rsidRPr="37E03600">
        <w:rPr>
          <w:rStyle w:val="FootnoteReference"/>
        </w:rPr>
        <w:footnoteReference w:id="2"/>
      </w:r>
      <w:r w:rsidRPr="37E03600">
        <w:t xml:space="preserve"> The second case was confirmed two days later.</w:t>
      </w:r>
      <w:r w:rsidRPr="37E03600">
        <w:rPr>
          <w:rStyle w:val="FootnoteReference"/>
        </w:rPr>
        <w:footnoteReference w:id="3"/>
      </w:r>
    </w:p>
    <w:p w14:paraId="6B7F4503" w14:textId="3E19D0B2" w:rsidR="00706947" w:rsidRDefault="00706947" w:rsidP="00706947">
      <w:pPr>
        <w:widowControl w:val="0"/>
        <w:spacing w:line="480" w:lineRule="auto"/>
        <w:ind w:firstLine="720"/>
        <w:jc w:val="both"/>
      </w:pPr>
      <w:r w:rsidRPr="37E03600">
        <w:t>On March 7, Governor Cuomo issued Executive Order No. 202 declaring a state disaster emergency for New York State, to remain in effect until September 7, 2020, in an effort to contain the spread of the virus.</w:t>
      </w:r>
      <w:r w:rsidRPr="37E03600">
        <w:rPr>
          <w:rStyle w:val="FootnoteReference"/>
        </w:rPr>
        <w:footnoteReference w:id="4"/>
      </w:r>
      <w:r w:rsidRPr="37E03600">
        <w:t xml:space="preserve"> On March 11, the World Health Organization (WHO) characterized COVID-19 as a pandemic.</w:t>
      </w:r>
      <w:r w:rsidRPr="37E03600">
        <w:rPr>
          <w:rStyle w:val="FootnoteReference"/>
        </w:rPr>
        <w:footnoteReference w:id="5"/>
      </w:r>
      <w:r w:rsidRPr="37E03600">
        <w:t xml:space="preserve"> On March 12, Mayor de Blasio issued Emergency Executive Order No. 98 declaring a state of emergency in New York City.</w:t>
      </w:r>
      <w:r w:rsidRPr="37E03600">
        <w:rPr>
          <w:rStyle w:val="FootnoteReference"/>
        </w:rPr>
        <w:footnoteReference w:id="6"/>
      </w:r>
    </w:p>
    <w:p w14:paraId="6970ACD3" w14:textId="121663C0" w:rsidR="00706947" w:rsidRDefault="00706947" w:rsidP="00706947">
      <w:pPr>
        <w:pStyle w:val="ListParagraph"/>
        <w:widowControl w:val="0"/>
        <w:numPr>
          <w:ilvl w:val="1"/>
          <w:numId w:val="2"/>
        </w:numPr>
        <w:spacing w:line="480" w:lineRule="auto"/>
        <w:jc w:val="both"/>
      </w:pPr>
      <w:r>
        <w:t>Impact on N</w:t>
      </w:r>
      <w:r w:rsidR="7906329D">
        <w:t xml:space="preserve">ew York City </w:t>
      </w:r>
      <w:r>
        <w:t xml:space="preserve">Small Businesses </w:t>
      </w:r>
      <w:r w:rsidR="256CC1FC">
        <w:t>and</w:t>
      </w:r>
      <w:r>
        <w:t xml:space="preserve"> Residential Tenants</w:t>
      </w:r>
    </w:p>
    <w:p w14:paraId="52AFF12F" w14:textId="06B6AD1B" w:rsidR="00706947" w:rsidRDefault="00706947" w:rsidP="00706947">
      <w:pPr>
        <w:widowControl w:val="0"/>
        <w:spacing w:line="480" w:lineRule="auto"/>
        <w:ind w:firstLine="720"/>
        <w:jc w:val="both"/>
      </w:pPr>
      <w:r w:rsidRPr="37E03600">
        <w:t>In an effort to manage the spread of the virus, Governor Andrew Cuomo issued an executive order,</w:t>
      </w:r>
      <w:r w:rsidRPr="37E03600">
        <w:rPr>
          <w:rStyle w:val="FootnoteReference"/>
        </w:rPr>
        <w:footnoteReference w:id="7"/>
      </w:r>
      <w:r w:rsidRPr="37E03600">
        <w:t xml:space="preserve"> and subsequent continuing executive orders, to bring the State to a “PAUSE,” which ordered the closing of all businesses deemed “nonessential.”</w:t>
      </w:r>
      <w:r w:rsidRPr="37E03600">
        <w:rPr>
          <w:rStyle w:val="FootnoteReference"/>
        </w:rPr>
        <w:footnoteReference w:id="8"/>
      </w:r>
      <w:r w:rsidRPr="37E03600">
        <w:rPr>
          <w:rStyle w:val="FootnoteReference"/>
        </w:rPr>
        <w:t xml:space="preserve"> </w:t>
      </w:r>
      <w:r w:rsidRPr="37E03600">
        <w:t>The initial “PAUSE” order was issued on March 7, 2020, and businesses began to close or were required to reduce the number of in-person employees commencing on that date.</w:t>
      </w:r>
      <w:r w:rsidRPr="37E03600">
        <w:rPr>
          <w:rStyle w:val="FootnoteReference"/>
        </w:rPr>
        <w:footnoteReference w:id="9"/>
      </w:r>
      <w:r w:rsidRPr="37E03600">
        <w:rPr>
          <w:rStyle w:val="FootnoteReference"/>
        </w:rPr>
        <w:t xml:space="preserve"> </w:t>
      </w:r>
      <w:r w:rsidRPr="37E03600">
        <w:t>The closure of “nonessential” businesses eventually became applicable to 100 percent of employees at all nonessential businesses at 8:00 p.m. on March 22, 2020.</w:t>
      </w:r>
      <w:r w:rsidRPr="37E03600">
        <w:rPr>
          <w:rStyle w:val="FootnoteReference"/>
        </w:rPr>
        <w:footnoteReference w:id="10"/>
      </w:r>
      <w:r w:rsidRPr="37E03600">
        <w:t xml:space="preserve"> The “PAUSE” started to lift in New York City on June 8, 2020, with Phase 1 of a four-part gradual reopening plan permitting the re-opening of construction, retail, manufacturing, and wholesale trade, subject to E</w:t>
      </w:r>
      <w:r w:rsidRPr="37E03600">
        <w:rPr>
          <w:color w:val="000000" w:themeColor="text1"/>
        </w:rPr>
        <w:t xml:space="preserve">mpire State </w:t>
      </w:r>
      <w:r w:rsidRPr="37E03600">
        <w:rPr>
          <w:color w:val="3C4043"/>
        </w:rPr>
        <w:t>Development</w:t>
      </w:r>
      <w:r w:rsidRPr="37E03600">
        <w:rPr>
          <w:color w:val="000000" w:themeColor="text1"/>
        </w:rPr>
        <w:t xml:space="preserve"> guidelines to maximize safety and social distancing</w:t>
      </w:r>
      <w:r w:rsidRPr="37E03600">
        <w:t>.</w:t>
      </w:r>
      <w:r>
        <w:rPr>
          <w:rStyle w:val="FootnoteReference"/>
          <w:rFonts w:ascii="Times" w:hAnsi="Times"/>
        </w:rPr>
        <w:footnoteReference w:id="11"/>
      </w:r>
    </w:p>
    <w:p w14:paraId="251DDBF8" w14:textId="17CECC44" w:rsidR="00706947" w:rsidRDefault="00706947" w:rsidP="00706947">
      <w:pPr>
        <w:widowControl w:val="0"/>
        <w:spacing w:line="480" w:lineRule="auto"/>
        <w:ind w:firstLine="720"/>
        <w:jc w:val="both"/>
      </w:pPr>
      <w:r w:rsidRPr="37E03600">
        <w:t>Although a range of industries were permitted to operate during PAUSE, a large proportion of New York’s businesses had to severely reduce their capacities. According to an analysis by the New York City Comptroller, the City’s hotels are projected to only maintain an occupancy rate of 20 percent, while restaurant sales are expected to drop by a staggering 80 percent. Real estate and retail sales are both expected to decline by 20 percent.</w:t>
      </w:r>
      <w:r w:rsidRPr="37E03600">
        <w:rPr>
          <w:rStyle w:val="FootnoteReference"/>
        </w:rPr>
        <w:footnoteReference w:id="12"/>
      </w:r>
      <w:r>
        <w:t xml:space="preserve"> </w:t>
      </w:r>
      <w:r w:rsidRPr="37E03600">
        <w:t>The</w:t>
      </w:r>
      <w:r>
        <w:t xml:space="preserve"> Comptroller’s projections for </w:t>
      </w:r>
      <w:r w:rsidRPr="37E03600">
        <w:t xml:space="preserve">the restaurant industry </w:t>
      </w:r>
      <w:r>
        <w:t xml:space="preserve">are reflected in </w:t>
      </w:r>
      <w:r w:rsidRPr="37E03600">
        <w:t>the results of a recent survey by the New York State Restaurant Association. According to their findings, sales have declined by 79 percent, and New York State restaurants are expected to lose $3.6 billion in sales revenue, in April alone.</w:t>
      </w:r>
      <w:r w:rsidRPr="37E03600">
        <w:rPr>
          <w:rStyle w:val="FootnoteReference"/>
        </w:rPr>
        <w:footnoteReference w:id="13"/>
      </w:r>
      <w:r w:rsidRPr="37E03600">
        <w:t xml:space="preserve"> Just over half (51 percent) of all restaurants have been able to move their operations online, and unemployment rates in this sector have skyrocketed, as 80 percent of restaurant workers have lost their jobs.</w:t>
      </w:r>
      <w:r w:rsidRPr="37E03600">
        <w:rPr>
          <w:rStyle w:val="FootnoteReference"/>
        </w:rPr>
        <w:footnoteReference w:id="14"/>
      </w:r>
    </w:p>
    <w:p w14:paraId="7C3E4EF1" w14:textId="77777777" w:rsidR="00706947" w:rsidRDefault="00706947" w:rsidP="00706947">
      <w:pPr>
        <w:widowControl w:val="0"/>
        <w:spacing w:line="480" w:lineRule="auto"/>
        <w:ind w:firstLine="720"/>
        <w:jc w:val="both"/>
      </w:pPr>
      <w:r w:rsidRPr="37E03600">
        <w:t>In an analysis of the potential economic impacts of the pandemic on New York City households, the New York University Furman Center “</w:t>
      </w:r>
      <w:r w:rsidRPr="37E03600">
        <w:rPr>
          <w:color w:val="222222"/>
        </w:rPr>
        <w:t>estimate[s] that about 1,405,000 (or 34 percent) of the city’s wage earners may be at risk of income loss”</w:t>
      </w:r>
      <w:r w:rsidRPr="37E03600">
        <w:rPr>
          <w:rStyle w:val="FootnoteReference"/>
          <w:color w:val="222222"/>
        </w:rPr>
        <w:footnoteReference w:id="15"/>
      </w:r>
      <w:r w:rsidRPr="37E03600">
        <w:rPr>
          <w:color w:val="222222"/>
        </w:rPr>
        <w:t xml:space="preserve"> as a result of mass layoffs or workplace closures, and that there are nearly 1,032,000 New York City households with at least one wage earner in an occupation more vulnerable to income loss.</w:t>
      </w:r>
      <w:r w:rsidRPr="37E03600">
        <w:rPr>
          <w:rStyle w:val="FootnoteReference"/>
          <w:color w:val="222222"/>
        </w:rPr>
        <w:footnoteReference w:id="16"/>
      </w:r>
      <w:r w:rsidRPr="37E03600">
        <w:rPr>
          <w:color w:val="222222"/>
        </w:rPr>
        <w:t xml:space="preserve"> </w:t>
      </w:r>
      <w:r w:rsidRPr="37E03600">
        <w:t>Additionally, the number of unemployment claims filed with the State has skyrocketed since the “PAUSE”: approximately 144,000 claims were filed in New York City the week of March 22, 2020, up 2,637% from the same period in 2019.</w:t>
      </w:r>
      <w:r w:rsidRPr="37E03600">
        <w:rPr>
          <w:rStyle w:val="FootnoteReference"/>
        </w:rPr>
        <w:footnoteReference w:id="17"/>
      </w:r>
      <w:r w:rsidRPr="37E03600">
        <w:t xml:space="preserve"> With this sudden loss of income, many tenants in the City have been left wondering how they would make their rent payments.</w:t>
      </w:r>
    </w:p>
    <w:p w14:paraId="5DA1A874" w14:textId="77DCB1D7" w:rsidR="00706947" w:rsidRDefault="00706947" w:rsidP="00A77A8C">
      <w:pPr>
        <w:widowControl w:val="0"/>
        <w:spacing w:line="480" w:lineRule="auto"/>
        <w:ind w:firstLine="720"/>
        <w:jc w:val="both"/>
      </w:pPr>
      <w:r w:rsidRPr="37E03600">
        <w:t>In an effort to provide some relief to tenants, the State and federal governments have each enacted measures to halt evictions for a period of time. New York State has implemented a moratorium on evictions, meaning no evictions will be enforced against residential or commercial tenants. The closure of the state courts to all non-essential functions, including eviction proceedings, on May 16,</w:t>
      </w:r>
      <w:r>
        <w:t xml:space="preserve"> 2020</w:t>
      </w:r>
      <w:r w:rsidRPr="37E03600">
        <w:rPr>
          <w:rStyle w:val="FootnoteReference"/>
        </w:rPr>
        <w:footnoteReference w:id="18"/>
      </w:r>
      <w:r w:rsidRPr="37E03600">
        <w:t xml:space="preserve"> was reinforced by Governor Cuomo’s Executive Order No. 202.8, on March 20, 2020.</w:t>
      </w:r>
      <w:r w:rsidRPr="37E03600">
        <w:rPr>
          <w:rStyle w:val="FootnoteReference"/>
        </w:rPr>
        <w:footnoteReference w:id="19"/>
      </w:r>
      <w:r w:rsidRPr="37E03600">
        <w:t xml:space="preserve"> Likewise, the Federal Coronavirus Aid, Relief, and Economic Security Act, otherwise known as the CARES Act, imposes a moratorium on evictions for nonpayment of rent </w:t>
      </w:r>
      <w:r>
        <w:t xml:space="preserve">on </w:t>
      </w:r>
      <w:r w:rsidRPr="37E03600">
        <w:t>all federally subsidized housing.</w:t>
      </w:r>
      <w:r w:rsidRPr="37E03600">
        <w:rPr>
          <w:rStyle w:val="FootnoteReference"/>
        </w:rPr>
        <w:footnoteReference w:id="20"/>
      </w:r>
      <w:r w:rsidR="00A77A8C">
        <w:t xml:space="preserve"> </w:t>
      </w:r>
      <w:r w:rsidRPr="37E03600">
        <w:t>Although the eviction moratoriums serve as temporary stopgaps, they do not provide any kind of relief to tenants for rent owed during the moratoriums</w:t>
      </w:r>
      <w:r w:rsidR="00A77A8C">
        <w:t xml:space="preserve"> nor d</w:t>
      </w:r>
      <w:r w:rsidRPr="37E03600">
        <w:t>o not guarantee that tenants unable to pay rent will be able to stay once the moratoriums are lifted.</w:t>
      </w:r>
    </w:p>
    <w:p w14:paraId="6C06122A" w14:textId="77777777" w:rsidR="00706947" w:rsidRDefault="00706947" w:rsidP="00706947">
      <w:pPr>
        <w:pStyle w:val="ListParagraph"/>
        <w:widowControl w:val="0"/>
        <w:numPr>
          <w:ilvl w:val="1"/>
          <w:numId w:val="2"/>
        </w:numPr>
        <w:spacing w:line="480" w:lineRule="auto"/>
        <w:jc w:val="both"/>
      </w:pPr>
      <w:r w:rsidRPr="37E03600">
        <w:t>Impact on Property Owners</w:t>
      </w:r>
    </w:p>
    <w:p w14:paraId="7479E7C0" w14:textId="10834210" w:rsidR="00706947" w:rsidRDefault="00706947" w:rsidP="00706947">
      <w:pPr>
        <w:widowControl w:val="0"/>
        <w:spacing w:line="480" w:lineRule="auto"/>
        <w:ind w:firstLine="720"/>
        <w:jc w:val="both"/>
      </w:pPr>
      <w:r w:rsidRPr="37E03600">
        <w:t xml:space="preserve">The difficulties faced by small businesses and residential tenants has </w:t>
      </w:r>
      <w:r w:rsidR="00A77A8C">
        <w:t xml:space="preserve">also </w:t>
      </w:r>
      <w:r>
        <w:t>been</w:t>
      </w:r>
      <w:r w:rsidRPr="37E03600">
        <w:t xml:space="preserve"> felt sharply by property owners.</w:t>
      </w:r>
      <w:r>
        <w:t xml:space="preserve"> An eviction moratorium or rent deferral program shifts the financial burden of the lost rent directly to the property owner.</w:t>
      </w:r>
      <w:r w:rsidRPr="37E03600">
        <w:rPr>
          <w:rStyle w:val="FootnoteReference"/>
        </w:rPr>
        <w:footnoteReference w:id="21"/>
      </w:r>
    </w:p>
    <w:p w14:paraId="39AAC96A" w14:textId="6595162C" w:rsidR="00706947" w:rsidRDefault="00706947" w:rsidP="00706947">
      <w:pPr>
        <w:widowControl w:val="0"/>
        <w:spacing w:line="480" w:lineRule="auto"/>
        <w:ind w:firstLine="720"/>
        <w:jc w:val="both"/>
      </w:pPr>
      <w:r w:rsidRPr="37E03600">
        <w:t>Unsurprisingly, rent collections have tumbled. According to a survey by landlord trade group Community Housing Improvement Program, which represents owners of about 100,000 rent-stabilized apartment units, about 25 percent of its member’s residential tenants skipped rent altogether in May, up from 20 percent in April.</w:t>
      </w:r>
      <w:r w:rsidRPr="37E03600">
        <w:rPr>
          <w:rStyle w:val="FootnoteReference"/>
        </w:rPr>
        <w:footnoteReference w:id="22"/>
      </w:r>
      <w:r w:rsidRPr="37E03600">
        <w:t xml:space="preserve"> The results </w:t>
      </w:r>
      <w:r>
        <w:t>align with</w:t>
      </w:r>
      <w:r w:rsidRPr="37E03600">
        <w:t xml:space="preserve"> to a National Multifamily Housing Council report last week that found just 12 percent of tenants at the 11.4 million market-rate properties it tracks failed to make a rent payment for the month.</w:t>
      </w:r>
      <w:r w:rsidR="00F17C0D">
        <w:rPr>
          <w:rStyle w:val="FootnoteReference"/>
        </w:rPr>
        <w:footnoteReference w:id="23"/>
      </w:r>
      <w:r w:rsidRPr="37E03600">
        <w:t xml:space="preserve"> </w:t>
      </w:r>
    </w:p>
    <w:p w14:paraId="5BF2259E" w14:textId="5DD716BE" w:rsidR="00706947" w:rsidRDefault="00706947" w:rsidP="00706947">
      <w:pPr>
        <w:widowControl w:val="0"/>
        <w:spacing w:line="480" w:lineRule="auto"/>
        <w:ind w:firstLine="720"/>
        <w:jc w:val="both"/>
      </w:pPr>
      <w:r w:rsidRPr="00927DFE">
        <w:t>The Community Housing Improvement Program survey also found that 64% percent of retail ground-floor tenants at those apartment buildings surveyed did not pay May rent, as most New York City businesses remained closed.</w:t>
      </w:r>
      <w:r w:rsidRPr="00927DFE">
        <w:rPr>
          <w:rStyle w:val="FootnoteReference"/>
        </w:rPr>
        <w:footnoteReference w:id="24"/>
      </w:r>
      <w:r w:rsidRPr="00927DFE">
        <w:t xml:space="preserve"> The results </w:t>
      </w:r>
      <w:r>
        <w:t xml:space="preserve">align with the finding by </w:t>
      </w:r>
      <w:r w:rsidRPr="00927DFE">
        <w:t xml:space="preserve">Datex Property Solutions </w:t>
      </w:r>
      <w:r w:rsidRPr="00927DFE">
        <w:rPr>
          <w:color w:val="2A2A2A"/>
        </w:rPr>
        <w:t>that nationally only 58.6 percent of retail rents were paid in May.</w:t>
      </w:r>
      <w:r w:rsidRPr="00927DFE">
        <w:rPr>
          <w:rStyle w:val="FootnoteReference"/>
          <w:color w:val="2A2A2A"/>
        </w:rPr>
        <w:footnoteReference w:id="25"/>
      </w:r>
      <w:r>
        <w:rPr>
          <w:color w:val="2A2A2A"/>
        </w:rPr>
        <w:t xml:space="preserve"> According to Datex, t</w:t>
      </w:r>
      <w:r w:rsidRPr="004567B7">
        <w:t>he situation is especially dire for owners of hotels and malls.</w:t>
      </w:r>
      <w:r w:rsidR="00A77A8C">
        <w:t xml:space="preserve"> </w:t>
      </w:r>
      <w:r w:rsidRPr="00C81A4A">
        <w:rPr>
          <w:color w:val="333333"/>
          <w:shd w:val="clear" w:color="auto" w:fill="FFFFFF"/>
        </w:rPr>
        <w:t>Faced with</w:t>
      </w:r>
      <w:r w:rsidRPr="00C81A4A">
        <w:rPr>
          <w:b/>
          <w:bCs/>
          <w:color w:val="333333"/>
          <w:bdr w:val="none" w:sz="0" w:space="0" w:color="auto" w:frame="1"/>
          <w:shd w:val="clear" w:color="auto" w:fill="FFFFFF"/>
        </w:rPr>
        <w:t> </w:t>
      </w:r>
      <w:r w:rsidRPr="00C81A4A">
        <w:rPr>
          <w:color w:val="333333"/>
          <w:shd w:val="clear" w:color="auto" w:fill="FFFFFF"/>
        </w:rPr>
        <w:t>plunging sales,</w:t>
      </w:r>
      <w:r w:rsidRPr="00C81A4A">
        <w:rPr>
          <w:b/>
          <w:bCs/>
          <w:color w:val="333333"/>
          <w:bdr w:val="none" w:sz="0" w:space="0" w:color="auto" w:frame="1"/>
          <w:shd w:val="clear" w:color="auto" w:fill="FFFFFF"/>
        </w:rPr>
        <w:t> </w:t>
      </w:r>
      <w:r w:rsidRPr="00C81A4A">
        <w:rPr>
          <w:color w:val="333333"/>
          <w:shd w:val="clear" w:color="auto" w:fill="FFFFFF"/>
        </w:rPr>
        <w:t>companies are trying to renegotiate their office and retail leases — and in some cases refusing to pay — in hopes of lowering their overhead and surviving the worst economic downturn since the Great Depression.</w:t>
      </w:r>
      <w:r w:rsidRPr="00D75E48">
        <w:rPr>
          <w:rStyle w:val="FootnoteReference"/>
          <w:color w:val="333333"/>
          <w:shd w:val="clear" w:color="auto" w:fill="FFFFFF"/>
        </w:rPr>
        <w:footnoteReference w:id="26"/>
      </w:r>
    </w:p>
    <w:p w14:paraId="573AA651" w14:textId="4CD76C23" w:rsidR="00706947" w:rsidRPr="00A72C70" w:rsidRDefault="00706947" w:rsidP="00706947">
      <w:pPr>
        <w:widowControl w:val="0"/>
        <w:spacing w:line="480" w:lineRule="auto"/>
        <w:ind w:firstLine="720"/>
        <w:jc w:val="both"/>
        <w:rPr>
          <w:color w:val="2A2A2A"/>
        </w:rPr>
      </w:pPr>
      <w:r>
        <w:t xml:space="preserve">Many chains </w:t>
      </w:r>
      <w:r w:rsidRPr="004567B7">
        <w:t>stopped paying rent entirely in May</w:t>
      </w:r>
      <w:r w:rsidRPr="00452D75">
        <w:t xml:space="preserve">, and while </w:t>
      </w:r>
      <w:r w:rsidRPr="004567B7">
        <w:t xml:space="preserve">Starbucks paid May rent </w:t>
      </w:r>
      <w:r w:rsidRPr="00452D75">
        <w:t xml:space="preserve">it also </w:t>
      </w:r>
      <w:r w:rsidRPr="004567B7">
        <w:t xml:space="preserve">sent a letter to landlords requesting </w:t>
      </w:r>
      <w:r w:rsidRPr="00452D75">
        <w:t xml:space="preserve">rent </w:t>
      </w:r>
      <w:r w:rsidRPr="004567B7">
        <w:t>concessions starting June 1 and continuing for 12 months.</w:t>
      </w:r>
      <w:r w:rsidRPr="00452D75">
        <w:rPr>
          <w:rStyle w:val="FootnoteReference"/>
        </w:rPr>
        <w:footnoteReference w:id="27"/>
      </w:r>
      <w:r w:rsidRPr="00452D75">
        <w:t xml:space="preserve"> </w:t>
      </w:r>
      <w:r w:rsidRPr="00452D75">
        <w:rPr>
          <w:color w:val="2A2A2A"/>
        </w:rPr>
        <w:t>Christopher Whalen</w:t>
      </w:r>
      <w:r>
        <w:rPr>
          <w:color w:val="2A2A2A"/>
        </w:rPr>
        <w:t xml:space="preserve"> </w:t>
      </w:r>
      <w:r w:rsidRPr="00452D75">
        <w:rPr>
          <w:color w:val="2A2A2A"/>
        </w:rPr>
        <w:t>of Whalen Global Advisors</w:t>
      </w:r>
      <w:r>
        <w:rPr>
          <w:color w:val="2A2A2A"/>
        </w:rPr>
        <w:t xml:space="preserve"> wrote that</w:t>
      </w:r>
      <w:r w:rsidRPr="00452D75">
        <w:rPr>
          <w:color w:val="2A2A2A"/>
        </w:rPr>
        <w:t xml:space="preserve"> “social distancing means financial Armageddon for commercial real estate and municipalities in coming </w:t>
      </w:r>
      <w:r w:rsidRPr="00A72C70">
        <w:rPr>
          <w:color w:val="2A2A2A"/>
        </w:rPr>
        <w:t>months,” predicting defaults could be worse than the peak losses of the early 1990s commercial real estate bust “by a wide margin.”</w:t>
      </w:r>
      <w:r w:rsidRPr="00A72C70">
        <w:rPr>
          <w:rStyle w:val="FootnoteReference"/>
          <w:color w:val="2A2A2A"/>
        </w:rPr>
        <w:footnoteReference w:id="28"/>
      </w:r>
      <w:r w:rsidRPr="00A72C70">
        <w:rPr>
          <w:color w:val="2A2A2A"/>
        </w:rPr>
        <w:t xml:space="preserve"> One challenge for commercial landlords navigating these challenges is that fewer than 40 percent of commercial property loans are owned by banks, with </w:t>
      </w:r>
      <w:r>
        <w:rPr>
          <w:color w:val="2A2A2A"/>
        </w:rPr>
        <w:t>the remainder</w:t>
      </w:r>
      <w:r w:rsidRPr="00A72C70">
        <w:rPr>
          <w:color w:val="2A2A2A"/>
        </w:rPr>
        <w:t xml:space="preserve"> held by life insurers, real estate investment trusts and investors in commercial mortgage-backed securities.</w:t>
      </w:r>
      <w:r w:rsidRPr="00A72C70">
        <w:rPr>
          <w:rStyle w:val="FootnoteReference"/>
          <w:color w:val="2A2A2A"/>
        </w:rPr>
        <w:footnoteReference w:id="29"/>
      </w:r>
      <w:r w:rsidRPr="00A72C70">
        <w:rPr>
          <w:color w:val="2A2A2A"/>
        </w:rPr>
        <w:t xml:space="preserve"> Such diffuse ownership of commercial real estate debt </w:t>
      </w:r>
      <w:r>
        <w:rPr>
          <w:color w:val="2A2A2A"/>
        </w:rPr>
        <w:t xml:space="preserve">may </w:t>
      </w:r>
      <w:r w:rsidRPr="00A72C70">
        <w:rPr>
          <w:color w:val="2A2A2A"/>
        </w:rPr>
        <w:t>complicate the negotiation of concession agreements.</w:t>
      </w:r>
    </w:p>
    <w:p w14:paraId="30BA0060" w14:textId="6D678D0B" w:rsidR="00706947" w:rsidRDefault="00706947" w:rsidP="00706947">
      <w:pPr>
        <w:widowControl w:val="0"/>
        <w:spacing w:line="480" w:lineRule="auto"/>
        <w:ind w:firstLine="720"/>
        <w:jc w:val="both"/>
      </w:pPr>
      <w:r w:rsidRPr="37E03600">
        <w:t>Historically, New York City has charged interest rates on late payments of property taxes, most recently 7% properties with an assessed value of not more than $250,000</w:t>
      </w:r>
      <w:r w:rsidRPr="37E03600">
        <w:rPr>
          <w:rStyle w:val="FootnoteReference"/>
        </w:rPr>
        <w:footnoteReference w:id="30"/>
      </w:r>
      <w:r w:rsidRPr="37E03600">
        <w:t xml:space="preserve"> and 18% for properties with an assessed value of over $250,000.</w:t>
      </w:r>
      <w:r w:rsidRPr="37E03600">
        <w:rPr>
          <w:rStyle w:val="FootnoteReference"/>
        </w:rPr>
        <w:footnoteReference w:id="31"/>
      </w:r>
      <w:r w:rsidRPr="37E03600">
        <w:t xml:space="preserve"> To avoid accelerating mounting pressures on COVID-impacted property taxpayers, the proposed bills propose temporarily relaxing those interest rates under specific circumstances.</w:t>
      </w:r>
    </w:p>
    <w:p w14:paraId="58527170" w14:textId="77777777" w:rsidR="00706947" w:rsidRPr="00706947" w:rsidRDefault="00E553E1" w:rsidP="00706947">
      <w:pPr>
        <w:pStyle w:val="ListParagraph"/>
        <w:widowControl w:val="0"/>
        <w:numPr>
          <w:ilvl w:val="0"/>
          <w:numId w:val="2"/>
        </w:numPr>
        <w:spacing w:line="480" w:lineRule="auto"/>
        <w:jc w:val="both"/>
        <w:rPr>
          <w:b/>
          <w:bCs/>
          <w:u w:val="single"/>
        </w:rPr>
      </w:pPr>
      <w:r w:rsidRPr="00706947">
        <w:rPr>
          <w:b/>
          <w:bCs/>
        </w:rPr>
        <w:t>COVID-19 Spending in New York City</w:t>
      </w:r>
    </w:p>
    <w:p w14:paraId="1FB6EDBF" w14:textId="77777777" w:rsidR="00706947" w:rsidRDefault="00706947" w:rsidP="00706947">
      <w:pPr>
        <w:widowControl w:val="0"/>
        <w:spacing w:line="480" w:lineRule="auto"/>
        <w:ind w:firstLine="720"/>
        <w:jc w:val="both"/>
      </w:pPr>
      <w:r w:rsidRPr="00E553E1">
        <w:t xml:space="preserve">To date, the City has received approximately $2.8 billion in COVID-19 related funding, with obligations totaling approximately $2.3 billion. The budget includes funding received from federal, state or local sources, and the obligations represents the money that has been entered into a contract and has either been paid or will be paid at some point in the future. The agency with the largest COVID-19 budget is Department of Citywide Administrative Services with a current budget of $1.4 billion, or 52 percent, of the city’s total COVID-19 budget.  </w:t>
      </w:r>
    </w:p>
    <w:p w14:paraId="78F6F9D0" w14:textId="20032A13" w:rsidR="00706947" w:rsidRDefault="00706947" w:rsidP="00706947">
      <w:pPr>
        <w:widowControl w:val="0"/>
        <w:spacing w:line="480" w:lineRule="auto"/>
        <w:ind w:firstLine="720"/>
        <w:jc w:val="both"/>
      </w:pPr>
      <w:r w:rsidRPr="00E553E1">
        <w:t xml:space="preserve">The chart below summarizes the budget and obligations for city agencies and offices as of May 8, 2020, as provided by the Council Finance Division. </w:t>
      </w:r>
    </w:p>
    <w:p w14:paraId="7FA312A2" w14:textId="77777777" w:rsidR="00A77A8C" w:rsidRDefault="00A77A8C" w:rsidP="00706947">
      <w:pPr>
        <w:widowControl w:val="0"/>
        <w:spacing w:line="480" w:lineRule="auto"/>
        <w:jc w:val="center"/>
        <w:rPr>
          <w:b/>
          <w:bCs/>
        </w:rPr>
      </w:pPr>
    </w:p>
    <w:p w14:paraId="35DA9035" w14:textId="1F905895" w:rsidR="00706947" w:rsidRPr="00706947" w:rsidRDefault="00706947" w:rsidP="00706947">
      <w:pPr>
        <w:widowControl w:val="0"/>
        <w:spacing w:line="480" w:lineRule="auto"/>
        <w:jc w:val="center"/>
      </w:pPr>
      <w:r w:rsidRPr="00706947">
        <w:rPr>
          <w:b/>
          <w:bCs/>
        </w:rPr>
        <w:t>COVID-19 Spending in New York City</w:t>
      </w:r>
    </w:p>
    <w:tbl>
      <w:tblPr>
        <w:tblStyle w:val="TableGrid"/>
        <w:tblW w:w="0" w:type="auto"/>
        <w:tblLayout w:type="fixed"/>
        <w:tblLook w:val="06A0" w:firstRow="1" w:lastRow="0" w:firstColumn="1" w:lastColumn="0" w:noHBand="1" w:noVBand="1"/>
      </w:tblPr>
      <w:tblGrid>
        <w:gridCol w:w="5670"/>
        <w:gridCol w:w="1830"/>
        <w:gridCol w:w="1860"/>
      </w:tblGrid>
      <w:tr w:rsidR="00706947" w:rsidRPr="00E553E1" w14:paraId="36BF1E92" w14:textId="77777777" w:rsidTr="00102527">
        <w:tc>
          <w:tcPr>
            <w:tcW w:w="5670" w:type="dxa"/>
          </w:tcPr>
          <w:p w14:paraId="1CDB0D9C" w14:textId="77777777" w:rsidR="00706947" w:rsidRPr="00E553E1" w:rsidRDefault="00706947" w:rsidP="00102527">
            <w:pPr>
              <w:keepNext/>
              <w:widowControl w:val="0"/>
            </w:pPr>
            <w:r w:rsidRPr="00E553E1">
              <w:rPr>
                <w:rFonts w:ascii="Arial" w:eastAsia="Arial" w:hAnsi="Arial" w:cs="Arial"/>
                <w:b/>
                <w:bCs/>
                <w:color w:val="000000" w:themeColor="text1"/>
                <w:sz w:val="20"/>
                <w:szCs w:val="20"/>
              </w:rPr>
              <w:t>Agency</w:t>
            </w:r>
          </w:p>
        </w:tc>
        <w:tc>
          <w:tcPr>
            <w:tcW w:w="1830" w:type="dxa"/>
          </w:tcPr>
          <w:p w14:paraId="1AA5D0AC" w14:textId="77777777" w:rsidR="00706947" w:rsidRPr="00E553E1" w:rsidRDefault="00706947" w:rsidP="00102527">
            <w:pPr>
              <w:keepNext/>
              <w:widowControl w:val="0"/>
            </w:pPr>
            <w:r w:rsidRPr="00E553E1">
              <w:rPr>
                <w:rFonts w:ascii="Arial" w:eastAsia="Arial" w:hAnsi="Arial" w:cs="Arial"/>
                <w:b/>
                <w:bCs/>
                <w:color w:val="000000" w:themeColor="text1"/>
                <w:sz w:val="20"/>
                <w:szCs w:val="20"/>
              </w:rPr>
              <w:t>Budget</w:t>
            </w:r>
          </w:p>
        </w:tc>
        <w:tc>
          <w:tcPr>
            <w:tcW w:w="1860" w:type="dxa"/>
          </w:tcPr>
          <w:p w14:paraId="66431665" w14:textId="77777777" w:rsidR="00706947" w:rsidRPr="00E553E1" w:rsidRDefault="00706947" w:rsidP="00102527">
            <w:pPr>
              <w:keepNext/>
              <w:widowControl w:val="0"/>
            </w:pPr>
            <w:r w:rsidRPr="00E553E1">
              <w:rPr>
                <w:rFonts w:ascii="Arial" w:eastAsia="Arial" w:hAnsi="Arial" w:cs="Arial"/>
                <w:b/>
                <w:bCs/>
                <w:color w:val="000000" w:themeColor="text1"/>
                <w:sz w:val="20"/>
                <w:szCs w:val="20"/>
              </w:rPr>
              <w:t>Obligations</w:t>
            </w:r>
          </w:p>
        </w:tc>
      </w:tr>
      <w:tr w:rsidR="00706947" w:rsidRPr="00E553E1" w14:paraId="72403837" w14:textId="77777777" w:rsidTr="00102527">
        <w:tc>
          <w:tcPr>
            <w:tcW w:w="5670" w:type="dxa"/>
          </w:tcPr>
          <w:p w14:paraId="5D04A6DF" w14:textId="77777777" w:rsidR="00706947" w:rsidRPr="00E553E1" w:rsidRDefault="00706947" w:rsidP="00102527">
            <w:pPr>
              <w:widowControl w:val="0"/>
            </w:pPr>
            <w:r w:rsidRPr="00E553E1">
              <w:rPr>
                <w:rFonts w:ascii="Arial" w:eastAsia="Arial" w:hAnsi="Arial" w:cs="Arial"/>
                <w:color w:val="000000" w:themeColor="text1"/>
                <w:sz w:val="20"/>
                <w:szCs w:val="20"/>
              </w:rPr>
              <w:t>Department of Citywide Administrative Services</w:t>
            </w:r>
          </w:p>
        </w:tc>
        <w:tc>
          <w:tcPr>
            <w:tcW w:w="1830" w:type="dxa"/>
          </w:tcPr>
          <w:p w14:paraId="16829F11" w14:textId="77777777" w:rsidR="00706947" w:rsidRPr="00E553E1" w:rsidRDefault="00706947" w:rsidP="00102527">
            <w:pPr>
              <w:widowControl w:val="0"/>
            </w:pPr>
            <w:r w:rsidRPr="00E553E1">
              <w:rPr>
                <w:rFonts w:ascii="Arial" w:eastAsia="Arial" w:hAnsi="Arial" w:cs="Arial"/>
                <w:color w:val="000000" w:themeColor="text1"/>
                <w:sz w:val="20"/>
                <w:szCs w:val="20"/>
              </w:rPr>
              <w:t>$1,442,521,255</w:t>
            </w:r>
          </w:p>
        </w:tc>
        <w:tc>
          <w:tcPr>
            <w:tcW w:w="1860" w:type="dxa"/>
          </w:tcPr>
          <w:p w14:paraId="2C1D11CA" w14:textId="77777777" w:rsidR="00706947" w:rsidRPr="00E553E1" w:rsidRDefault="00706947" w:rsidP="00102527">
            <w:pPr>
              <w:widowControl w:val="0"/>
            </w:pPr>
            <w:r w:rsidRPr="00E553E1">
              <w:rPr>
                <w:rFonts w:ascii="Arial" w:eastAsia="Arial" w:hAnsi="Arial" w:cs="Arial"/>
                <w:color w:val="000000" w:themeColor="text1"/>
                <w:sz w:val="20"/>
                <w:szCs w:val="20"/>
              </w:rPr>
              <w:t>$1,235,900,027</w:t>
            </w:r>
          </w:p>
        </w:tc>
      </w:tr>
      <w:tr w:rsidR="00706947" w:rsidRPr="00E553E1" w14:paraId="45A342C0" w14:textId="77777777" w:rsidTr="00102527">
        <w:tc>
          <w:tcPr>
            <w:tcW w:w="5670" w:type="dxa"/>
          </w:tcPr>
          <w:p w14:paraId="24B97AE9" w14:textId="77777777" w:rsidR="00706947" w:rsidRPr="00E553E1" w:rsidRDefault="00706947" w:rsidP="00102527">
            <w:pPr>
              <w:widowControl w:val="0"/>
              <w:rPr>
                <w:rFonts w:ascii="Arial" w:eastAsia="Arial" w:hAnsi="Arial" w:cs="Arial"/>
                <w:color w:val="000000" w:themeColor="text1"/>
                <w:sz w:val="20"/>
                <w:szCs w:val="20"/>
              </w:rPr>
            </w:pPr>
            <w:r w:rsidRPr="00E553E1">
              <w:rPr>
                <w:rFonts w:ascii="Arial" w:eastAsia="Arial" w:hAnsi="Arial" w:cs="Arial"/>
                <w:color w:val="000000" w:themeColor="text1"/>
                <w:sz w:val="20"/>
                <w:szCs w:val="20"/>
              </w:rPr>
              <w:t>Office of Emergency Management</w:t>
            </w:r>
          </w:p>
        </w:tc>
        <w:tc>
          <w:tcPr>
            <w:tcW w:w="1830" w:type="dxa"/>
          </w:tcPr>
          <w:p w14:paraId="7AAD09E4" w14:textId="77777777" w:rsidR="00706947" w:rsidRPr="00E553E1" w:rsidRDefault="00706947" w:rsidP="00102527">
            <w:pPr>
              <w:widowControl w:val="0"/>
            </w:pPr>
            <w:r w:rsidRPr="00E553E1">
              <w:rPr>
                <w:rFonts w:ascii="Arial" w:eastAsia="Arial" w:hAnsi="Arial" w:cs="Arial"/>
                <w:color w:val="000000" w:themeColor="text1"/>
                <w:sz w:val="20"/>
                <w:szCs w:val="20"/>
              </w:rPr>
              <w:t>$379,000,000</w:t>
            </w:r>
          </w:p>
        </w:tc>
        <w:tc>
          <w:tcPr>
            <w:tcW w:w="1860" w:type="dxa"/>
          </w:tcPr>
          <w:p w14:paraId="5B617A72" w14:textId="77777777" w:rsidR="00706947" w:rsidRPr="00E553E1" w:rsidRDefault="00706947" w:rsidP="00102527">
            <w:pPr>
              <w:widowControl w:val="0"/>
            </w:pPr>
            <w:r w:rsidRPr="00E553E1">
              <w:rPr>
                <w:rFonts w:ascii="Arial" w:eastAsia="Arial" w:hAnsi="Arial" w:cs="Arial"/>
                <w:color w:val="000000" w:themeColor="text1"/>
                <w:sz w:val="20"/>
                <w:szCs w:val="20"/>
              </w:rPr>
              <w:t>$317,117,340</w:t>
            </w:r>
          </w:p>
        </w:tc>
      </w:tr>
      <w:tr w:rsidR="00706947" w:rsidRPr="00E553E1" w14:paraId="0F0E8F26" w14:textId="77777777" w:rsidTr="00102527">
        <w:tc>
          <w:tcPr>
            <w:tcW w:w="5670" w:type="dxa"/>
          </w:tcPr>
          <w:p w14:paraId="2344A9B3" w14:textId="77777777" w:rsidR="00706947" w:rsidRPr="00E553E1" w:rsidRDefault="00706947" w:rsidP="00102527">
            <w:pPr>
              <w:widowControl w:val="0"/>
            </w:pPr>
            <w:r w:rsidRPr="00E553E1">
              <w:rPr>
                <w:rFonts w:ascii="Arial" w:eastAsia="Arial" w:hAnsi="Arial" w:cs="Arial"/>
                <w:color w:val="000000" w:themeColor="text1"/>
                <w:sz w:val="20"/>
                <w:szCs w:val="20"/>
              </w:rPr>
              <w:t>Department of Sanitation</w:t>
            </w:r>
          </w:p>
        </w:tc>
        <w:tc>
          <w:tcPr>
            <w:tcW w:w="1830" w:type="dxa"/>
          </w:tcPr>
          <w:p w14:paraId="1C2F0BBA" w14:textId="77777777" w:rsidR="00706947" w:rsidRPr="00E553E1" w:rsidRDefault="00706947" w:rsidP="00102527">
            <w:pPr>
              <w:widowControl w:val="0"/>
            </w:pPr>
            <w:r w:rsidRPr="00E553E1">
              <w:rPr>
                <w:rFonts w:ascii="Arial" w:eastAsia="Arial" w:hAnsi="Arial" w:cs="Arial"/>
                <w:color w:val="000000" w:themeColor="text1"/>
                <w:sz w:val="20"/>
                <w:szCs w:val="20"/>
              </w:rPr>
              <w:t>$265,246,753</w:t>
            </w:r>
          </w:p>
        </w:tc>
        <w:tc>
          <w:tcPr>
            <w:tcW w:w="1860" w:type="dxa"/>
          </w:tcPr>
          <w:p w14:paraId="53E18DED" w14:textId="77777777" w:rsidR="00706947" w:rsidRPr="00E553E1" w:rsidRDefault="00706947" w:rsidP="00102527">
            <w:pPr>
              <w:widowControl w:val="0"/>
            </w:pPr>
            <w:r w:rsidRPr="00E553E1">
              <w:rPr>
                <w:rFonts w:ascii="Arial" w:eastAsia="Arial" w:hAnsi="Arial" w:cs="Arial"/>
                <w:color w:val="000000" w:themeColor="text1"/>
                <w:sz w:val="20"/>
                <w:szCs w:val="20"/>
              </w:rPr>
              <w:t>$140,660,501</w:t>
            </w:r>
          </w:p>
        </w:tc>
      </w:tr>
      <w:tr w:rsidR="00706947" w:rsidRPr="00E553E1" w14:paraId="6EA09A42" w14:textId="77777777" w:rsidTr="00102527">
        <w:tc>
          <w:tcPr>
            <w:tcW w:w="5670" w:type="dxa"/>
          </w:tcPr>
          <w:p w14:paraId="3C96544F" w14:textId="77777777" w:rsidR="00706947" w:rsidRPr="00E553E1" w:rsidRDefault="00706947" w:rsidP="00102527">
            <w:pPr>
              <w:widowControl w:val="0"/>
            </w:pPr>
            <w:r w:rsidRPr="00E553E1">
              <w:rPr>
                <w:rFonts w:ascii="Arial" w:eastAsia="Arial" w:hAnsi="Arial" w:cs="Arial"/>
                <w:color w:val="000000" w:themeColor="text1"/>
                <w:sz w:val="20"/>
                <w:szCs w:val="20"/>
              </w:rPr>
              <w:t>Department of Design and Construction</w:t>
            </w:r>
          </w:p>
        </w:tc>
        <w:tc>
          <w:tcPr>
            <w:tcW w:w="1830" w:type="dxa"/>
          </w:tcPr>
          <w:p w14:paraId="6E2D3AAE" w14:textId="77777777" w:rsidR="00706947" w:rsidRPr="00E553E1" w:rsidRDefault="00706947" w:rsidP="00102527">
            <w:pPr>
              <w:widowControl w:val="0"/>
            </w:pPr>
            <w:r w:rsidRPr="00E553E1">
              <w:rPr>
                <w:rFonts w:ascii="Arial" w:eastAsia="Arial" w:hAnsi="Arial" w:cs="Arial"/>
                <w:color w:val="000000" w:themeColor="text1"/>
                <w:sz w:val="20"/>
                <w:szCs w:val="20"/>
              </w:rPr>
              <w:t>$222,866,906</w:t>
            </w:r>
          </w:p>
        </w:tc>
        <w:tc>
          <w:tcPr>
            <w:tcW w:w="1860" w:type="dxa"/>
          </w:tcPr>
          <w:p w14:paraId="58311933" w14:textId="77777777" w:rsidR="00706947" w:rsidRPr="00E553E1" w:rsidRDefault="00706947" w:rsidP="00102527">
            <w:pPr>
              <w:widowControl w:val="0"/>
            </w:pPr>
            <w:r w:rsidRPr="00E553E1">
              <w:rPr>
                <w:rFonts w:ascii="Arial" w:eastAsia="Arial" w:hAnsi="Arial" w:cs="Arial"/>
                <w:color w:val="000000" w:themeColor="text1"/>
                <w:sz w:val="20"/>
                <w:szCs w:val="20"/>
              </w:rPr>
              <w:t>$126,718,924</w:t>
            </w:r>
          </w:p>
        </w:tc>
      </w:tr>
      <w:tr w:rsidR="00706947" w:rsidRPr="00E553E1" w14:paraId="35D1AA2B" w14:textId="77777777" w:rsidTr="00102527">
        <w:tc>
          <w:tcPr>
            <w:tcW w:w="5670" w:type="dxa"/>
          </w:tcPr>
          <w:p w14:paraId="224AC2ED" w14:textId="77777777" w:rsidR="00706947" w:rsidRPr="00E553E1" w:rsidRDefault="00706947" w:rsidP="00102527">
            <w:pPr>
              <w:widowControl w:val="0"/>
            </w:pPr>
            <w:r w:rsidRPr="00E553E1">
              <w:rPr>
                <w:rFonts w:ascii="Arial" w:eastAsia="Arial" w:hAnsi="Arial" w:cs="Arial"/>
                <w:color w:val="000000" w:themeColor="text1"/>
                <w:sz w:val="20"/>
                <w:szCs w:val="20"/>
              </w:rPr>
              <w:t>Department of Small Business Services</w:t>
            </w:r>
          </w:p>
        </w:tc>
        <w:tc>
          <w:tcPr>
            <w:tcW w:w="1830" w:type="dxa"/>
          </w:tcPr>
          <w:p w14:paraId="2924B5C5" w14:textId="77777777" w:rsidR="00706947" w:rsidRPr="00E553E1" w:rsidRDefault="00706947" w:rsidP="00102527">
            <w:pPr>
              <w:widowControl w:val="0"/>
            </w:pPr>
            <w:r w:rsidRPr="00E553E1">
              <w:rPr>
                <w:rFonts w:ascii="Arial" w:eastAsia="Arial" w:hAnsi="Arial" w:cs="Arial"/>
                <w:color w:val="000000" w:themeColor="text1"/>
                <w:sz w:val="20"/>
                <w:szCs w:val="20"/>
              </w:rPr>
              <w:t>$149,100,000</w:t>
            </w:r>
          </w:p>
        </w:tc>
        <w:tc>
          <w:tcPr>
            <w:tcW w:w="1860" w:type="dxa"/>
          </w:tcPr>
          <w:p w14:paraId="005E1ED6" w14:textId="77777777" w:rsidR="00706947" w:rsidRPr="00E553E1" w:rsidRDefault="00706947" w:rsidP="00102527">
            <w:pPr>
              <w:widowControl w:val="0"/>
            </w:pPr>
            <w:r w:rsidRPr="00E553E1">
              <w:rPr>
                <w:rFonts w:ascii="Arial" w:eastAsia="Arial" w:hAnsi="Arial" w:cs="Arial"/>
                <w:color w:val="000000" w:themeColor="text1"/>
                <w:sz w:val="20"/>
                <w:szCs w:val="20"/>
              </w:rPr>
              <w:t>$118,653,512</w:t>
            </w:r>
          </w:p>
        </w:tc>
      </w:tr>
      <w:tr w:rsidR="00706947" w:rsidRPr="00E553E1" w14:paraId="07684343" w14:textId="77777777" w:rsidTr="00102527">
        <w:tc>
          <w:tcPr>
            <w:tcW w:w="5670" w:type="dxa"/>
          </w:tcPr>
          <w:p w14:paraId="477A16D4" w14:textId="77777777" w:rsidR="00706947" w:rsidRPr="00E553E1" w:rsidRDefault="00706947" w:rsidP="00102527">
            <w:pPr>
              <w:widowControl w:val="0"/>
            </w:pPr>
            <w:r w:rsidRPr="00E553E1">
              <w:rPr>
                <w:rFonts w:ascii="Arial" w:eastAsia="Arial" w:hAnsi="Arial" w:cs="Arial"/>
                <w:color w:val="000000" w:themeColor="text1"/>
                <w:sz w:val="20"/>
                <w:szCs w:val="20"/>
              </w:rPr>
              <w:t>Department of Health and Mental Hygiene</w:t>
            </w:r>
          </w:p>
        </w:tc>
        <w:tc>
          <w:tcPr>
            <w:tcW w:w="1830" w:type="dxa"/>
          </w:tcPr>
          <w:p w14:paraId="31CA97C3" w14:textId="77777777" w:rsidR="00706947" w:rsidRPr="00E553E1" w:rsidRDefault="00706947" w:rsidP="00102527">
            <w:pPr>
              <w:widowControl w:val="0"/>
            </w:pPr>
            <w:r w:rsidRPr="00E553E1">
              <w:rPr>
                <w:rFonts w:ascii="Arial" w:eastAsia="Arial" w:hAnsi="Arial" w:cs="Arial"/>
                <w:color w:val="000000" w:themeColor="text1"/>
                <w:sz w:val="20"/>
                <w:szCs w:val="20"/>
              </w:rPr>
              <w:t>$125,633,592</w:t>
            </w:r>
          </w:p>
        </w:tc>
        <w:tc>
          <w:tcPr>
            <w:tcW w:w="1860" w:type="dxa"/>
          </w:tcPr>
          <w:p w14:paraId="442CD806" w14:textId="77777777" w:rsidR="00706947" w:rsidRPr="00E553E1" w:rsidRDefault="00706947" w:rsidP="00102527">
            <w:pPr>
              <w:widowControl w:val="0"/>
            </w:pPr>
            <w:r w:rsidRPr="00E553E1">
              <w:rPr>
                <w:rFonts w:ascii="Arial" w:eastAsia="Arial" w:hAnsi="Arial" w:cs="Arial"/>
                <w:color w:val="000000" w:themeColor="text1"/>
                <w:sz w:val="20"/>
                <w:szCs w:val="20"/>
              </w:rPr>
              <w:t>$72,664,165</w:t>
            </w:r>
          </w:p>
        </w:tc>
      </w:tr>
      <w:tr w:rsidR="00706947" w:rsidRPr="00E553E1" w14:paraId="78523F20" w14:textId="77777777" w:rsidTr="00102527">
        <w:tc>
          <w:tcPr>
            <w:tcW w:w="5670" w:type="dxa"/>
          </w:tcPr>
          <w:p w14:paraId="45E91617" w14:textId="77777777" w:rsidR="00706947" w:rsidRPr="00E553E1" w:rsidRDefault="00706947" w:rsidP="00102527">
            <w:pPr>
              <w:widowControl w:val="0"/>
            </w:pPr>
            <w:r w:rsidRPr="00E553E1">
              <w:rPr>
                <w:rFonts w:ascii="Arial" w:eastAsia="Arial" w:hAnsi="Arial" w:cs="Arial"/>
                <w:color w:val="000000" w:themeColor="text1"/>
                <w:sz w:val="20"/>
                <w:szCs w:val="20"/>
              </w:rPr>
              <w:t>Department of Information Technology and Telecommunications</w:t>
            </w:r>
          </w:p>
        </w:tc>
        <w:tc>
          <w:tcPr>
            <w:tcW w:w="1830" w:type="dxa"/>
          </w:tcPr>
          <w:p w14:paraId="1A014567" w14:textId="77777777" w:rsidR="00706947" w:rsidRPr="00E553E1" w:rsidRDefault="00706947" w:rsidP="00102527">
            <w:pPr>
              <w:widowControl w:val="0"/>
            </w:pPr>
            <w:r w:rsidRPr="00E553E1">
              <w:rPr>
                <w:rFonts w:ascii="Arial" w:eastAsia="Arial" w:hAnsi="Arial" w:cs="Arial"/>
                <w:color w:val="000000" w:themeColor="text1"/>
                <w:sz w:val="20"/>
                <w:szCs w:val="20"/>
              </w:rPr>
              <w:t>$88,063,646</w:t>
            </w:r>
          </w:p>
        </w:tc>
        <w:tc>
          <w:tcPr>
            <w:tcW w:w="1860" w:type="dxa"/>
          </w:tcPr>
          <w:p w14:paraId="3DD03A1D" w14:textId="77777777" w:rsidR="00706947" w:rsidRPr="00E553E1" w:rsidRDefault="00706947" w:rsidP="00102527">
            <w:pPr>
              <w:widowControl w:val="0"/>
            </w:pPr>
            <w:r w:rsidRPr="00E553E1">
              <w:rPr>
                <w:rFonts w:ascii="Arial" w:eastAsia="Arial" w:hAnsi="Arial" w:cs="Arial"/>
                <w:color w:val="000000" w:themeColor="text1"/>
                <w:sz w:val="20"/>
                <w:szCs w:val="20"/>
              </w:rPr>
              <w:t>$71,025,795</w:t>
            </w:r>
          </w:p>
        </w:tc>
      </w:tr>
      <w:tr w:rsidR="00706947" w:rsidRPr="00E553E1" w14:paraId="6105DD3E" w14:textId="77777777" w:rsidTr="00102527">
        <w:tc>
          <w:tcPr>
            <w:tcW w:w="5670" w:type="dxa"/>
          </w:tcPr>
          <w:p w14:paraId="064CB19A" w14:textId="77777777" w:rsidR="00706947" w:rsidRPr="00E553E1" w:rsidRDefault="00706947" w:rsidP="00102527">
            <w:pPr>
              <w:widowControl w:val="0"/>
            </w:pPr>
            <w:r w:rsidRPr="00E553E1">
              <w:rPr>
                <w:rFonts w:ascii="Arial" w:eastAsia="Arial" w:hAnsi="Arial" w:cs="Arial"/>
                <w:color w:val="000000" w:themeColor="text1"/>
                <w:sz w:val="20"/>
                <w:szCs w:val="20"/>
              </w:rPr>
              <w:t>Department of Education</w:t>
            </w:r>
          </w:p>
        </w:tc>
        <w:tc>
          <w:tcPr>
            <w:tcW w:w="1830" w:type="dxa"/>
          </w:tcPr>
          <w:p w14:paraId="474627E7"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6975A347" w14:textId="77777777" w:rsidR="00706947" w:rsidRPr="00E553E1" w:rsidRDefault="00706947" w:rsidP="00102527">
            <w:pPr>
              <w:widowControl w:val="0"/>
            </w:pPr>
            <w:r w:rsidRPr="00E553E1">
              <w:rPr>
                <w:rFonts w:ascii="Arial" w:eastAsia="Arial" w:hAnsi="Arial" w:cs="Arial"/>
                <w:color w:val="000000" w:themeColor="text1"/>
                <w:sz w:val="20"/>
                <w:szCs w:val="20"/>
              </w:rPr>
              <w:t>$53,956,971</w:t>
            </w:r>
          </w:p>
        </w:tc>
      </w:tr>
      <w:tr w:rsidR="00706947" w:rsidRPr="00E553E1" w14:paraId="3F71EEF4" w14:textId="77777777" w:rsidTr="00102527">
        <w:tc>
          <w:tcPr>
            <w:tcW w:w="5670" w:type="dxa"/>
          </w:tcPr>
          <w:p w14:paraId="3905766E" w14:textId="77777777" w:rsidR="00706947" w:rsidRPr="00E553E1" w:rsidRDefault="00706947" w:rsidP="00102527">
            <w:pPr>
              <w:widowControl w:val="0"/>
            </w:pPr>
            <w:r w:rsidRPr="00E553E1">
              <w:rPr>
                <w:rFonts w:ascii="Arial" w:eastAsia="Arial" w:hAnsi="Arial" w:cs="Arial"/>
                <w:color w:val="000000" w:themeColor="text1"/>
                <w:sz w:val="20"/>
                <w:szCs w:val="20"/>
              </w:rPr>
              <w:t>Fire Department</w:t>
            </w:r>
          </w:p>
        </w:tc>
        <w:tc>
          <w:tcPr>
            <w:tcW w:w="1830" w:type="dxa"/>
          </w:tcPr>
          <w:p w14:paraId="219D2AD0" w14:textId="77777777" w:rsidR="00706947" w:rsidRPr="00E553E1" w:rsidRDefault="00706947" w:rsidP="00102527">
            <w:pPr>
              <w:widowControl w:val="0"/>
            </w:pPr>
            <w:r w:rsidRPr="00E553E1">
              <w:rPr>
                <w:rFonts w:ascii="Arial" w:eastAsia="Arial" w:hAnsi="Arial" w:cs="Arial"/>
                <w:color w:val="000000" w:themeColor="text1"/>
                <w:sz w:val="20"/>
                <w:szCs w:val="20"/>
              </w:rPr>
              <w:t>$8,307,997</w:t>
            </w:r>
          </w:p>
        </w:tc>
        <w:tc>
          <w:tcPr>
            <w:tcW w:w="1860" w:type="dxa"/>
          </w:tcPr>
          <w:p w14:paraId="258020AA" w14:textId="77777777" w:rsidR="00706947" w:rsidRPr="00E553E1" w:rsidRDefault="00706947" w:rsidP="00102527">
            <w:pPr>
              <w:widowControl w:val="0"/>
            </w:pPr>
            <w:r w:rsidRPr="00E553E1">
              <w:rPr>
                <w:rFonts w:ascii="Arial" w:eastAsia="Arial" w:hAnsi="Arial" w:cs="Arial"/>
                <w:color w:val="000000" w:themeColor="text1"/>
                <w:sz w:val="20"/>
                <w:szCs w:val="20"/>
              </w:rPr>
              <w:t>$45,112,211</w:t>
            </w:r>
          </w:p>
        </w:tc>
      </w:tr>
      <w:tr w:rsidR="00706947" w:rsidRPr="00E553E1" w14:paraId="420A94BB" w14:textId="77777777" w:rsidTr="00102527">
        <w:tc>
          <w:tcPr>
            <w:tcW w:w="5670" w:type="dxa"/>
          </w:tcPr>
          <w:p w14:paraId="10E8CE46" w14:textId="77777777" w:rsidR="00706947" w:rsidRPr="00E553E1" w:rsidRDefault="00706947" w:rsidP="00102527">
            <w:pPr>
              <w:widowControl w:val="0"/>
            </w:pPr>
            <w:r w:rsidRPr="00E553E1">
              <w:rPr>
                <w:rFonts w:ascii="Arial" w:eastAsia="Arial" w:hAnsi="Arial" w:cs="Arial"/>
                <w:color w:val="000000" w:themeColor="text1"/>
                <w:sz w:val="20"/>
                <w:szCs w:val="20"/>
              </w:rPr>
              <w:t>Department of Homeless Services</w:t>
            </w:r>
          </w:p>
        </w:tc>
        <w:tc>
          <w:tcPr>
            <w:tcW w:w="1830" w:type="dxa"/>
          </w:tcPr>
          <w:p w14:paraId="4E3E1FC8" w14:textId="77777777" w:rsidR="00706947" w:rsidRPr="00E553E1" w:rsidRDefault="00706947" w:rsidP="00102527">
            <w:pPr>
              <w:widowControl w:val="0"/>
            </w:pPr>
            <w:r w:rsidRPr="00E553E1">
              <w:rPr>
                <w:rFonts w:ascii="Arial" w:eastAsia="Arial" w:hAnsi="Arial" w:cs="Arial"/>
                <w:color w:val="000000" w:themeColor="text1"/>
                <w:sz w:val="20"/>
                <w:szCs w:val="20"/>
              </w:rPr>
              <w:t>$50,000,000</w:t>
            </w:r>
          </w:p>
        </w:tc>
        <w:tc>
          <w:tcPr>
            <w:tcW w:w="1860" w:type="dxa"/>
          </w:tcPr>
          <w:p w14:paraId="40561904" w14:textId="77777777" w:rsidR="00706947" w:rsidRPr="00E553E1" w:rsidRDefault="00706947" w:rsidP="00102527">
            <w:pPr>
              <w:widowControl w:val="0"/>
            </w:pPr>
            <w:r w:rsidRPr="00E553E1">
              <w:rPr>
                <w:rFonts w:ascii="Arial" w:eastAsia="Arial" w:hAnsi="Arial" w:cs="Arial"/>
                <w:color w:val="000000" w:themeColor="text1"/>
                <w:sz w:val="20"/>
                <w:szCs w:val="20"/>
              </w:rPr>
              <w:t>$36,738,699</w:t>
            </w:r>
          </w:p>
        </w:tc>
      </w:tr>
      <w:tr w:rsidR="00706947" w:rsidRPr="00E553E1" w14:paraId="4AEF682E" w14:textId="77777777" w:rsidTr="00102527">
        <w:tc>
          <w:tcPr>
            <w:tcW w:w="5670" w:type="dxa"/>
          </w:tcPr>
          <w:p w14:paraId="2AF8A174" w14:textId="77777777" w:rsidR="00706947" w:rsidRPr="00E553E1" w:rsidRDefault="00706947" w:rsidP="00102527">
            <w:pPr>
              <w:widowControl w:val="0"/>
            </w:pPr>
            <w:r w:rsidRPr="00E553E1">
              <w:rPr>
                <w:rFonts w:ascii="Arial" w:eastAsia="Arial" w:hAnsi="Arial" w:cs="Arial"/>
                <w:color w:val="000000" w:themeColor="text1"/>
                <w:sz w:val="20"/>
                <w:szCs w:val="20"/>
              </w:rPr>
              <w:t>Department for the Aging</w:t>
            </w:r>
          </w:p>
        </w:tc>
        <w:tc>
          <w:tcPr>
            <w:tcW w:w="1830" w:type="dxa"/>
          </w:tcPr>
          <w:p w14:paraId="1F56989D" w14:textId="77777777" w:rsidR="00706947" w:rsidRPr="00E553E1" w:rsidRDefault="00706947" w:rsidP="00102527">
            <w:pPr>
              <w:widowControl w:val="0"/>
            </w:pPr>
            <w:r w:rsidRPr="00E553E1">
              <w:rPr>
                <w:rFonts w:ascii="Arial" w:eastAsia="Arial" w:hAnsi="Arial" w:cs="Arial"/>
                <w:color w:val="000000" w:themeColor="text1"/>
                <w:sz w:val="20"/>
                <w:szCs w:val="20"/>
              </w:rPr>
              <w:t>$7,387,407</w:t>
            </w:r>
          </w:p>
        </w:tc>
        <w:tc>
          <w:tcPr>
            <w:tcW w:w="1860" w:type="dxa"/>
          </w:tcPr>
          <w:p w14:paraId="58297EB9" w14:textId="77777777" w:rsidR="00706947" w:rsidRPr="00E553E1" w:rsidRDefault="00706947" w:rsidP="00102527">
            <w:pPr>
              <w:widowControl w:val="0"/>
            </w:pPr>
            <w:r w:rsidRPr="00E553E1">
              <w:rPr>
                <w:rFonts w:ascii="Arial" w:eastAsia="Arial" w:hAnsi="Arial" w:cs="Arial"/>
                <w:color w:val="000000" w:themeColor="text1"/>
                <w:sz w:val="20"/>
                <w:szCs w:val="20"/>
              </w:rPr>
              <w:t>$25,331,399</w:t>
            </w:r>
          </w:p>
        </w:tc>
      </w:tr>
      <w:tr w:rsidR="00706947" w:rsidRPr="00E553E1" w14:paraId="1CF9C609" w14:textId="77777777" w:rsidTr="00102527">
        <w:tc>
          <w:tcPr>
            <w:tcW w:w="5670" w:type="dxa"/>
          </w:tcPr>
          <w:p w14:paraId="5D7C98E8" w14:textId="77777777" w:rsidR="00706947" w:rsidRPr="00E553E1" w:rsidRDefault="00706947" w:rsidP="00102527">
            <w:pPr>
              <w:widowControl w:val="0"/>
            </w:pPr>
            <w:r w:rsidRPr="00E553E1">
              <w:rPr>
                <w:rFonts w:ascii="Arial" w:eastAsia="Arial" w:hAnsi="Arial" w:cs="Arial"/>
                <w:color w:val="000000" w:themeColor="text1"/>
                <w:sz w:val="20"/>
                <w:szCs w:val="20"/>
              </w:rPr>
              <w:t>Police Department</w:t>
            </w:r>
          </w:p>
        </w:tc>
        <w:tc>
          <w:tcPr>
            <w:tcW w:w="1830" w:type="dxa"/>
          </w:tcPr>
          <w:p w14:paraId="1002E137" w14:textId="77777777" w:rsidR="00706947" w:rsidRPr="00E553E1" w:rsidRDefault="00706947" w:rsidP="00102527">
            <w:pPr>
              <w:widowControl w:val="0"/>
            </w:pPr>
            <w:r w:rsidRPr="00E553E1">
              <w:rPr>
                <w:rFonts w:ascii="Arial" w:eastAsia="Arial" w:hAnsi="Arial" w:cs="Arial"/>
                <w:color w:val="000000" w:themeColor="text1"/>
                <w:sz w:val="20"/>
                <w:szCs w:val="20"/>
              </w:rPr>
              <w:t>$15,994,950</w:t>
            </w:r>
          </w:p>
        </w:tc>
        <w:tc>
          <w:tcPr>
            <w:tcW w:w="1860" w:type="dxa"/>
          </w:tcPr>
          <w:p w14:paraId="5986A1CB" w14:textId="77777777" w:rsidR="00706947" w:rsidRPr="00E553E1" w:rsidRDefault="00706947" w:rsidP="00102527">
            <w:pPr>
              <w:widowControl w:val="0"/>
            </w:pPr>
            <w:r w:rsidRPr="00E553E1">
              <w:rPr>
                <w:rFonts w:ascii="Arial" w:eastAsia="Arial" w:hAnsi="Arial" w:cs="Arial"/>
                <w:color w:val="000000" w:themeColor="text1"/>
                <w:sz w:val="20"/>
                <w:szCs w:val="20"/>
              </w:rPr>
              <w:t>$14,526,910</w:t>
            </w:r>
          </w:p>
        </w:tc>
      </w:tr>
      <w:tr w:rsidR="00706947" w:rsidRPr="00E553E1" w14:paraId="242D3822" w14:textId="77777777" w:rsidTr="00102527">
        <w:tc>
          <w:tcPr>
            <w:tcW w:w="5670" w:type="dxa"/>
          </w:tcPr>
          <w:p w14:paraId="352F0037" w14:textId="77777777" w:rsidR="00706947" w:rsidRPr="00E553E1" w:rsidRDefault="00706947" w:rsidP="00102527">
            <w:pPr>
              <w:widowControl w:val="0"/>
            </w:pPr>
            <w:r w:rsidRPr="00E553E1">
              <w:rPr>
                <w:rFonts w:ascii="Arial" w:eastAsia="Arial" w:hAnsi="Arial" w:cs="Arial"/>
                <w:color w:val="000000" w:themeColor="text1"/>
                <w:sz w:val="20"/>
                <w:szCs w:val="20"/>
              </w:rPr>
              <w:t>Department of Social Services</w:t>
            </w:r>
          </w:p>
        </w:tc>
        <w:tc>
          <w:tcPr>
            <w:tcW w:w="1830" w:type="dxa"/>
          </w:tcPr>
          <w:p w14:paraId="6728199E" w14:textId="77777777" w:rsidR="00706947" w:rsidRPr="00E553E1" w:rsidRDefault="00706947" w:rsidP="00102527">
            <w:pPr>
              <w:widowControl w:val="0"/>
            </w:pPr>
            <w:r w:rsidRPr="00E553E1">
              <w:rPr>
                <w:rFonts w:ascii="Arial" w:eastAsia="Arial" w:hAnsi="Arial" w:cs="Arial"/>
                <w:color w:val="000000" w:themeColor="text1"/>
                <w:sz w:val="20"/>
                <w:szCs w:val="20"/>
              </w:rPr>
              <w:t>$2,000,000</w:t>
            </w:r>
          </w:p>
        </w:tc>
        <w:tc>
          <w:tcPr>
            <w:tcW w:w="1860" w:type="dxa"/>
          </w:tcPr>
          <w:p w14:paraId="086BA1DC" w14:textId="77777777" w:rsidR="00706947" w:rsidRPr="00E553E1" w:rsidRDefault="00706947" w:rsidP="00102527">
            <w:pPr>
              <w:widowControl w:val="0"/>
            </w:pPr>
            <w:r w:rsidRPr="00E553E1">
              <w:rPr>
                <w:rFonts w:ascii="Arial" w:eastAsia="Arial" w:hAnsi="Arial" w:cs="Arial"/>
                <w:color w:val="000000" w:themeColor="text1"/>
                <w:sz w:val="20"/>
                <w:szCs w:val="20"/>
              </w:rPr>
              <w:t>$6,819,641</w:t>
            </w:r>
          </w:p>
        </w:tc>
      </w:tr>
      <w:tr w:rsidR="00706947" w:rsidRPr="00E553E1" w14:paraId="1426DF56" w14:textId="77777777" w:rsidTr="00102527">
        <w:tc>
          <w:tcPr>
            <w:tcW w:w="5670" w:type="dxa"/>
          </w:tcPr>
          <w:p w14:paraId="75CF4791" w14:textId="77777777" w:rsidR="00706947" w:rsidRPr="00E553E1" w:rsidRDefault="00706947" w:rsidP="00102527">
            <w:pPr>
              <w:widowControl w:val="0"/>
            </w:pPr>
            <w:r w:rsidRPr="00E553E1">
              <w:rPr>
                <w:rFonts w:ascii="Arial" w:eastAsia="Arial" w:hAnsi="Arial" w:cs="Arial"/>
                <w:color w:val="000000" w:themeColor="text1"/>
                <w:sz w:val="20"/>
                <w:szCs w:val="20"/>
              </w:rPr>
              <w:t>Department of Transportation</w:t>
            </w:r>
          </w:p>
        </w:tc>
        <w:tc>
          <w:tcPr>
            <w:tcW w:w="1830" w:type="dxa"/>
          </w:tcPr>
          <w:p w14:paraId="2BF97000" w14:textId="77777777" w:rsidR="00706947" w:rsidRPr="00E553E1" w:rsidRDefault="00706947" w:rsidP="00102527">
            <w:pPr>
              <w:widowControl w:val="0"/>
            </w:pPr>
            <w:r w:rsidRPr="00E553E1">
              <w:rPr>
                <w:rFonts w:ascii="Arial" w:eastAsia="Arial" w:hAnsi="Arial" w:cs="Arial"/>
                <w:color w:val="000000" w:themeColor="text1"/>
                <w:sz w:val="20"/>
                <w:szCs w:val="20"/>
              </w:rPr>
              <w:t>$5,093,908</w:t>
            </w:r>
          </w:p>
        </w:tc>
        <w:tc>
          <w:tcPr>
            <w:tcW w:w="1860" w:type="dxa"/>
          </w:tcPr>
          <w:p w14:paraId="1B4A8040" w14:textId="77777777" w:rsidR="00706947" w:rsidRPr="00E553E1" w:rsidRDefault="00706947" w:rsidP="00102527">
            <w:pPr>
              <w:widowControl w:val="0"/>
            </w:pPr>
            <w:r w:rsidRPr="00E553E1">
              <w:rPr>
                <w:rFonts w:ascii="Arial" w:eastAsia="Arial" w:hAnsi="Arial" w:cs="Arial"/>
                <w:color w:val="000000" w:themeColor="text1"/>
                <w:sz w:val="20"/>
                <w:szCs w:val="20"/>
              </w:rPr>
              <w:t>$6,206,050</w:t>
            </w:r>
          </w:p>
        </w:tc>
      </w:tr>
      <w:tr w:rsidR="00706947" w:rsidRPr="00E553E1" w14:paraId="72980105" w14:textId="77777777" w:rsidTr="00102527">
        <w:tc>
          <w:tcPr>
            <w:tcW w:w="5670" w:type="dxa"/>
          </w:tcPr>
          <w:p w14:paraId="32528FAE" w14:textId="77777777" w:rsidR="00706947" w:rsidRPr="00E553E1" w:rsidRDefault="00706947" w:rsidP="00102527">
            <w:pPr>
              <w:widowControl w:val="0"/>
            </w:pPr>
            <w:r w:rsidRPr="00E553E1">
              <w:rPr>
                <w:rFonts w:ascii="Arial" w:eastAsia="Arial" w:hAnsi="Arial" w:cs="Arial"/>
                <w:color w:val="000000" w:themeColor="text1"/>
                <w:sz w:val="20"/>
                <w:szCs w:val="20"/>
              </w:rPr>
              <w:t>Department of Correction</w:t>
            </w:r>
          </w:p>
        </w:tc>
        <w:tc>
          <w:tcPr>
            <w:tcW w:w="1830" w:type="dxa"/>
          </w:tcPr>
          <w:p w14:paraId="245ECAD9"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6398A8FE" w14:textId="77777777" w:rsidR="00706947" w:rsidRPr="00E553E1" w:rsidRDefault="00706947" w:rsidP="00102527">
            <w:pPr>
              <w:widowControl w:val="0"/>
            </w:pPr>
            <w:r w:rsidRPr="00E553E1">
              <w:rPr>
                <w:rFonts w:ascii="Arial" w:eastAsia="Arial" w:hAnsi="Arial" w:cs="Arial"/>
                <w:color w:val="000000" w:themeColor="text1"/>
                <w:sz w:val="20"/>
                <w:szCs w:val="20"/>
              </w:rPr>
              <w:t>$5,115,072</w:t>
            </w:r>
          </w:p>
        </w:tc>
      </w:tr>
      <w:tr w:rsidR="00706947" w:rsidRPr="00E553E1" w14:paraId="703877B1" w14:textId="77777777" w:rsidTr="00102527">
        <w:tc>
          <w:tcPr>
            <w:tcW w:w="5670" w:type="dxa"/>
          </w:tcPr>
          <w:p w14:paraId="4C6C1A79" w14:textId="77777777" w:rsidR="00706947" w:rsidRPr="00E553E1" w:rsidRDefault="00706947" w:rsidP="00102527">
            <w:pPr>
              <w:widowControl w:val="0"/>
            </w:pPr>
            <w:r w:rsidRPr="00E553E1">
              <w:rPr>
                <w:rFonts w:ascii="Arial" w:eastAsia="Arial" w:hAnsi="Arial" w:cs="Arial"/>
                <w:color w:val="000000" w:themeColor="text1"/>
                <w:sz w:val="20"/>
                <w:szCs w:val="20"/>
              </w:rPr>
              <w:t>Department of Environmental Protection</w:t>
            </w:r>
          </w:p>
        </w:tc>
        <w:tc>
          <w:tcPr>
            <w:tcW w:w="1830" w:type="dxa"/>
          </w:tcPr>
          <w:p w14:paraId="6A405EF5" w14:textId="77777777" w:rsidR="00706947" w:rsidRPr="00E553E1" w:rsidRDefault="00706947" w:rsidP="00102527">
            <w:pPr>
              <w:widowControl w:val="0"/>
            </w:pPr>
            <w:r w:rsidRPr="00E553E1">
              <w:rPr>
                <w:rFonts w:ascii="Arial" w:eastAsia="Arial" w:hAnsi="Arial" w:cs="Arial"/>
                <w:color w:val="000000" w:themeColor="text1"/>
                <w:sz w:val="20"/>
                <w:szCs w:val="20"/>
              </w:rPr>
              <w:t>$7,026,865</w:t>
            </w:r>
          </w:p>
        </w:tc>
        <w:tc>
          <w:tcPr>
            <w:tcW w:w="1860" w:type="dxa"/>
          </w:tcPr>
          <w:p w14:paraId="4287D663" w14:textId="77777777" w:rsidR="00706947" w:rsidRPr="00E553E1" w:rsidRDefault="00706947" w:rsidP="00102527">
            <w:pPr>
              <w:widowControl w:val="0"/>
            </w:pPr>
            <w:r w:rsidRPr="00E553E1">
              <w:rPr>
                <w:rFonts w:ascii="Arial" w:eastAsia="Arial" w:hAnsi="Arial" w:cs="Arial"/>
                <w:color w:val="000000" w:themeColor="text1"/>
                <w:sz w:val="20"/>
                <w:szCs w:val="20"/>
              </w:rPr>
              <w:t>$3,332,315</w:t>
            </w:r>
          </w:p>
        </w:tc>
      </w:tr>
      <w:tr w:rsidR="00706947" w:rsidRPr="00E553E1" w14:paraId="2ACFB65E" w14:textId="77777777" w:rsidTr="00102527">
        <w:tc>
          <w:tcPr>
            <w:tcW w:w="5670" w:type="dxa"/>
          </w:tcPr>
          <w:p w14:paraId="4154B870" w14:textId="77777777" w:rsidR="00706947" w:rsidRPr="00E553E1" w:rsidRDefault="00706947" w:rsidP="00102527">
            <w:pPr>
              <w:widowControl w:val="0"/>
            </w:pPr>
            <w:r w:rsidRPr="00E553E1">
              <w:rPr>
                <w:rFonts w:ascii="Arial" w:eastAsia="Arial" w:hAnsi="Arial" w:cs="Arial"/>
                <w:color w:val="000000" w:themeColor="text1"/>
                <w:sz w:val="20"/>
                <w:szCs w:val="20"/>
              </w:rPr>
              <w:t>Department of Parks and Recreation</w:t>
            </w:r>
          </w:p>
        </w:tc>
        <w:tc>
          <w:tcPr>
            <w:tcW w:w="1830" w:type="dxa"/>
          </w:tcPr>
          <w:p w14:paraId="6A347355" w14:textId="77777777" w:rsidR="00706947" w:rsidRPr="00E553E1" w:rsidRDefault="00706947" w:rsidP="00102527">
            <w:pPr>
              <w:widowControl w:val="0"/>
            </w:pPr>
            <w:r w:rsidRPr="00E553E1">
              <w:rPr>
                <w:rFonts w:ascii="Arial" w:eastAsia="Arial" w:hAnsi="Arial" w:cs="Arial"/>
                <w:color w:val="000000" w:themeColor="text1"/>
                <w:sz w:val="20"/>
                <w:szCs w:val="20"/>
              </w:rPr>
              <w:t>$3,315,000</w:t>
            </w:r>
          </w:p>
        </w:tc>
        <w:tc>
          <w:tcPr>
            <w:tcW w:w="1860" w:type="dxa"/>
          </w:tcPr>
          <w:p w14:paraId="79396B20" w14:textId="77777777" w:rsidR="00706947" w:rsidRPr="00E553E1" w:rsidRDefault="00706947" w:rsidP="00102527">
            <w:pPr>
              <w:widowControl w:val="0"/>
            </w:pPr>
            <w:r w:rsidRPr="00E553E1">
              <w:rPr>
                <w:rFonts w:ascii="Arial" w:eastAsia="Arial" w:hAnsi="Arial" w:cs="Arial"/>
                <w:color w:val="000000" w:themeColor="text1"/>
                <w:sz w:val="20"/>
                <w:szCs w:val="20"/>
              </w:rPr>
              <w:t>$1,789,454</w:t>
            </w:r>
          </w:p>
        </w:tc>
      </w:tr>
      <w:tr w:rsidR="00706947" w:rsidRPr="00E553E1" w14:paraId="4627F0CE" w14:textId="77777777" w:rsidTr="00102527">
        <w:tc>
          <w:tcPr>
            <w:tcW w:w="5670" w:type="dxa"/>
          </w:tcPr>
          <w:p w14:paraId="7D9404D8" w14:textId="77777777" w:rsidR="00706947" w:rsidRPr="00E553E1" w:rsidRDefault="00706947" w:rsidP="00102527">
            <w:pPr>
              <w:widowControl w:val="0"/>
            </w:pPr>
            <w:r w:rsidRPr="00E553E1">
              <w:rPr>
                <w:rFonts w:ascii="Arial" w:eastAsia="Arial" w:hAnsi="Arial" w:cs="Arial"/>
                <w:color w:val="000000" w:themeColor="text1"/>
                <w:sz w:val="20"/>
                <w:szCs w:val="20"/>
              </w:rPr>
              <w:t>Administration for Children's Services</w:t>
            </w:r>
          </w:p>
        </w:tc>
        <w:tc>
          <w:tcPr>
            <w:tcW w:w="1830" w:type="dxa"/>
          </w:tcPr>
          <w:p w14:paraId="328AC45C" w14:textId="77777777" w:rsidR="00706947" w:rsidRPr="00E553E1" w:rsidRDefault="00706947" w:rsidP="00102527">
            <w:pPr>
              <w:widowControl w:val="0"/>
            </w:pPr>
            <w:r w:rsidRPr="00E553E1">
              <w:rPr>
                <w:rFonts w:ascii="Arial" w:eastAsia="Arial" w:hAnsi="Arial" w:cs="Arial"/>
                <w:color w:val="000000" w:themeColor="text1"/>
                <w:sz w:val="20"/>
                <w:szCs w:val="20"/>
              </w:rPr>
              <w:t>$3,000,003</w:t>
            </w:r>
          </w:p>
        </w:tc>
        <w:tc>
          <w:tcPr>
            <w:tcW w:w="1860" w:type="dxa"/>
          </w:tcPr>
          <w:p w14:paraId="109BDADC" w14:textId="77777777" w:rsidR="00706947" w:rsidRPr="00E553E1" w:rsidRDefault="00706947" w:rsidP="00102527">
            <w:pPr>
              <w:widowControl w:val="0"/>
            </w:pPr>
            <w:r w:rsidRPr="00E553E1">
              <w:rPr>
                <w:rFonts w:ascii="Arial" w:eastAsia="Arial" w:hAnsi="Arial" w:cs="Arial"/>
                <w:color w:val="000000" w:themeColor="text1"/>
                <w:sz w:val="20"/>
                <w:szCs w:val="20"/>
              </w:rPr>
              <w:t>$1,384,549</w:t>
            </w:r>
          </w:p>
        </w:tc>
      </w:tr>
      <w:tr w:rsidR="00706947" w:rsidRPr="00E553E1" w14:paraId="156DFD8B" w14:textId="77777777" w:rsidTr="00102527">
        <w:tc>
          <w:tcPr>
            <w:tcW w:w="5670" w:type="dxa"/>
          </w:tcPr>
          <w:p w14:paraId="054DE23C"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Attorney-Kings</w:t>
            </w:r>
          </w:p>
        </w:tc>
        <w:tc>
          <w:tcPr>
            <w:tcW w:w="1830" w:type="dxa"/>
          </w:tcPr>
          <w:p w14:paraId="17ECD1A5" w14:textId="77777777" w:rsidR="00706947" w:rsidRPr="00E553E1" w:rsidRDefault="00706947" w:rsidP="00102527">
            <w:pPr>
              <w:widowControl w:val="0"/>
            </w:pPr>
            <w:r w:rsidRPr="00E553E1">
              <w:rPr>
                <w:rFonts w:ascii="Arial" w:eastAsia="Arial" w:hAnsi="Arial" w:cs="Arial"/>
                <w:color w:val="000000" w:themeColor="text1"/>
                <w:sz w:val="20"/>
                <w:szCs w:val="20"/>
              </w:rPr>
              <w:t>$484,300</w:t>
            </w:r>
          </w:p>
        </w:tc>
        <w:tc>
          <w:tcPr>
            <w:tcW w:w="1860" w:type="dxa"/>
          </w:tcPr>
          <w:p w14:paraId="7333631B" w14:textId="77777777" w:rsidR="00706947" w:rsidRPr="00E553E1" w:rsidRDefault="00706947" w:rsidP="00102527">
            <w:pPr>
              <w:widowControl w:val="0"/>
            </w:pPr>
            <w:r w:rsidRPr="00E553E1">
              <w:rPr>
                <w:rFonts w:ascii="Arial" w:eastAsia="Arial" w:hAnsi="Arial" w:cs="Arial"/>
                <w:color w:val="000000" w:themeColor="text1"/>
                <w:sz w:val="20"/>
                <w:szCs w:val="20"/>
              </w:rPr>
              <w:t>$1,086,706</w:t>
            </w:r>
          </w:p>
        </w:tc>
      </w:tr>
      <w:tr w:rsidR="00706947" w:rsidRPr="00E553E1" w14:paraId="2EF62F9E" w14:textId="77777777" w:rsidTr="00102527">
        <w:tc>
          <w:tcPr>
            <w:tcW w:w="5670" w:type="dxa"/>
          </w:tcPr>
          <w:p w14:paraId="37A4855A"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Attorney-New York</w:t>
            </w:r>
          </w:p>
        </w:tc>
        <w:tc>
          <w:tcPr>
            <w:tcW w:w="1830" w:type="dxa"/>
          </w:tcPr>
          <w:p w14:paraId="3D9CAEF4"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3EF097A3" w14:textId="77777777" w:rsidR="00706947" w:rsidRPr="00E553E1" w:rsidRDefault="00706947" w:rsidP="00102527">
            <w:pPr>
              <w:widowControl w:val="0"/>
            </w:pPr>
            <w:r w:rsidRPr="00E553E1">
              <w:rPr>
                <w:rFonts w:ascii="Arial" w:eastAsia="Arial" w:hAnsi="Arial" w:cs="Arial"/>
                <w:color w:val="000000" w:themeColor="text1"/>
                <w:sz w:val="20"/>
                <w:szCs w:val="20"/>
              </w:rPr>
              <w:t>$945,990</w:t>
            </w:r>
          </w:p>
        </w:tc>
      </w:tr>
      <w:tr w:rsidR="00706947" w:rsidRPr="00E553E1" w14:paraId="477203EA" w14:textId="77777777" w:rsidTr="00102527">
        <w:tc>
          <w:tcPr>
            <w:tcW w:w="5670" w:type="dxa"/>
          </w:tcPr>
          <w:p w14:paraId="358D8D5A" w14:textId="77777777" w:rsidR="00706947" w:rsidRPr="00E553E1" w:rsidRDefault="00706947" w:rsidP="00102527">
            <w:pPr>
              <w:widowControl w:val="0"/>
            </w:pPr>
            <w:r w:rsidRPr="00E553E1">
              <w:rPr>
                <w:rFonts w:ascii="Arial" w:eastAsia="Arial" w:hAnsi="Arial" w:cs="Arial"/>
                <w:color w:val="000000" w:themeColor="text1"/>
                <w:sz w:val="20"/>
                <w:szCs w:val="20"/>
              </w:rPr>
              <w:t>Mayoralty</w:t>
            </w:r>
          </w:p>
        </w:tc>
        <w:tc>
          <w:tcPr>
            <w:tcW w:w="1830" w:type="dxa"/>
          </w:tcPr>
          <w:p w14:paraId="12747E14" w14:textId="77777777" w:rsidR="00706947" w:rsidRPr="00E553E1" w:rsidRDefault="00706947" w:rsidP="00102527">
            <w:pPr>
              <w:widowControl w:val="0"/>
            </w:pPr>
            <w:r w:rsidRPr="00E553E1">
              <w:rPr>
                <w:rFonts w:ascii="Arial" w:eastAsia="Arial" w:hAnsi="Arial" w:cs="Arial"/>
                <w:color w:val="000000" w:themeColor="text1"/>
                <w:sz w:val="20"/>
                <w:szCs w:val="20"/>
              </w:rPr>
              <w:t>$824</w:t>
            </w:r>
          </w:p>
        </w:tc>
        <w:tc>
          <w:tcPr>
            <w:tcW w:w="1860" w:type="dxa"/>
          </w:tcPr>
          <w:p w14:paraId="1A158A94" w14:textId="77777777" w:rsidR="00706947" w:rsidRPr="00E553E1" w:rsidRDefault="00706947" w:rsidP="00102527">
            <w:pPr>
              <w:widowControl w:val="0"/>
            </w:pPr>
            <w:r w:rsidRPr="00E553E1">
              <w:rPr>
                <w:rFonts w:ascii="Arial" w:eastAsia="Arial" w:hAnsi="Arial" w:cs="Arial"/>
                <w:color w:val="000000" w:themeColor="text1"/>
                <w:sz w:val="20"/>
                <w:szCs w:val="20"/>
              </w:rPr>
              <w:t>$623,661</w:t>
            </w:r>
          </w:p>
        </w:tc>
      </w:tr>
      <w:tr w:rsidR="00706947" w:rsidRPr="00E553E1" w14:paraId="66243860" w14:textId="77777777" w:rsidTr="00102527">
        <w:tc>
          <w:tcPr>
            <w:tcW w:w="5670" w:type="dxa"/>
          </w:tcPr>
          <w:p w14:paraId="7C0D1207" w14:textId="77777777" w:rsidR="00706947" w:rsidRPr="00E553E1" w:rsidRDefault="00706947" w:rsidP="00102527">
            <w:pPr>
              <w:widowControl w:val="0"/>
            </w:pPr>
            <w:r w:rsidRPr="00E553E1">
              <w:rPr>
                <w:rFonts w:ascii="Arial" w:eastAsia="Arial" w:hAnsi="Arial" w:cs="Arial"/>
                <w:color w:val="000000" w:themeColor="text1"/>
                <w:sz w:val="20"/>
                <w:szCs w:val="20"/>
              </w:rPr>
              <w:t>Department of Buildings</w:t>
            </w:r>
          </w:p>
        </w:tc>
        <w:tc>
          <w:tcPr>
            <w:tcW w:w="1830" w:type="dxa"/>
          </w:tcPr>
          <w:p w14:paraId="1C799792" w14:textId="77777777" w:rsidR="00706947" w:rsidRPr="00E553E1" w:rsidRDefault="00706947" w:rsidP="00102527">
            <w:pPr>
              <w:widowControl w:val="0"/>
            </w:pPr>
            <w:r w:rsidRPr="00E553E1">
              <w:rPr>
                <w:rFonts w:ascii="Arial" w:eastAsia="Arial" w:hAnsi="Arial" w:cs="Arial"/>
                <w:color w:val="000000" w:themeColor="text1"/>
                <w:sz w:val="20"/>
                <w:szCs w:val="20"/>
              </w:rPr>
              <w:t>$1,920,421</w:t>
            </w:r>
          </w:p>
        </w:tc>
        <w:tc>
          <w:tcPr>
            <w:tcW w:w="1860" w:type="dxa"/>
          </w:tcPr>
          <w:p w14:paraId="7FB88DC8" w14:textId="77777777" w:rsidR="00706947" w:rsidRPr="00E553E1" w:rsidRDefault="00706947" w:rsidP="00102527">
            <w:pPr>
              <w:widowControl w:val="0"/>
            </w:pPr>
            <w:r w:rsidRPr="00E553E1">
              <w:rPr>
                <w:rFonts w:ascii="Arial" w:eastAsia="Arial" w:hAnsi="Arial" w:cs="Arial"/>
                <w:color w:val="000000" w:themeColor="text1"/>
                <w:sz w:val="20"/>
                <w:szCs w:val="20"/>
              </w:rPr>
              <w:t>$612,497</w:t>
            </w:r>
          </w:p>
        </w:tc>
      </w:tr>
      <w:tr w:rsidR="00706947" w:rsidRPr="00E553E1" w14:paraId="24B258D1" w14:textId="77777777" w:rsidTr="00102527">
        <w:tc>
          <w:tcPr>
            <w:tcW w:w="5670" w:type="dxa"/>
          </w:tcPr>
          <w:p w14:paraId="1693AB7F" w14:textId="77777777" w:rsidR="00706947" w:rsidRPr="00E553E1" w:rsidRDefault="00706947" w:rsidP="00102527">
            <w:pPr>
              <w:widowControl w:val="0"/>
            </w:pPr>
            <w:r w:rsidRPr="00E553E1">
              <w:rPr>
                <w:rFonts w:ascii="Arial" w:eastAsia="Arial" w:hAnsi="Arial" w:cs="Arial"/>
                <w:color w:val="000000" w:themeColor="text1"/>
                <w:sz w:val="20"/>
                <w:szCs w:val="20"/>
              </w:rPr>
              <w:t>Financial Information Services Agency</w:t>
            </w:r>
          </w:p>
        </w:tc>
        <w:tc>
          <w:tcPr>
            <w:tcW w:w="1830" w:type="dxa"/>
          </w:tcPr>
          <w:p w14:paraId="3A26DAD7"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7FA62A51" w14:textId="77777777" w:rsidR="00706947" w:rsidRPr="00E553E1" w:rsidRDefault="00706947" w:rsidP="00102527">
            <w:pPr>
              <w:widowControl w:val="0"/>
            </w:pPr>
            <w:r w:rsidRPr="00E553E1">
              <w:rPr>
                <w:rFonts w:ascii="Arial" w:eastAsia="Arial" w:hAnsi="Arial" w:cs="Arial"/>
                <w:color w:val="000000" w:themeColor="text1"/>
                <w:sz w:val="20"/>
                <w:szCs w:val="20"/>
              </w:rPr>
              <w:t>$566,688</w:t>
            </w:r>
          </w:p>
        </w:tc>
      </w:tr>
      <w:tr w:rsidR="00706947" w:rsidRPr="00E553E1" w14:paraId="0C0D320B" w14:textId="77777777" w:rsidTr="00102527">
        <w:tc>
          <w:tcPr>
            <w:tcW w:w="5670" w:type="dxa"/>
          </w:tcPr>
          <w:p w14:paraId="69061946" w14:textId="77777777" w:rsidR="00706947" w:rsidRPr="00E553E1" w:rsidRDefault="00706947" w:rsidP="00102527">
            <w:pPr>
              <w:widowControl w:val="0"/>
            </w:pPr>
            <w:r w:rsidRPr="00E553E1">
              <w:rPr>
                <w:rFonts w:ascii="Arial" w:eastAsia="Arial" w:hAnsi="Arial" w:cs="Arial"/>
                <w:color w:val="000000" w:themeColor="text1"/>
                <w:sz w:val="20"/>
                <w:szCs w:val="20"/>
              </w:rPr>
              <w:t>Department of Probation</w:t>
            </w:r>
          </w:p>
        </w:tc>
        <w:tc>
          <w:tcPr>
            <w:tcW w:w="1830" w:type="dxa"/>
          </w:tcPr>
          <w:p w14:paraId="2A0479FB" w14:textId="77777777" w:rsidR="00706947" w:rsidRPr="00E553E1" w:rsidRDefault="00706947" w:rsidP="00102527">
            <w:pPr>
              <w:widowControl w:val="0"/>
            </w:pPr>
            <w:r w:rsidRPr="00E553E1">
              <w:rPr>
                <w:rFonts w:ascii="Arial" w:eastAsia="Arial" w:hAnsi="Arial" w:cs="Arial"/>
                <w:color w:val="000000" w:themeColor="text1"/>
                <w:sz w:val="20"/>
                <w:szCs w:val="20"/>
              </w:rPr>
              <w:t>$744,142</w:t>
            </w:r>
          </w:p>
        </w:tc>
        <w:tc>
          <w:tcPr>
            <w:tcW w:w="1860" w:type="dxa"/>
          </w:tcPr>
          <w:p w14:paraId="08C86D13" w14:textId="77777777" w:rsidR="00706947" w:rsidRPr="00E553E1" w:rsidRDefault="00706947" w:rsidP="00102527">
            <w:pPr>
              <w:widowControl w:val="0"/>
            </w:pPr>
            <w:r w:rsidRPr="00E553E1">
              <w:rPr>
                <w:rFonts w:ascii="Arial" w:eastAsia="Arial" w:hAnsi="Arial" w:cs="Arial"/>
                <w:color w:val="000000" w:themeColor="text1"/>
                <w:sz w:val="20"/>
                <w:szCs w:val="20"/>
              </w:rPr>
              <w:t>$499,498</w:t>
            </w:r>
          </w:p>
        </w:tc>
      </w:tr>
      <w:tr w:rsidR="00706947" w:rsidRPr="00E553E1" w14:paraId="15EDC6FE" w14:textId="77777777" w:rsidTr="00102527">
        <w:tc>
          <w:tcPr>
            <w:tcW w:w="5670" w:type="dxa"/>
          </w:tcPr>
          <w:p w14:paraId="7145960D" w14:textId="77777777" w:rsidR="00706947" w:rsidRPr="00E553E1" w:rsidRDefault="00706947" w:rsidP="00102527">
            <w:pPr>
              <w:widowControl w:val="0"/>
            </w:pPr>
            <w:r w:rsidRPr="00E553E1">
              <w:rPr>
                <w:rFonts w:ascii="Arial" w:eastAsia="Arial" w:hAnsi="Arial" w:cs="Arial"/>
                <w:color w:val="000000" w:themeColor="text1"/>
                <w:sz w:val="20"/>
                <w:szCs w:val="20"/>
              </w:rPr>
              <w:t>Office of the Comptroller</w:t>
            </w:r>
          </w:p>
        </w:tc>
        <w:tc>
          <w:tcPr>
            <w:tcW w:w="1830" w:type="dxa"/>
          </w:tcPr>
          <w:p w14:paraId="159A6A8F"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5FF6B0E9" w14:textId="77777777" w:rsidR="00706947" w:rsidRPr="00E553E1" w:rsidRDefault="00706947" w:rsidP="00102527">
            <w:pPr>
              <w:widowControl w:val="0"/>
            </w:pPr>
            <w:r w:rsidRPr="00E553E1">
              <w:rPr>
                <w:rFonts w:ascii="Arial" w:eastAsia="Arial" w:hAnsi="Arial" w:cs="Arial"/>
                <w:color w:val="000000" w:themeColor="text1"/>
                <w:sz w:val="20"/>
                <w:szCs w:val="20"/>
              </w:rPr>
              <w:t>$241,294</w:t>
            </w:r>
          </w:p>
        </w:tc>
      </w:tr>
      <w:tr w:rsidR="00706947" w:rsidRPr="00E553E1" w14:paraId="7DB25812" w14:textId="77777777" w:rsidTr="00102527">
        <w:tc>
          <w:tcPr>
            <w:tcW w:w="5670" w:type="dxa"/>
          </w:tcPr>
          <w:p w14:paraId="5DF7CAC6" w14:textId="77777777" w:rsidR="00706947" w:rsidRPr="00E553E1" w:rsidRDefault="00706947" w:rsidP="00102527">
            <w:pPr>
              <w:widowControl w:val="0"/>
            </w:pPr>
            <w:r w:rsidRPr="00E553E1">
              <w:rPr>
                <w:rFonts w:ascii="Arial" w:eastAsia="Arial" w:hAnsi="Arial" w:cs="Arial"/>
                <w:color w:val="000000" w:themeColor="text1"/>
                <w:sz w:val="20"/>
                <w:szCs w:val="20"/>
              </w:rPr>
              <w:t>Department of Finance</w:t>
            </w:r>
          </w:p>
        </w:tc>
        <w:tc>
          <w:tcPr>
            <w:tcW w:w="1830" w:type="dxa"/>
          </w:tcPr>
          <w:p w14:paraId="062AF93B"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39A8041B" w14:textId="77777777" w:rsidR="00706947" w:rsidRPr="00E553E1" w:rsidRDefault="00706947" w:rsidP="00102527">
            <w:pPr>
              <w:widowControl w:val="0"/>
            </w:pPr>
            <w:r w:rsidRPr="00E553E1">
              <w:rPr>
                <w:rFonts w:ascii="Arial" w:eastAsia="Arial" w:hAnsi="Arial" w:cs="Arial"/>
                <w:color w:val="000000" w:themeColor="text1"/>
                <w:sz w:val="20"/>
                <w:szCs w:val="20"/>
              </w:rPr>
              <w:t>$239,982</w:t>
            </w:r>
          </w:p>
        </w:tc>
      </w:tr>
      <w:tr w:rsidR="00706947" w:rsidRPr="00E553E1" w14:paraId="7BD6085C" w14:textId="77777777" w:rsidTr="00102527">
        <w:tc>
          <w:tcPr>
            <w:tcW w:w="5670" w:type="dxa"/>
          </w:tcPr>
          <w:p w14:paraId="3DE9A9B1"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Attorney-Queens</w:t>
            </w:r>
          </w:p>
        </w:tc>
        <w:tc>
          <w:tcPr>
            <w:tcW w:w="1830" w:type="dxa"/>
          </w:tcPr>
          <w:p w14:paraId="481FCE95" w14:textId="77777777" w:rsidR="00706947" w:rsidRPr="00E553E1" w:rsidRDefault="00706947" w:rsidP="00102527">
            <w:pPr>
              <w:widowControl w:val="0"/>
            </w:pPr>
            <w:r w:rsidRPr="00E553E1">
              <w:rPr>
                <w:rFonts w:ascii="Arial" w:eastAsia="Arial" w:hAnsi="Arial" w:cs="Arial"/>
                <w:color w:val="000000" w:themeColor="text1"/>
                <w:sz w:val="20"/>
                <w:szCs w:val="20"/>
              </w:rPr>
              <w:t>$18,286</w:t>
            </w:r>
          </w:p>
        </w:tc>
        <w:tc>
          <w:tcPr>
            <w:tcW w:w="1860" w:type="dxa"/>
          </w:tcPr>
          <w:p w14:paraId="0744F775" w14:textId="77777777" w:rsidR="00706947" w:rsidRPr="00E553E1" w:rsidRDefault="00706947" w:rsidP="00102527">
            <w:pPr>
              <w:widowControl w:val="0"/>
            </w:pPr>
            <w:r w:rsidRPr="00E553E1">
              <w:rPr>
                <w:rFonts w:ascii="Arial" w:eastAsia="Arial" w:hAnsi="Arial" w:cs="Arial"/>
                <w:color w:val="000000" w:themeColor="text1"/>
                <w:sz w:val="20"/>
                <w:szCs w:val="20"/>
              </w:rPr>
              <w:t>$217,054</w:t>
            </w:r>
          </w:p>
        </w:tc>
      </w:tr>
      <w:tr w:rsidR="00706947" w:rsidRPr="00E553E1" w14:paraId="1391F002" w14:textId="77777777" w:rsidTr="00102527">
        <w:tc>
          <w:tcPr>
            <w:tcW w:w="5670" w:type="dxa"/>
          </w:tcPr>
          <w:p w14:paraId="5D0BAEDA" w14:textId="77777777" w:rsidR="00706947" w:rsidRPr="00E553E1" w:rsidRDefault="00706947" w:rsidP="00102527">
            <w:pPr>
              <w:widowControl w:val="0"/>
            </w:pPr>
            <w:r w:rsidRPr="00E553E1">
              <w:rPr>
                <w:rFonts w:ascii="Arial" w:eastAsia="Arial" w:hAnsi="Arial" w:cs="Arial"/>
                <w:color w:val="000000" w:themeColor="text1"/>
                <w:sz w:val="20"/>
                <w:szCs w:val="20"/>
              </w:rPr>
              <w:t>Department of Youth and Community Development</w:t>
            </w:r>
          </w:p>
        </w:tc>
        <w:tc>
          <w:tcPr>
            <w:tcW w:w="1830" w:type="dxa"/>
          </w:tcPr>
          <w:p w14:paraId="243FBDBC" w14:textId="77777777" w:rsidR="00706947" w:rsidRPr="00E553E1" w:rsidRDefault="00706947" w:rsidP="00102527">
            <w:pPr>
              <w:widowControl w:val="0"/>
            </w:pPr>
            <w:r w:rsidRPr="00E553E1">
              <w:rPr>
                <w:rFonts w:ascii="Arial" w:eastAsia="Arial" w:hAnsi="Arial" w:cs="Arial"/>
                <w:color w:val="000000" w:themeColor="text1"/>
                <w:sz w:val="20"/>
                <w:szCs w:val="20"/>
              </w:rPr>
              <w:t>$366,581</w:t>
            </w:r>
          </w:p>
        </w:tc>
        <w:tc>
          <w:tcPr>
            <w:tcW w:w="1860" w:type="dxa"/>
          </w:tcPr>
          <w:p w14:paraId="3C5E9549" w14:textId="77777777" w:rsidR="00706947" w:rsidRPr="00E553E1" w:rsidRDefault="00706947" w:rsidP="00102527">
            <w:pPr>
              <w:widowControl w:val="0"/>
            </w:pPr>
            <w:r w:rsidRPr="00E553E1">
              <w:rPr>
                <w:rFonts w:ascii="Arial" w:eastAsia="Arial" w:hAnsi="Arial" w:cs="Arial"/>
                <w:color w:val="000000" w:themeColor="text1"/>
                <w:sz w:val="20"/>
                <w:szCs w:val="20"/>
              </w:rPr>
              <w:t>$166,865</w:t>
            </w:r>
          </w:p>
        </w:tc>
      </w:tr>
      <w:tr w:rsidR="00706947" w:rsidRPr="00E553E1" w14:paraId="249BA1B0" w14:textId="77777777" w:rsidTr="00102527">
        <w:tc>
          <w:tcPr>
            <w:tcW w:w="5670" w:type="dxa"/>
          </w:tcPr>
          <w:p w14:paraId="60B13213" w14:textId="77777777" w:rsidR="00706947" w:rsidRPr="00E553E1" w:rsidRDefault="00706947" w:rsidP="00102527">
            <w:pPr>
              <w:widowControl w:val="0"/>
            </w:pPr>
            <w:r w:rsidRPr="00E553E1">
              <w:rPr>
                <w:rFonts w:ascii="Arial" w:eastAsia="Arial" w:hAnsi="Arial" w:cs="Arial"/>
                <w:color w:val="000000" w:themeColor="text1"/>
                <w:sz w:val="20"/>
                <w:szCs w:val="20"/>
              </w:rPr>
              <w:t>Department of Consumer Affairs</w:t>
            </w:r>
          </w:p>
        </w:tc>
        <w:tc>
          <w:tcPr>
            <w:tcW w:w="1830" w:type="dxa"/>
          </w:tcPr>
          <w:p w14:paraId="08DAE955" w14:textId="77777777" w:rsidR="00706947" w:rsidRPr="00E553E1" w:rsidRDefault="00706947" w:rsidP="00102527">
            <w:pPr>
              <w:widowControl w:val="0"/>
            </w:pPr>
            <w:r w:rsidRPr="00E553E1">
              <w:rPr>
                <w:rFonts w:ascii="Arial" w:eastAsia="Arial" w:hAnsi="Arial" w:cs="Arial"/>
                <w:color w:val="000000" w:themeColor="text1"/>
                <w:sz w:val="20"/>
                <w:szCs w:val="20"/>
              </w:rPr>
              <w:t>$174,483</w:t>
            </w:r>
          </w:p>
        </w:tc>
        <w:tc>
          <w:tcPr>
            <w:tcW w:w="1860" w:type="dxa"/>
          </w:tcPr>
          <w:p w14:paraId="513620F8" w14:textId="77777777" w:rsidR="00706947" w:rsidRPr="00E553E1" w:rsidRDefault="00706947" w:rsidP="00102527">
            <w:pPr>
              <w:widowControl w:val="0"/>
            </w:pPr>
            <w:r w:rsidRPr="00E553E1">
              <w:rPr>
                <w:rFonts w:ascii="Arial" w:eastAsia="Arial" w:hAnsi="Arial" w:cs="Arial"/>
                <w:color w:val="000000" w:themeColor="text1"/>
                <w:sz w:val="20"/>
                <w:szCs w:val="20"/>
              </w:rPr>
              <w:t>$136,493</w:t>
            </w:r>
          </w:p>
        </w:tc>
      </w:tr>
      <w:tr w:rsidR="00706947" w:rsidRPr="00E553E1" w14:paraId="38E11C40" w14:textId="77777777" w:rsidTr="00102527">
        <w:tc>
          <w:tcPr>
            <w:tcW w:w="5670" w:type="dxa"/>
          </w:tcPr>
          <w:p w14:paraId="01969D61" w14:textId="77777777" w:rsidR="00706947" w:rsidRPr="00E553E1" w:rsidRDefault="00706947" w:rsidP="00102527">
            <w:pPr>
              <w:widowControl w:val="0"/>
            </w:pPr>
            <w:r w:rsidRPr="00E553E1">
              <w:rPr>
                <w:rFonts w:ascii="Arial" w:eastAsia="Arial" w:hAnsi="Arial" w:cs="Arial"/>
                <w:color w:val="000000" w:themeColor="text1"/>
                <w:sz w:val="20"/>
                <w:szCs w:val="20"/>
              </w:rPr>
              <w:t>Office of Administrative Trials and Hearings</w:t>
            </w:r>
          </w:p>
        </w:tc>
        <w:tc>
          <w:tcPr>
            <w:tcW w:w="1830" w:type="dxa"/>
          </w:tcPr>
          <w:p w14:paraId="0A204DCF"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1455C130" w14:textId="77777777" w:rsidR="00706947" w:rsidRPr="00E553E1" w:rsidRDefault="00706947" w:rsidP="00102527">
            <w:pPr>
              <w:widowControl w:val="0"/>
            </w:pPr>
            <w:r w:rsidRPr="00E553E1">
              <w:rPr>
                <w:rFonts w:ascii="Arial" w:eastAsia="Arial" w:hAnsi="Arial" w:cs="Arial"/>
                <w:color w:val="000000" w:themeColor="text1"/>
                <w:sz w:val="20"/>
                <w:szCs w:val="20"/>
              </w:rPr>
              <w:t>$119,010</w:t>
            </w:r>
          </w:p>
        </w:tc>
      </w:tr>
      <w:tr w:rsidR="00706947" w:rsidRPr="00E553E1" w14:paraId="1CC085FF" w14:textId="77777777" w:rsidTr="00102527">
        <w:tc>
          <w:tcPr>
            <w:tcW w:w="5670" w:type="dxa"/>
          </w:tcPr>
          <w:p w14:paraId="2F05A239" w14:textId="77777777" w:rsidR="00706947" w:rsidRPr="00E553E1" w:rsidRDefault="00706947" w:rsidP="00102527">
            <w:pPr>
              <w:widowControl w:val="0"/>
            </w:pPr>
            <w:r w:rsidRPr="00E553E1">
              <w:rPr>
                <w:rFonts w:ascii="Arial" w:eastAsia="Arial" w:hAnsi="Arial" w:cs="Arial"/>
                <w:color w:val="000000" w:themeColor="text1"/>
                <w:sz w:val="20"/>
                <w:szCs w:val="20"/>
              </w:rPr>
              <w:t>Office of Prosecution Special Narcotics</w:t>
            </w:r>
          </w:p>
        </w:tc>
        <w:tc>
          <w:tcPr>
            <w:tcW w:w="1830" w:type="dxa"/>
          </w:tcPr>
          <w:p w14:paraId="062D3423"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0F35C483" w14:textId="77777777" w:rsidR="00706947" w:rsidRPr="00E553E1" w:rsidRDefault="00706947" w:rsidP="00102527">
            <w:pPr>
              <w:widowControl w:val="0"/>
            </w:pPr>
            <w:r w:rsidRPr="00E553E1">
              <w:rPr>
                <w:rFonts w:ascii="Arial" w:eastAsia="Arial" w:hAnsi="Arial" w:cs="Arial"/>
                <w:color w:val="000000" w:themeColor="text1"/>
                <w:sz w:val="20"/>
                <w:szCs w:val="20"/>
              </w:rPr>
              <w:t>$84,695</w:t>
            </w:r>
          </w:p>
        </w:tc>
      </w:tr>
      <w:tr w:rsidR="00706947" w:rsidRPr="00E553E1" w14:paraId="43878E86" w14:textId="77777777" w:rsidTr="00102527">
        <w:tc>
          <w:tcPr>
            <w:tcW w:w="5670" w:type="dxa"/>
          </w:tcPr>
          <w:p w14:paraId="20E14827" w14:textId="77777777" w:rsidR="00706947" w:rsidRPr="00E553E1" w:rsidRDefault="00706947" w:rsidP="00102527">
            <w:pPr>
              <w:widowControl w:val="0"/>
            </w:pPr>
            <w:r w:rsidRPr="00E553E1">
              <w:rPr>
                <w:rFonts w:ascii="Arial" w:eastAsia="Arial" w:hAnsi="Arial" w:cs="Arial"/>
                <w:color w:val="000000" w:themeColor="text1"/>
                <w:sz w:val="20"/>
                <w:szCs w:val="20"/>
              </w:rPr>
              <w:t>District Attorney-Richmond</w:t>
            </w:r>
          </w:p>
        </w:tc>
        <w:tc>
          <w:tcPr>
            <w:tcW w:w="1830" w:type="dxa"/>
          </w:tcPr>
          <w:p w14:paraId="7D99C2B3"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0ECF589F" w14:textId="77777777" w:rsidR="00706947" w:rsidRPr="00E553E1" w:rsidRDefault="00706947" w:rsidP="00102527">
            <w:pPr>
              <w:widowControl w:val="0"/>
            </w:pPr>
            <w:r w:rsidRPr="00E553E1">
              <w:rPr>
                <w:rFonts w:ascii="Arial" w:eastAsia="Arial" w:hAnsi="Arial" w:cs="Arial"/>
                <w:color w:val="000000" w:themeColor="text1"/>
                <w:sz w:val="20"/>
                <w:szCs w:val="20"/>
              </w:rPr>
              <w:t>$69,522</w:t>
            </w:r>
          </w:p>
        </w:tc>
      </w:tr>
      <w:tr w:rsidR="00706947" w:rsidRPr="00E553E1" w14:paraId="4C7059C6" w14:textId="77777777" w:rsidTr="00102527">
        <w:tc>
          <w:tcPr>
            <w:tcW w:w="5670" w:type="dxa"/>
          </w:tcPr>
          <w:p w14:paraId="42737E73" w14:textId="77777777" w:rsidR="00706947" w:rsidRPr="00E553E1" w:rsidRDefault="00706947" w:rsidP="00102527">
            <w:pPr>
              <w:widowControl w:val="0"/>
            </w:pPr>
            <w:r w:rsidRPr="00E553E1">
              <w:rPr>
                <w:rFonts w:ascii="Arial" w:eastAsia="Arial" w:hAnsi="Arial" w:cs="Arial"/>
                <w:color w:val="000000" w:themeColor="text1"/>
                <w:sz w:val="20"/>
                <w:szCs w:val="20"/>
              </w:rPr>
              <w:t>Taxi and Limousine Commission</w:t>
            </w:r>
          </w:p>
        </w:tc>
        <w:tc>
          <w:tcPr>
            <w:tcW w:w="1830" w:type="dxa"/>
          </w:tcPr>
          <w:p w14:paraId="63C6DE76" w14:textId="77777777" w:rsidR="00706947" w:rsidRPr="00E553E1" w:rsidRDefault="00706947" w:rsidP="00102527">
            <w:pPr>
              <w:widowControl w:val="0"/>
            </w:pPr>
            <w:r w:rsidRPr="00E553E1">
              <w:rPr>
                <w:rFonts w:ascii="Arial" w:eastAsia="Arial" w:hAnsi="Arial" w:cs="Arial"/>
                <w:color w:val="000000" w:themeColor="text1"/>
                <w:sz w:val="20"/>
                <w:szCs w:val="20"/>
              </w:rPr>
              <w:t>$58,613</w:t>
            </w:r>
          </w:p>
        </w:tc>
        <w:tc>
          <w:tcPr>
            <w:tcW w:w="1860" w:type="dxa"/>
          </w:tcPr>
          <w:p w14:paraId="5F514928" w14:textId="77777777" w:rsidR="00706947" w:rsidRPr="00E553E1" w:rsidRDefault="00706947" w:rsidP="00102527">
            <w:pPr>
              <w:widowControl w:val="0"/>
            </w:pPr>
            <w:r w:rsidRPr="00E553E1">
              <w:rPr>
                <w:rFonts w:ascii="Arial" w:eastAsia="Arial" w:hAnsi="Arial" w:cs="Arial"/>
                <w:color w:val="000000" w:themeColor="text1"/>
                <w:sz w:val="20"/>
                <w:szCs w:val="20"/>
              </w:rPr>
              <w:t>$63,724</w:t>
            </w:r>
          </w:p>
        </w:tc>
      </w:tr>
      <w:tr w:rsidR="00706947" w:rsidRPr="00E553E1" w14:paraId="42D9608B" w14:textId="77777777" w:rsidTr="00102527">
        <w:tc>
          <w:tcPr>
            <w:tcW w:w="5670" w:type="dxa"/>
          </w:tcPr>
          <w:p w14:paraId="0D30DD65" w14:textId="77777777" w:rsidR="00706947" w:rsidRPr="00E553E1" w:rsidRDefault="00706947" w:rsidP="00102527">
            <w:pPr>
              <w:widowControl w:val="0"/>
            </w:pPr>
            <w:r w:rsidRPr="00E553E1">
              <w:rPr>
                <w:rFonts w:ascii="Arial" w:eastAsia="Arial" w:hAnsi="Arial" w:cs="Arial"/>
                <w:color w:val="000000" w:themeColor="text1"/>
                <w:sz w:val="20"/>
                <w:szCs w:val="20"/>
              </w:rPr>
              <w:t>Civilian Complaint Review Board</w:t>
            </w:r>
          </w:p>
        </w:tc>
        <w:tc>
          <w:tcPr>
            <w:tcW w:w="1830" w:type="dxa"/>
          </w:tcPr>
          <w:p w14:paraId="26AA24B7" w14:textId="77777777" w:rsidR="00706947" w:rsidRPr="00E553E1" w:rsidRDefault="00706947" w:rsidP="00102527">
            <w:pPr>
              <w:widowControl w:val="0"/>
            </w:pPr>
            <w:r w:rsidRPr="00E553E1">
              <w:rPr>
                <w:rFonts w:ascii="Arial" w:eastAsia="Arial" w:hAnsi="Arial" w:cs="Arial"/>
                <w:color w:val="000000" w:themeColor="text1"/>
                <w:sz w:val="20"/>
                <w:szCs w:val="20"/>
              </w:rPr>
              <w:t>$9,658</w:t>
            </w:r>
          </w:p>
        </w:tc>
        <w:tc>
          <w:tcPr>
            <w:tcW w:w="1860" w:type="dxa"/>
          </w:tcPr>
          <w:p w14:paraId="684F3CB8" w14:textId="77777777" w:rsidR="00706947" w:rsidRPr="00E553E1" w:rsidRDefault="00706947" w:rsidP="00102527">
            <w:pPr>
              <w:widowControl w:val="0"/>
            </w:pPr>
            <w:r w:rsidRPr="00E553E1">
              <w:rPr>
                <w:rFonts w:ascii="Arial" w:eastAsia="Arial" w:hAnsi="Arial" w:cs="Arial"/>
                <w:color w:val="000000" w:themeColor="text1"/>
                <w:sz w:val="20"/>
                <w:szCs w:val="20"/>
              </w:rPr>
              <w:t>$61,210</w:t>
            </w:r>
          </w:p>
        </w:tc>
      </w:tr>
      <w:tr w:rsidR="00706947" w:rsidRPr="00E553E1" w14:paraId="35198EE0" w14:textId="77777777" w:rsidTr="00102527">
        <w:tc>
          <w:tcPr>
            <w:tcW w:w="5670" w:type="dxa"/>
          </w:tcPr>
          <w:p w14:paraId="28599E72" w14:textId="77777777" w:rsidR="00706947" w:rsidRPr="00E553E1" w:rsidRDefault="00706947" w:rsidP="00102527">
            <w:pPr>
              <w:widowControl w:val="0"/>
            </w:pPr>
            <w:r w:rsidRPr="00E553E1">
              <w:rPr>
                <w:rFonts w:ascii="Arial" w:eastAsia="Arial" w:hAnsi="Arial" w:cs="Arial"/>
                <w:color w:val="000000" w:themeColor="text1"/>
                <w:sz w:val="20"/>
                <w:szCs w:val="20"/>
              </w:rPr>
              <w:t>Business Integrity Commission</w:t>
            </w:r>
          </w:p>
        </w:tc>
        <w:tc>
          <w:tcPr>
            <w:tcW w:w="1830" w:type="dxa"/>
          </w:tcPr>
          <w:p w14:paraId="11204F1D"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1F87BAE4" w14:textId="77777777" w:rsidR="00706947" w:rsidRPr="00E553E1" w:rsidRDefault="00706947" w:rsidP="00102527">
            <w:pPr>
              <w:widowControl w:val="0"/>
            </w:pPr>
            <w:r w:rsidRPr="00E553E1">
              <w:rPr>
                <w:rFonts w:ascii="Arial" w:eastAsia="Arial" w:hAnsi="Arial" w:cs="Arial"/>
                <w:color w:val="000000" w:themeColor="text1"/>
                <w:sz w:val="20"/>
                <w:szCs w:val="20"/>
              </w:rPr>
              <w:t>$48,971</w:t>
            </w:r>
          </w:p>
        </w:tc>
      </w:tr>
      <w:tr w:rsidR="00706947" w:rsidRPr="00E553E1" w14:paraId="475F9EED" w14:textId="77777777" w:rsidTr="00102527">
        <w:tc>
          <w:tcPr>
            <w:tcW w:w="5670" w:type="dxa"/>
          </w:tcPr>
          <w:p w14:paraId="308AFD3E" w14:textId="77777777" w:rsidR="00706947" w:rsidRPr="00E553E1" w:rsidRDefault="00706947" w:rsidP="00102527">
            <w:pPr>
              <w:widowControl w:val="0"/>
            </w:pPr>
            <w:r w:rsidRPr="00E553E1">
              <w:rPr>
                <w:rFonts w:ascii="Arial" w:eastAsia="Arial" w:hAnsi="Arial" w:cs="Arial"/>
                <w:color w:val="000000" w:themeColor="text1"/>
                <w:sz w:val="20"/>
                <w:szCs w:val="20"/>
              </w:rPr>
              <w:t>Office of the Actuary</w:t>
            </w:r>
          </w:p>
        </w:tc>
        <w:tc>
          <w:tcPr>
            <w:tcW w:w="1830" w:type="dxa"/>
          </w:tcPr>
          <w:p w14:paraId="5F221381"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39532FDA" w14:textId="77777777" w:rsidR="00706947" w:rsidRPr="00E553E1" w:rsidRDefault="00706947" w:rsidP="00102527">
            <w:pPr>
              <w:widowControl w:val="0"/>
            </w:pPr>
            <w:r w:rsidRPr="00E553E1">
              <w:rPr>
                <w:rFonts w:ascii="Arial" w:eastAsia="Arial" w:hAnsi="Arial" w:cs="Arial"/>
                <w:color w:val="000000" w:themeColor="text1"/>
                <w:sz w:val="20"/>
                <w:szCs w:val="20"/>
              </w:rPr>
              <w:t>$24,979</w:t>
            </w:r>
          </w:p>
        </w:tc>
      </w:tr>
      <w:tr w:rsidR="00706947" w:rsidRPr="00E553E1" w14:paraId="1AF872FF" w14:textId="77777777" w:rsidTr="00102527">
        <w:tc>
          <w:tcPr>
            <w:tcW w:w="5670" w:type="dxa"/>
          </w:tcPr>
          <w:p w14:paraId="3A60D70B" w14:textId="77777777" w:rsidR="00706947" w:rsidRPr="00E553E1" w:rsidRDefault="00706947" w:rsidP="00102527">
            <w:pPr>
              <w:widowControl w:val="0"/>
            </w:pPr>
            <w:r w:rsidRPr="00E553E1">
              <w:rPr>
                <w:rFonts w:ascii="Arial" w:eastAsia="Arial" w:hAnsi="Arial" w:cs="Arial"/>
                <w:color w:val="000000" w:themeColor="text1"/>
                <w:sz w:val="20"/>
                <w:szCs w:val="20"/>
              </w:rPr>
              <w:t>Office of Administrative Tax Appeals</w:t>
            </w:r>
          </w:p>
        </w:tc>
        <w:tc>
          <w:tcPr>
            <w:tcW w:w="1830" w:type="dxa"/>
          </w:tcPr>
          <w:p w14:paraId="30269EE2"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54AA0E6E" w14:textId="77777777" w:rsidR="00706947" w:rsidRPr="00E553E1" w:rsidRDefault="00706947" w:rsidP="00102527">
            <w:pPr>
              <w:widowControl w:val="0"/>
            </w:pPr>
            <w:r w:rsidRPr="00E553E1">
              <w:rPr>
                <w:rFonts w:ascii="Arial" w:eastAsia="Arial" w:hAnsi="Arial" w:cs="Arial"/>
                <w:color w:val="000000" w:themeColor="text1"/>
                <w:sz w:val="20"/>
                <w:szCs w:val="20"/>
              </w:rPr>
              <w:t>$17,908</w:t>
            </w:r>
          </w:p>
        </w:tc>
      </w:tr>
      <w:tr w:rsidR="00706947" w:rsidRPr="00E553E1" w14:paraId="2CF48F7C" w14:textId="77777777" w:rsidTr="00102527">
        <w:tc>
          <w:tcPr>
            <w:tcW w:w="5670" w:type="dxa"/>
          </w:tcPr>
          <w:p w14:paraId="48605CBB" w14:textId="77777777" w:rsidR="00706947" w:rsidRPr="00E553E1" w:rsidRDefault="00706947" w:rsidP="00102527">
            <w:pPr>
              <w:widowControl w:val="0"/>
            </w:pPr>
            <w:r w:rsidRPr="00E553E1">
              <w:rPr>
                <w:rFonts w:ascii="Arial" w:eastAsia="Arial" w:hAnsi="Arial" w:cs="Arial"/>
                <w:color w:val="000000" w:themeColor="text1"/>
                <w:sz w:val="20"/>
                <w:szCs w:val="20"/>
              </w:rPr>
              <w:t>Board of Correction</w:t>
            </w:r>
          </w:p>
        </w:tc>
        <w:tc>
          <w:tcPr>
            <w:tcW w:w="1830" w:type="dxa"/>
          </w:tcPr>
          <w:p w14:paraId="33D23F56"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23D49212" w14:textId="77777777" w:rsidR="00706947" w:rsidRPr="00E553E1" w:rsidRDefault="00706947" w:rsidP="00102527">
            <w:pPr>
              <w:widowControl w:val="0"/>
            </w:pPr>
            <w:r w:rsidRPr="00E553E1">
              <w:rPr>
                <w:rFonts w:ascii="Arial" w:eastAsia="Arial" w:hAnsi="Arial" w:cs="Arial"/>
                <w:color w:val="000000" w:themeColor="text1"/>
                <w:sz w:val="20"/>
                <w:szCs w:val="20"/>
              </w:rPr>
              <w:t>$6,349</w:t>
            </w:r>
          </w:p>
        </w:tc>
      </w:tr>
      <w:tr w:rsidR="00706947" w:rsidRPr="00E553E1" w14:paraId="6F56B4F0" w14:textId="77777777" w:rsidTr="00102527">
        <w:tc>
          <w:tcPr>
            <w:tcW w:w="5670" w:type="dxa"/>
          </w:tcPr>
          <w:p w14:paraId="3D3164CF" w14:textId="77777777" w:rsidR="00706947" w:rsidRPr="00E553E1" w:rsidRDefault="00706947" w:rsidP="00102527">
            <w:pPr>
              <w:widowControl w:val="0"/>
            </w:pPr>
            <w:r w:rsidRPr="00E553E1">
              <w:rPr>
                <w:rFonts w:ascii="Arial" w:eastAsia="Arial" w:hAnsi="Arial" w:cs="Arial"/>
                <w:color w:val="000000" w:themeColor="text1"/>
                <w:sz w:val="20"/>
                <w:szCs w:val="20"/>
              </w:rPr>
              <w:t>Equal Employment Practices Commission</w:t>
            </w:r>
          </w:p>
        </w:tc>
        <w:tc>
          <w:tcPr>
            <w:tcW w:w="1830" w:type="dxa"/>
          </w:tcPr>
          <w:p w14:paraId="2AF52E18" w14:textId="77777777" w:rsidR="00706947" w:rsidRPr="00E553E1" w:rsidRDefault="00706947" w:rsidP="00102527">
            <w:pPr>
              <w:widowControl w:val="0"/>
            </w:pPr>
            <w:r w:rsidRPr="00E553E1">
              <w:rPr>
                <w:rFonts w:ascii="Arial" w:eastAsia="Arial" w:hAnsi="Arial" w:cs="Arial"/>
                <w:color w:val="000000" w:themeColor="text1"/>
                <w:sz w:val="20"/>
                <w:szCs w:val="20"/>
              </w:rPr>
              <w:t>$3,510</w:t>
            </w:r>
          </w:p>
        </w:tc>
        <w:tc>
          <w:tcPr>
            <w:tcW w:w="1860" w:type="dxa"/>
          </w:tcPr>
          <w:p w14:paraId="1AF620D8" w14:textId="77777777" w:rsidR="00706947" w:rsidRPr="00E553E1" w:rsidRDefault="00706947" w:rsidP="00102527">
            <w:pPr>
              <w:widowControl w:val="0"/>
            </w:pPr>
            <w:r w:rsidRPr="00E553E1">
              <w:rPr>
                <w:rFonts w:ascii="Arial" w:eastAsia="Arial" w:hAnsi="Arial" w:cs="Arial"/>
                <w:color w:val="000000" w:themeColor="text1"/>
                <w:sz w:val="20"/>
                <w:szCs w:val="20"/>
              </w:rPr>
              <w:t>$3,510</w:t>
            </w:r>
          </w:p>
        </w:tc>
      </w:tr>
      <w:tr w:rsidR="00706947" w:rsidRPr="00E553E1" w14:paraId="34A54DC2" w14:textId="77777777" w:rsidTr="00102527">
        <w:tc>
          <w:tcPr>
            <w:tcW w:w="5670" w:type="dxa"/>
          </w:tcPr>
          <w:p w14:paraId="6C685D69" w14:textId="77777777" w:rsidR="00706947" w:rsidRPr="00E553E1" w:rsidRDefault="00706947" w:rsidP="00102527">
            <w:pPr>
              <w:widowControl w:val="0"/>
            </w:pPr>
            <w:r w:rsidRPr="00E553E1">
              <w:rPr>
                <w:rFonts w:ascii="Arial" w:eastAsia="Arial" w:hAnsi="Arial" w:cs="Arial"/>
                <w:color w:val="000000" w:themeColor="text1"/>
                <w:sz w:val="20"/>
                <w:szCs w:val="20"/>
              </w:rPr>
              <w:t>Department or Records and Information Services</w:t>
            </w:r>
          </w:p>
        </w:tc>
        <w:tc>
          <w:tcPr>
            <w:tcW w:w="1830" w:type="dxa"/>
          </w:tcPr>
          <w:p w14:paraId="7AD479A8" w14:textId="77777777" w:rsidR="00706947" w:rsidRPr="00E553E1" w:rsidRDefault="00706947" w:rsidP="00102527">
            <w:pPr>
              <w:widowControl w:val="0"/>
            </w:pPr>
            <w:r w:rsidRPr="00E553E1">
              <w:rPr>
                <w:rFonts w:ascii="Arial" w:eastAsia="Arial" w:hAnsi="Arial" w:cs="Arial"/>
                <w:color w:val="000000" w:themeColor="text1"/>
                <w:sz w:val="20"/>
                <w:szCs w:val="20"/>
              </w:rPr>
              <w:t>$2,533</w:t>
            </w:r>
          </w:p>
        </w:tc>
        <w:tc>
          <w:tcPr>
            <w:tcW w:w="1860" w:type="dxa"/>
          </w:tcPr>
          <w:p w14:paraId="444C0D41" w14:textId="77777777" w:rsidR="00706947" w:rsidRPr="00E553E1" w:rsidRDefault="00706947" w:rsidP="00102527">
            <w:pPr>
              <w:widowControl w:val="0"/>
            </w:pPr>
            <w:r w:rsidRPr="00E553E1">
              <w:rPr>
                <w:rFonts w:ascii="Arial" w:eastAsia="Arial" w:hAnsi="Arial" w:cs="Arial"/>
                <w:color w:val="000000" w:themeColor="text1"/>
                <w:sz w:val="20"/>
                <w:szCs w:val="20"/>
              </w:rPr>
              <w:t>$2,533</w:t>
            </w:r>
          </w:p>
        </w:tc>
      </w:tr>
      <w:tr w:rsidR="00706947" w:rsidRPr="00E553E1" w14:paraId="588B601E" w14:textId="77777777" w:rsidTr="00102527">
        <w:tc>
          <w:tcPr>
            <w:tcW w:w="5670" w:type="dxa"/>
          </w:tcPr>
          <w:p w14:paraId="44A4C878" w14:textId="77777777" w:rsidR="00706947" w:rsidRPr="00E553E1" w:rsidRDefault="00706947" w:rsidP="00102527">
            <w:pPr>
              <w:widowControl w:val="0"/>
            </w:pPr>
            <w:r w:rsidRPr="00E553E1">
              <w:rPr>
                <w:rFonts w:ascii="Arial" w:eastAsia="Arial" w:hAnsi="Arial" w:cs="Arial"/>
                <w:color w:val="000000" w:themeColor="text1"/>
                <w:sz w:val="20"/>
                <w:szCs w:val="20"/>
              </w:rPr>
              <w:t>Department of Veterans' Services</w:t>
            </w:r>
          </w:p>
        </w:tc>
        <w:tc>
          <w:tcPr>
            <w:tcW w:w="1830" w:type="dxa"/>
          </w:tcPr>
          <w:p w14:paraId="00AB77E4" w14:textId="77777777" w:rsidR="00706947" w:rsidRPr="00E553E1" w:rsidRDefault="00706947" w:rsidP="00102527">
            <w:pPr>
              <w:widowControl w:val="0"/>
            </w:pPr>
            <w:r w:rsidRPr="00E553E1">
              <w:rPr>
                <w:rFonts w:ascii="Arial" w:eastAsia="Arial" w:hAnsi="Arial" w:cs="Arial"/>
                <w:color w:val="000000" w:themeColor="text1"/>
                <w:sz w:val="20"/>
                <w:szCs w:val="20"/>
              </w:rPr>
              <w:t>$3,453</w:t>
            </w:r>
          </w:p>
        </w:tc>
        <w:tc>
          <w:tcPr>
            <w:tcW w:w="1860" w:type="dxa"/>
          </w:tcPr>
          <w:p w14:paraId="4D232691" w14:textId="77777777" w:rsidR="00706947" w:rsidRPr="00E553E1" w:rsidRDefault="00706947" w:rsidP="00102527">
            <w:pPr>
              <w:widowControl w:val="0"/>
            </w:pPr>
            <w:r w:rsidRPr="00E553E1">
              <w:rPr>
                <w:rFonts w:ascii="Arial" w:eastAsia="Arial" w:hAnsi="Arial" w:cs="Arial"/>
                <w:color w:val="000000" w:themeColor="text1"/>
                <w:sz w:val="20"/>
                <w:szCs w:val="20"/>
              </w:rPr>
              <w:t>$219</w:t>
            </w:r>
          </w:p>
        </w:tc>
      </w:tr>
      <w:tr w:rsidR="00706947" w:rsidRPr="00E553E1" w14:paraId="15C99B6C" w14:textId="77777777" w:rsidTr="00102527">
        <w:tc>
          <w:tcPr>
            <w:tcW w:w="5670" w:type="dxa"/>
          </w:tcPr>
          <w:p w14:paraId="75F34339" w14:textId="77777777" w:rsidR="00706947" w:rsidRPr="00E553E1" w:rsidRDefault="00706947" w:rsidP="00102527">
            <w:pPr>
              <w:widowControl w:val="0"/>
            </w:pPr>
            <w:r w:rsidRPr="00E553E1">
              <w:rPr>
                <w:rFonts w:ascii="Arial" w:eastAsia="Arial" w:hAnsi="Arial" w:cs="Arial"/>
                <w:color w:val="000000" w:themeColor="text1"/>
                <w:sz w:val="20"/>
                <w:szCs w:val="20"/>
              </w:rPr>
              <w:t>Health and Hospitals Corporation</w:t>
            </w:r>
          </w:p>
        </w:tc>
        <w:tc>
          <w:tcPr>
            <w:tcW w:w="1830" w:type="dxa"/>
          </w:tcPr>
          <w:p w14:paraId="1066EA3B"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57348B1C"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r>
      <w:tr w:rsidR="00706947" w:rsidRPr="00E553E1" w14:paraId="56453EF5" w14:textId="77777777" w:rsidTr="00102527">
        <w:tc>
          <w:tcPr>
            <w:tcW w:w="5670" w:type="dxa"/>
          </w:tcPr>
          <w:p w14:paraId="725C4770" w14:textId="77777777" w:rsidR="00706947" w:rsidRPr="00E553E1" w:rsidRDefault="00706947" w:rsidP="00102527">
            <w:pPr>
              <w:widowControl w:val="0"/>
            </w:pPr>
            <w:r w:rsidRPr="00E553E1">
              <w:rPr>
                <w:rFonts w:ascii="Arial" w:eastAsia="Arial" w:hAnsi="Arial" w:cs="Arial"/>
                <w:color w:val="000000" w:themeColor="text1"/>
                <w:sz w:val="20"/>
                <w:szCs w:val="20"/>
              </w:rPr>
              <w:t>Housing Preservation and Development</w:t>
            </w:r>
          </w:p>
        </w:tc>
        <w:tc>
          <w:tcPr>
            <w:tcW w:w="1830" w:type="dxa"/>
          </w:tcPr>
          <w:p w14:paraId="592D7F49" w14:textId="77777777" w:rsidR="00706947" w:rsidRPr="00E553E1" w:rsidRDefault="00706947" w:rsidP="00102527">
            <w:pPr>
              <w:widowControl w:val="0"/>
            </w:pPr>
            <w:r w:rsidRPr="00E553E1">
              <w:rPr>
                <w:rFonts w:ascii="Arial" w:eastAsia="Arial" w:hAnsi="Arial" w:cs="Arial"/>
                <w:color w:val="000000" w:themeColor="text1"/>
                <w:sz w:val="20"/>
                <w:szCs w:val="20"/>
              </w:rPr>
              <w:t>$315,000</w:t>
            </w:r>
          </w:p>
        </w:tc>
        <w:tc>
          <w:tcPr>
            <w:tcW w:w="1860" w:type="dxa"/>
          </w:tcPr>
          <w:p w14:paraId="4178E711"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r>
      <w:tr w:rsidR="00706947" w:rsidRPr="00E553E1" w14:paraId="37994F1C" w14:textId="77777777" w:rsidTr="00102527">
        <w:tc>
          <w:tcPr>
            <w:tcW w:w="5670" w:type="dxa"/>
          </w:tcPr>
          <w:p w14:paraId="398D174B" w14:textId="77777777" w:rsidR="00706947" w:rsidRPr="00E553E1" w:rsidRDefault="00706947" w:rsidP="00102527">
            <w:pPr>
              <w:widowControl w:val="0"/>
            </w:pPr>
            <w:r w:rsidRPr="00E553E1">
              <w:rPr>
                <w:rFonts w:ascii="Arial" w:eastAsia="Arial" w:hAnsi="Arial" w:cs="Arial"/>
                <w:color w:val="000000" w:themeColor="text1"/>
                <w:sz w:val="20"/>
                <w:szCs w:val="20"/>
              </w:rPr>
              <w:t>Office of Payroll Administration</w:t>
            </w:r>
          </w:p>
        </w:tc>
        <w:tc>
          <w:tcPr>
            <w:tcW w:w="1830" w:type="dxa"/>
          </w:tcPr>
          <w:p w14:paraId="74C36D5D" w14:textId="77777777" w:rsidR="00706947" w:rsidRPr="00E553E1" w:rsidRDefault="00706947" w:rsidP="00102527">
            <w:pPr>
              <w:widowControl w:val="0"/>
            </w:pPr>
            <w:r w:rsidRPr="00E553E1">
              <w:rPr>
                <w:rFonts w:ascii="Arial" w:eastAsia="Arial" w:hAnsi="Arial" w:cs="Arial"/>
                <w:color w:val="000000" w:themeColor="text1"/>
                <w:sz w:val="20"/>
                <w:szCs w:val="20"/>
              </w:rPr>
              <w:t>$0</w:t>
            </w:r>
          </w:p>
        </w:tc>
        <w:tc>
          <w:tcPr>
            <w:tcW w:w="1860" w:type="dxa"/>
          </w:tcPr>
          <w:p w14:paraId="08476FD1" w14:textId="77777777" w:rsidR="00706947" w:rsidRPr="00E553E1" w:rsidRDefault="00706947" w:rsidP="00102527">
            <w:pPr>
              <w:widowControl w:val="0"/>
            </w:pPr>
            <w:r w:rsidRPr="00E553E1">
              <w:rPr>
                <w:rFonts w:ascii="Arial" w:eastAsia="Arial" w:hAnsi="Arial" w:cs="Arial"/>
                <w:color w:val="000000" w:themeColor="text1"/>
                <w:sz w:val="20"/>
                <w:szCs w:val="20"/>
              </w:rPr>
              <w:t>-$10,729</w:t>
            </w:r>
          </w:p>
        </w:tc>
      </w:tr>
      <w:tr w:rsidR="00706947" w14:paraId="698E9A08" w14:textId="77777777" w:rsidTr="00102527">
        <w:tc>
          <w:tcPr>
            <w:tcW w:w="5670" w:type="dxa"/>
          </w:tcPr>
          <w:p w14:paraId="0F7CC921" w14:textId="77777777" w:rsidR="00706947" w:rsidRPr="00E553E1" w:rsidRDefault="00706947" w:rsidP="00102527">
            <w:pPr>
              <w:widowControl w:val="0"/>
            </w:pPr>
            <w:r w:rsidRPr="00E553E1">
              <w:rPr>
                <w:rFonts w:ascii="Arial" w:eastAsia="Arial" w:hAnsi="Arial" w:cs="Arial"/>
                <w:b/>
                <w:bCs/>
                <w:color w:val="000000" w:themeColor="text1"/>
                <w:sz w:val="20"/>
                <w:szCs w:val="20"/>
              </w:rPr>
              <w:t>TOTAL</w:t>
            </w:r>
          </w:p>
        </w:tc>
        <w:tc>
          <w:tcPr>
            <w:tcW w:w="1830" w:type="dxa"/>
          </w:tcPr>
          <w:p w14:paraId="413CB64E" w14:textId="77777777" w:rsidR="00706947" w:rsidRPr="00E553E1" w:rsidRDefault="00706947" w:rsidP="00102527">
            <w:pPr>
              <w:widowControl w:val="0"/>
            </w:pPr>
            <w:r w:rsidRPr="00E553E1">
              <w:rPr>
                <w:rFonts w:ascii="Arial" w:eastAsia="Arial" w:hAnsi="Arial" w:cs="Arial"/>
                <w:b/>
                <w:bCs/>
                <w:color w:val="000000" w:themeColor="text1"/>
                <w:sz w:val="20"/>
                <w:szCs w:val="20"/>
              </w:rPr>
              <w:t>$2,778,660,086</w:t>
            </w:r>
          </w:p>
        </w:tc>
        <w:tc>
          <w:tcPr>
            <w:tcW w:w="1860" w:type="dxa"/>
          </w:tcPr>
          <w:p w14:paraId="512A9478" w14:textId="77777777" w:rsidR="00706947" w:rsidRDefault="00706947" w:rsidP="00102527">
            <w:pPr>
              <w:widowControl w:val="0"/>
            </w:pPr>
            <w:r w:rsidRPr="00E553E1">
              <w:rPr>
                <w:rFonts w:ascii="Arial" w:eastAsia="Arial" w:hAnsi="Arial" w:cs="Arial"/>
                <w:b/>
                <w:bCs/>
                <w:color w:val="000000" w:themeColor="text1"/>
                <w:sz w:val="20"/>
                <w:szCs w:val="20"/>
              </w:rPr>
              <w:t>$2,288,882,165</w:t>
            </w:r>
          </w:p>
        </w:tc>
      </w:tr>
    </w:tbl>
    <w:p w14:paraId="756A5C3B" w14:textId="2E0ECE22" w:rsidR="59A3B234" w:rsidRDefault="59A3B234" w:rsidP="59A3B234">
      <w:pPr>
        <w:jc w:val="both"/>
        <w:rPr>
          <w:b/>
          <w:bCs/>
          <w:u w:val="single"/>
        </w:rPr>
      </w:pPr>
    </w:p>
    <w:p w14:paraId="0906BCCE" w14:textId="6285E521" w:rsidR="00A77A8C" w:rsidRDefault="00A77A8C" w:rsidP="59A3B234">
      <w:pPr>
        <w:jc w:val="both"/>
        <w:rPr>
          <w:b/>
          <w:bCs/>
          <w:u w:val="single"/>
        </w:rPr>
      </w:pPr>
    </w:p>
    <w:p w14:paraId="45B408F7" w14:textId="77777777" w:rsidR="00A77A8C" w:rsidRDefault="00A77A8C" w:rsidP="59A3B234">
      <w:pPr>
        <w:jc w:val="both"/>
        <w:rPr>
          <w:b/>
          <w:bCs/>
          <w:u w:val="single"/>
        </w:rPr>
      </w:pPr>
    </w:p>
    <w:p w14:paraId="66B2C475" w14:textId="6FC617D4" w:rsidR="59A3B234" w:rsidRDefault="59A3B234" w:rsidP="59A3B234">
      <w:pPr>
        <w:jc w:val="both"/>
        <w:rPr>
          <w:b/>
          <w:bCs/>
          <w:u w:val="single"/>
        </w:rPr>
      </w:pPr>
    </w:p>
    <w:p w14:paraId="3B1FB3AF" w14:textId="31F3640A" w:rsidR="004B34B3" w:rsidRPr="004B34B3" w:rsidRDefault="399F7DA8" w:rsidP="00757C96">
      <w:pPr>
        <w:pStyle w:val="ListParagraph"/>
        <w:widowControl w:val="0"/>
        <w:numPr>
          <w:ilvl w:val="0"/>
          <w:numId w:val="2"/>
        </w:numPr>
        <w:spacing w:line="480" w:lineRule="auto"/>
        <w:jc w:val="both"/>
        <w:rPr>
          <w:b/>
          <w:bCs/>
          <w:u w:val="single"/>
        </w:rPr>
      </w:pPr>
      <w:r w:rsidRPr="0693BEC2">
        <w:rPr>
          <w:b/>
          <w:bCs/>
          <w:color w:val="000000" w:themeColor="text1"/>
        </w:rPr>
        <w:t>Federal Stimulus Packages</w:t>
      </w:r>
    </w:p>
    <w:p w14:paraId="0DDFFFA7" w14:textId="752EFCA3" w:rsidR="37720314" w:rsidRDefault="37720314" w:rsidP="0693BEC2">
      <w:pPr>
        <w:spacing w:line="480" w:lineRule="auto"/>
        <w:ind w:firstLine="720"/>
        <w:jc w:val="both"/>
        <w:rPr>
          <w:color w:val="000000" w:themeColor="text1"/>
        </w:rPr>
      </w:pPr>
      <w:r w:rsidRPr="0693BEC2">
        <w:rPr>
          <w:color w:val="000000" w:themeColor="text1"/>
        </w:rPr>
        <w:t xml:space="preserve">To date, Congress has passed four pieces of federal legislation appropriating funds to the federal government, states, and localities for purposes of funding </w:t>
      </w:r>
      <w:r w:rsidR="70862108" w:rsidRPr="0693BEC2">
        <w:rPr>
          <w:color w:val="000000" w:themeColor="text1"/>
        </w:rPr>
        <w:t xml:space="preserve">direct, </w:t>
      </w:r>
      <w:r w:rsidRPr="0693BEC2">
        <w:rPr>
          <w:color w:val="000000" w:themeColor="text1"/>
        </w:rPr>
        <w:t>COVID-related expenses and</w:t>
      </w:r>
      <w:r w:rsidR="16075B0A" w:rsidRPr="0693BEC2">
        <w:rPr>
          <w:color w:val="000000" w:themeColor="text1"/>
        </w:rPr>
        <w:t xml:space="preserve"> addressing the financial impacts of the pandemic</w:t>
      </w:r>
      <w:r w:rsidR="26C0A5B7" w:rsidRPr="0693BEC2">
        <w:rPr>
          <w:color w:val="000000" w:themeColor="text1"/>
        </w:rPr>
        <w:t>.</w:t>
      </w:r>
      <w:r w:rsidRPr="0693BEC2">
        <w:rPr>
          <w:color w:val="000000" w:themeColor="text1"/>
        </w:rPr>
        <w:t xml:space="preserve"> </w:t>
      </w:r>
    </w:p>
    <w:p w14:paraId="1596F9CB" w14:textId="77777777" w:rsidR="004B34B3" w:rsidRPr="00440A15" w:rsidRDefault="004B34B3" w:rsidP="004B34B3">
      <w:pPr>
        <w:pStyle w:val="ListParagraph"/>
        <w:widowControl w:val="0"/>
        <w:numPr>
          <w:ilvl w:val="1"/>
          <w:numId w:val="2"/>
        </w:numPr>
        <w:spacing w:line="480" w:lineRule="auto"/>
        <w:jc w:val="both"/>
        <w:rPr>
          <w:u w:val="single"/>
        </w:rPr>
      </w:pPr>
      <w:r w:rsidRPr="00706947">
        <w:rPr>
          <w:color w:val="000000" w:themeColor="text1"/>
          <w:spacing w:val="-2"/>
        </w:rPr>
        <w:t>Phase 1 – Coronavirus Preparedness and Response Supplemental Appropriations Act</w:t>
      </w:r>
    </w:p>
    <w:p w14:paraId="6B998803" w14:textId="338DF34D" w:rsidR="004B34B3" w:rsidRDefault="004B34B3" w:rsidP="004B34B3">
      <w:pPr>
        <w:widowControl w:val="0"/>
        <w:spacing w:line="480" w:lineRule="auto"/>
        <w:ind w:firstLine="720"/>
        <w:jc w:val="both"/>
        <w:rPr>
          <w:color w:val="000000"/>
        </w:rPr>
      </w:pPr>
      <w:r w:rsidRPr="00440A15">
        <w:rPr>
          <w:color w:val="000000"/>
        </w:rPr>
        <w:t>On March 6, 2020, the Coronavirus Preparedness and Response Supplemental Appropriations Act, 2020 was signed into law and was the federal government’s initial response to the virus.</w:t>
      </w:r>
      <w:r w:rsidRPr="37E03600">
        <w:rPr>
          <w:rStyle w:val="FootnoteReference"/>
          <w:color w:val="000000"/>
        </w:rPr>
        <w:footnoteReference w:id="32"/>
      </w:r>
      <w:r w:rsidRPr="00440A15">
        <w:rPr>
          <w:color w:val="000000"/>
        </w:rPr>
        <w:t xml:space="preserve"> The bill provided $8.3 billion in emergency funding for federal agencies to respond to COVID-19.</w:t>
      </w:r>
      <w:r w:rsidR="549BE6C3" w:rsidRPr="00440A15">
        <w:rPr>
          <w:color w:val="000000"/>
        </w:rPr>
        <w:t xml:space="preserve"> </w:t>
      </w:r>
      <w:r w:rsidR="1E398662" w:rsidRPr="00440A15">
        <w:rPr>
          <w:color w:val="000000"/>
        </w:rPr>
        <w:t>T</w:t>
      </w:r>
      <w:r w:rsidRPr="00440A15">
        <w:rPr>
          <w:color w:val="000000"/>
        </w:rPr>
        <w:t>he stimulus package included $20 million for the SBA disaster loans program to support SBA’s administration of loan subsidies that would be made available to entities financially impacted as a result of the coronavirus.</w:t>
      </w:r>
      <w:r w:rsidRPr="37E03600">
        <w:rPr>
          <w:rStyle w:val="FootnoteReference"/>
          <w:color w:val="000000"/>
        </w:rPr>
        <w:footnoteReference w:id="33"/>
      </w:r>
      <w:r w:rsidRPr="00440A15">
        <w:rPr>
          <w:color w:val="000000"/>
        </w:rPr>
        <w:t xml:space="preserve"> </w:t>
      </w:r>
      <w:r w:rsidR="20373D5E" w:rsidRPr="00440A15">
        <w:rPr>
          <w:color w:val="000000"/>
        </w:rPr>
        <w:t>T</w:t>
      </w:r>
      <w:r w:rsidRPr="00440A15">
        <w:rPr>
          <w:color w:val="000000"/>
        </w:rPr>
        <w:t xml:space="preserve">he bill </w:t>
      </w:r>
      <w:r w:rsidR="33FA3564" w:rsidRPr="00440A15">
        <w:rPr>
          <w:color w:val="000000"/>
        </w:rPr>
        <w:t xml:space="preserve">also </w:t>
      </w:r>
      <w:r w:rsidRPr="00440A15">
        <w:rPr>
          <w:color w:val="000000"/>
        </w:rPr>
        <w:t>included a waiver removing restrictions on Medicare providers allowing them to offer telehealth services to beneficiaries, at an estimated cost of $500 million.</w:t>
      </w:r>
      <w:r w:rsidRPr="37E03600">
        <w:rPr>
          <w:rStyle w:val="FootnoteReference"/>
          <w:color w:val="000000"/>
        </w:rPr>
        <w:footnoteReference w:id="34"/>
      </w:r>
      <w:r w:rsidRPr="00440A15">
        <w:rPr>
          <w:color w:val="000000"/>
        </w:rPr>
        <w:t xml:space="preserve"> </w:t>
      </w:r>
    </w:p>
    <w:p w14:paraId="0E8150C0" w14:textId="26C8CDBD" w:rsidR="004B34B3" w:rsidRDefault="004B34B3" w:rsidP="004B34B3">
      <w:pPr>
        <w:widowControl w:val="0"/>
        <w:spacing w:line="480" w:lineRule="auto"/>
        <w:ind w:firstLine="720"/>
        <w:jc w:val="both"/>
      </w:pPr>
      <w:r w:rsidRPr="37E03600">
        <w:t>According to U.S. Senator for New York, Charles E. Schumer, the legislation provided nearly $1 billion directly to state, local, and tribal governments to conduct public health preparedness and response activities, including: surveillance and monitoring; laboratory testing to identify new cases; tracing to identify additional positive cases; infection control at the local level to prevent new cases; and mitigation activities.</w:t>
      </w:r>
      <w:r w:rsidRPr="37E03600">
        <w:rPr>
          <w:rStyle w:val="FootnoteReference"/>
        </w:rPr>
        <w:footnoteReference w:id="35"/>
      </w:r>
      <w:r w:rsidRPr="37E03600">
        <w:t xml:space="preserve"> </w:t>
      </w:r>
      <w:r>
        <w:t xml:space="preserve"> </w:t>
      </w:r>
    </w:p>
    <w:p w14:paraId="0089959E" w14:textId="77777777" w:rsidR="00A77A8C" w:rsidRPr="00440A15" w:rsidRDefault="00A77A8C" w:rsidP="004B34B3">
      <w:pPr>
        <w:widowControl w:val="0"/>
        <w:spacing w:line="480" w:lineRule="auto"/>
        <w:ind w:firstLine="720"/>
        <w:jc w:val="both"/>
        <w:rPr>
          <w:color w:val="000000"/>
        </w:rPr>
      </w:pPr>
    </w:p>
    <w:p w14:paraId="3CDB10A7" w14:textId="77777777" w:rsidR="004B34B3" w:rsidRPr="00440A15" w:rsidRDefault="004B34B3" w:rsidP="004B34B3">
      <w:pPr>
        <w:pStyle w:val="ListParagraph"/>
        <w:widowControl w:val="0"/>
        <w:numPr>
          <w:ilvl w:val="1"/>
          <w:numId w:val="2"/>
        </w:numPr>
        <w:spacing w:line="480" w:lineRule="auto"/>
        <w:jc w:val="both"/>
        <w:rPr>
          <w:u w:val="single"/>
        </w:rPr>
      </w:pPr>
      <w:r w:rsidRPr="0693BEC2">
        <w:rPr>
          <w:color w:val="000000" w:themeColor="text1"/>
        </w:rPr>
        <w:t xml:space="preserve">Phase 2 – Families First Coronavirus Response Act </w:t>
      </w:r>
    </w:p>
    <w:p w14:paraId="5594B75E" w14:textId="77777777" w:rsidR="004B34B3" w:rsidRDefault="004B34B3" w:rsidP="004B34B3">
      <w:pPr>
        <w:widowControl w:val="0"/>
        <w:spacing w:line="480" w:lineRule="auto"/>
        <w:ind w:firstLine="720"/>
        <w:jc w:val="both"/>
      </w:pPr>
      <w:r w:rsidRPr="00440A15">
        <w:rPr>
          <w:color w:val="000000"/>
        </w:rPr>
        <w:t>On March 18, 2020, the Families First Coronavirus Response Act or FFCRA (H.R. 6201) was signed into law.</w:t>
      </w:r>
      <w:r w:rsidRPr="37E03600">
        <w:rPr>
          <w:rStyle w:val="FootnoteReference"/>
          <w:color w:val="000000" w:themeColor="text1"/>
        </w:rPr>
        <w:footnoteReference w:id="36"/>
      </w:r>
      <w:r w:rsidRPr="00440A15">
        <w:rPr>
          <w:color w:val="000000"/>
        </w:rPr>
        <w:t xml:space="preserve"> The legislation included $3.5 billion to provide immediate relief to individuals and businesses impacted by the virus, and expanded the coverage for COVID-19 testing, paid sick and family leave, food assistance, and unemployment benefits.</w:t>
      </w:r>
      <w:r w:rsidRPr="37E03600">
        <w:rPr>
          <w:rStyle w:val="FootnoteReference"/>
          <w:color w:val="000000"/>
        </w:rPr>
        <w:footnoteReference w:id="37"/>
      </w:r>
      <w:r w:rsidRPr="00440A15">
        <w:rPr>
          <w:color w:val="000000"/>
        </w:rPr>
        <w:tab/>
      </w:r>
      <w:r w:rsidRPr="00440A15">
        <w:rPr>
          <w:color w:val="000000"/>
        </w:rPr>
        <w:tab/>
      </w:r>
      <w:r w:rsidRPr="37E03600">
        <w:t>According to Senator Schumer, the FFCRA provided critical healthcare funding to states and designated approximately $5.3 billion to New York in the form of Federal Medical Assistance Percentages (FMAPs).</w:t>
      </w:r>
      <w:r w:rsidRPr="37E03600">
        <w:rPr>
          <w:rStyle w:val="FootnoteReference"/>
        </w:rPr>
        <w:footnoteReference w:id="38"/>
      </w:r>
      <w:r w:rsidRPr="37E03600">
        <w:t xml:space="preserve"> FMAPs are used in determining the amount of federal matching funds for state expenditures for assistance payments for certain social services, and State medical and medical insurance expenditures.</w:t>
      </w:r>
      <w:r w:rsidRPr="37E03600">
        <w:rPr>
          <w:rStyle w:val="FootnoteReference"/>
        </w:rPr>
        <w:footnoteReference w:id="39"/>
      </w:r>
      <w:r w:rsidRPr="37E03600">
        <w:t xml:space="preserve"> </w:t>
      </w:r>
    </w:p>
    <w:p w14:paraId="66007E6C" w14:textId="0221610C" w:rsidR="004B34B3" w:rsidRDefault="004B34B3" w:rsidP="004B34B3">
      <w:pPr>
        <w:widowControl w:val="0"/>
        <w:spacing w:line="480" w:lineRule="auto"/>
        <w:ind w:firstLine="720"/>
        <w:jc w:val="both"/>
      </w:pPr>
      <w:r w:rsidRPr="37E03600">
        <w:t>Senator Schumer also announced that the legislation provided $1 billion in additional unemployment benefits to states, unlocking tens of millions of new dollars to help New York as the virus’s economic impacts risk taking effect.</w:t>
      </w:r>
      <w:r w:rsidRPr="37E03600">
        <w:rPr>
          <w:rStyle w:val="FootnoteReference"/>
        </w:rPr>
        <w:footnoteReference w:id="40"/>
      </w:r>
      <w:r w:rsidRPr="37E03600">
        <w:t xml:space="preserve"> The legislation also provides states, including New York, $15 million for meals homebound seniors might require and $1 billion for free coronavirus testing, paid sick leave for workers, and food assistance.</w:t>
      </w:r>
      <w:r w:rsidRPr="37E03600">
        <w:rPr>
          <w:rStyle w:val="FootnoteReference"/>
        </w:rPr>
        <w:footnoteReference w:id="41"/>
      </w:r>
    </w:p>
    <w:p w14:paraId="6F77292F" w14:textId="4E7D3DF6" w:rsidR="004B34B3" w:rsidRPr="00757C96" w:rsidRDefault="004B34B3" w:rsidP="004B34B3">
      <w:pPr>
        <w:pStyle w:val="ListParagraph"/>
        <w:widowControl w:val="0"/>
        <w:numPr>
          <w:ilvl w:val="1"/>
          <w:numId w:val="2"/>
        </w:numPr>
        <w:spacing w:line="480" w:lineRule="auto"/>
        <w:jc w:val="both"/>
        <w:rPr>
          <w:u w:val="single"/>
        </w:rPr>
      </w:pPr>
      <w:r>
        <w:t>Phase 3 – Coronavirus Aid, Relief, and Economic Security Act</w:t>
      </w:r>
    </w:p>
    <w:p w14:paraId="232CBF01" w14:textId="77777777" w:rsidR="004B34B3" w:rsidRPr="004F787C" w:rsidRDefault="004B34B3" w:rsidP="004B34B3">
      <w:pPr>
        <w:widowControl w:val="0"/>
        <w:spacing w:line="480" w:lineRule="auto"/>
        <w:ind w:firstLine="720"/>
        <w:jc w:val="both"/>
        <w:rPr>
          <w:color w:val="000000"/>
        </w:rPr>
      </w:pPr>
      <w:r w:rsidRPr="004F787C">
        <w:rPr>
          <w:color w:val="000000"/>
        </w:rPr>
        <w:t>On March 27, 2020, the Coronavirus Aid, Relief, and Economic Security Act, or the CARES Act (H.R. 748) was enacted to provide an estimated $2.2 trillion stimulus package to battle the harmful effects of the COVID-19 pandemic.</w:t>
      </w:r>
      <w:r w:rsidRPr="00AF3839">
        <w:rPr>
          <w:rStyle w:val="FootnoteReference"/>
          <w:color w:val="000000"/>
        </w:rPr>
        <w:footnoteReference w:id="42"/>
      </w:r>
      <w:r w:rsidRPr="004F787C">
        <w:rPr>
          <w:color w:val="000000"/>
        </w:rPr>
        <w:t xml:space="preserve"> </w:t>
      </w:r>
      <w:r w:rsidRPr="004F787C">
        <w:rPr>
          <w:color w:val="000000" w:themeColor="text1"/>
        </w:rPr>
        <w:t xml:space="preserve">A few highlights of funding that will flow into the State and City budgets from the federal stimulus package are provided below. </w:t>
      </w:r>
    </w:p>
    <w:p w14:paraId="06A86142" w14:textId="77777777" w:rsidR="004B34B3" w:rsidRPr="004F787C" w:rsidRDefault="004B34B3" w:rsidP="004B34B3">
      <w:pPr>
        <w:pStyle w:val="ListParagraph"/>
        <w:widowControl w:val="0"/>
        <w:numPr>
          <w:ilvl w:val="2"/>
          <w:numId w:val="2"/>
        </w:numPr>
        <w:spacing w:line="480" w:lineRule="auto"/>
        <w:jc w:val="both"/>
        <w:rPr>
          <w:u w:val="single"/>
        </w:rPr>
      </w:pPr>
      <w:r>
        <w:t xml:space="preserve">Direct Economic Stimulus Funding </w:t>
      </w:r>
    </w:p>
    <w:p w14:paraId="04A7D6EE" w14:textId="393D8C97" w:rsidR="004B34B3" w:rsidRDefault="004B34B3" w:rsidP="004B34B3">
      <w:pPr>
        <w:widowControl w:val="0"/>
        <w:spacing w:line="480" w:lineRule="auto"/>
        <w:ind w:firstLine="720"/>
        <w:jc w:val="both"/>
      </w:pPr>
      <w:r w:rsidRPr="00AF3839">
        <w:t>The legislation provides $150 billion to use for expenditures incurred due to the public health emergency with respect to COVID-19 in the face of revenue declines.</w:t>
      </w:r>
      <w:r w:rsidRPr="00AF3839">
        <w:rPr>
          <w:rStyle w:val="FootnoteReference"/>
        </w:rPr>
        <w:footnoteReference w:id="43"/>
      </w:r>
      <w:r w:rsidRPr="00AF3839">
        <w:t xml:space="preserve"> The distribution is based on population, and no state will receive a payment for Fiscal 2020 that is less than $1.3 billion.</w:t>
      </w:r>
      <w:r w:rsidRPr="00AF3839">
        <w:rPr>
          <w:rStyle w:val="FootnoteReference"/>
        </w:rPr>
        <w:footnoteReference w:id="44"/>
      </w:r>
      <w:r w:rsidRPr="00AF3839">
        <w:t xml:space="preserve"> Approximately 45 percent of a state’s funds are set aside for local governments, with populations that exceed 500,000.</w:t>
      </w:r>
      <w:r w:rsidRPr="00AF3839">
        <w:rPr>
          <w:rStyle w:val="FootnoteReference"/>
        </w:rPr>
        <w:footnoteReference w:id="45"/>
      </w:r>
      <w:r w:rsidRPr="00AF3839">
        <w:rPr>
          <w:rStyle w:val="FootnoteReference"/>
        </w:rPr>
        <w:t xml:space="preserve"> </w:t>
      </w:r>
      <w:r w:rsidRPr="00AF3839">
        <w:t>New York is expected to receive an estimated $7.5 billion from the Coronavirus Relief Fund.</w:t>
      </w:r>
      <w:r w:rsidRPr="3FE86A20">
        <w:rPr>
          <w:rStyle w:val="FootnoteReference"/>
        </w:rPr>
        <w:footnoteReference w:id="46"/>
      </w:r>
    </w:p>
    <w:p w14:paraId="09474D8F" w14:textId="77777777" w:rsidR="00A77A8C" w:rsidRPr="00AF3839" w:rsidRDefault="00A77A8C" w:rsidP="004B34B3">
      <w:pPr>
        <w:widowControl w:val="0"/>
        <w:spacing w:line="480" w:lineRule="auto"/>
        <w:ind w:firstLine="720"/>
        <w:jc w:val="both"/>
        <w:rPr>
          <w:rStyle w:val="FootnoteReference"/>
          <w:color w:val="000000" w:themeColor="text1"/>
          <w:u w:val="single"/>
        </w:rPr>
      </w:pPr>
    </w:p>
    <w:p w14:paraId="35ED138C" w14:textId="77777777" w:rsidR="004B34B3" w:rsidRDefault="004B34B3" w:rsidP="004B34B3">
      <w:pPr>
        <w:pStyle w:val="ListParagraph"/>
        <w:widowControl w:val="0"/>
        <w:numPr>
          <w:ilvl w:val="2"/>
          <w:numId w:val="2"/>
        </w:numPr>
        <w:spacing w:line="480" w:lineRule="auto"/>
        <w:contextualSpacing w:val="0"/>
        <w:rPr>
          <w:color w:val="000000" w:themeColor="text1"/>
        </w:rPr>
      </w:pPr>
      <w:r w:rsidRPr="0693BEC2">
        <w:rPr>
          <w:color w:val="000000" w:themeColor="text1"/>
        </w:rPr>
        <w:t>Health Provisions</w:t>
      </w:r>
    </w:p>
    <w:p w14:paraId="6313A658" w14:textId="77777777" w:rsidR="004B34B3" w:rsidRPr="00AF3839" w:rsidRDefault="004B34B3" w:rsidP="004B34B3">
      <w:pPr>
        <w:widowControl w:val="0"/>
        <w:spacing w:line="480" w:lineRule="auto"/>
        <w:ind w:firstLine="720"/>
        <w:jc w:val="both"/>
      </w:pPr>
      <w:r w:rsidRPr="00AF3839">
        <w:t>Of the $2.2 trillion, $140.4 billion was designated for HHS.</w:t>
      </w:r>
      <w:r w:rsidRPr="00AF3839">
        <w:rPr>
          <w:rStyle w:val="FootnoteReference"/>
        </w:rPr>
        <w:footnoteReference w:id="47"/>
      </w:r>
      <w:r w:rsidRPr="00AF3839">
        <w:t xml:space="preserve"> Of the $140.4 billion in designated funding, New York State is estimated to receive an estimated $18 million from the CDC Emergency Grant.</w:t>
      </w:r>
      <w:r w:rsidRPr="00AF3839">
        <w:rPr>
          <w:rStyle w:val="FootnoteReference"/>
          <w:color w:val="000000" w:themeColor="text1"/>
        </w:rPr>
        <w:footnoteReference w:id="48"/>
      </w:r>
    </w:p>
    <w:p w14:paraId="03E15890" w14:textId="77777777" w:rsidR="004B34B3" w:rsidRPr="004F787C" w:rsidRDefault="004B34B3" w:rsidP="004B34B3">
      <w:pPr>
        <w:pStyle w:val="ListParagraph"/>
        <w:widowControl w:val="0"/>
        <w:numPr>
          <w:ilvl w:val="2"/>
          <w:numId w:val="2"/>
        </w:numPr>
        <w:spacing w:line="480" w:lineRule="auto"/>
        <w:contextualSpacing w:val="0"/>
        <w:rPr>
          <w:color w:val="000000" w:themeColor="text1"/>
        </w:rPr>
      </w:pPr>
      <w:r>
        <w:t xml:space="preserve">Human Services </w:t>
      </w:r>
    </w:p>
    <w:p w14:paraId="770F3093" w14:textId="1055AE2C" w:rsidR="004B34B3" w:rsidRDefault="004B34B3" w:rsidP="004B34B3">
      <w:pPr>
        <w:widowControl w:val="0"/>
        <w:spacing w:line="480" w:lineRule="auto"/>
        <w:ind w:firstLine="720"/>
        <w:jc w:val="both"/>
      </w:pPr>
      <w:r w:rsidRPr="00AF3839">
        <w:t>Approximately, $6.3 billion was designated to the Administration for Children and Families (ACF).</w:t>
      </w:r>
      <w:r w:rsidRPr="00AF3839">
        <w:rPr>
          <w:rStyle w:val="FootnoteReference"/>
        </w:rPr>
        <w:footnoteReference w:id="49"/>
      </w:r>
      <w:r w:rsidRPr="00AF3839">
        <w:t xml:space="preserve"> This funding was designated to go to </w:t>
      </w:r>
      <w:r>
        <w:t>a number of</w:t>
      </w:r>
      <w:r w:rsidRPr="00AF3839">
        <w:t xml:space="preserve"> human services programs including $3.5 billion for the Child Care and Development Block Grant (CCDBG) to provide immediate assistance to childcare providers.</w:t>
      </w:r>
      <w:r w:rsidRPr="00F3E573">
        <w:rPr>
          <w:rStyle w:val="FootnoteReference"/>
        </w:rPr>
        <w:footnoteReference w:id="50"/>
      </w:r>
      <w:r w:rsidRPr="00AF3839">
        <w:t xml:space="preserve"> Additionally, </w:t>
      </w:r>
      <w:r w:rsidRPr="3B861983">
        <w:t xml:space="preserve">$900 million was designated for the Low-Income Home Energy Assistance Program (LIHEAP) to help families and to </w:t>
      </w:r>
      <w:r w:rsidRPr="00AF3839">
        <w:t>provide assistance</w:t>
      </w:r>
      <w:r w:rsidR="55283FB0" w:rsidRPr="00AF3839">
        <w:t>.</w:t>
      </w:r>
      <w:r w:rsidRPr="00F3E573">
        <w:rPr>
          <w:rStyle w:val="FootnoteReference"/>
        </w:rPr>
        <w:footnoteReference w:id="51"/>
      </w:r>
      <w:r>
        <w:t xml:space="preserve"> Of the designated funding, New York State is expected to receive</w:t>
      </w:r>
      <w:r w:rsidRPr="3B861983">
        <w:rPr>
          <w:rStyle w:val="FootnoteReference"/>
        </w:rPr>
        <w:t xml:space="preserve"> </w:t>
      </w:r>
      <w:r>
        <w:t>$162 million for CCDBG Funding, and $28 million for LIHEAP.</w:t>
      </w:r>
      <w:r w:rsidRPr="3B861983">
        <w:rPr>
          <w:rStyle w:val="FootnoteReference"/>
        </w:rPr>
        <w:footnoteReference w:id="52"/>
      </w:r>
    </w:p>
    <w:p w14:paraId="1CC7744F" w14:textId="77777777" w:rsidR="004B34B3" w:rsidRPr="00AF3839" w:rsidRDefault="004B34B3" w:rsidP="004B34B3">
      <w:pPr>
        <w:pStyle w:val="ListParagraph"/>
        <w:widowControl w:val="0"/>
        <w:numPr>
          <w:ilvl w:val="2"/>
          <w:numId w:val="2"/>
        </w:numPr>
        <w:spacing w:line="480" w:lineRule="auto"/>
        <w:jc w:val="both"/>
      </w:pPr>
      <w:r>
        <w:t>Education</w:t>
      </w:r>
    </w:p>
    <w:p w14:paraId="3AC89777" w14:textId="2F25C7D5" w:rsidR="004B34B3" w:rsidRPr="00AF3839" w:rsidRDefault="004B34B3" w:rsidP="00F3E573">
      <w:pPr>
        <w:widowControl w:val="0"/>
        <w:spacing w:line="480" w:lineRule="auto"/>
        <w:ind w:firstLine="720"/>
        <w:jc w:val="both"/>
        <w:rPr>
          <w:rFonts w:asciiTheme="minorHAnsi" w:eastAsiaTheme="minorEastAsia" w:hAnsiTheme="minorHAnsi" w:cstheme="minorBidi"/>
        </w:rPr>
      </w:pPr>
      <w:r w:rsidRPr="00AF3839">
        <w:t>Approximately, $30.8 billion was designated for an Education Stabilization Fund for states, school districts and institutions of higher education for costs related to COVID-19.</w:t>
      </w:r>
      <w:r w:rsidRPr="00AF3839">
        <w:rPr>
          <w:rStyle w:val="FootnoteReference"/>
        </w:rPr>
        <w:footnoteReference w:id="53"/>
      </w:r>
      <w:r w:rsidRPr="00AF3839">
        <w:t xml:space="preserve"> </w:t>
      </w:r>
    </w:p>
    <w:p w14:paraId="014C9142" w14:textId="2C2C2D31" w:rsidR="004B34B3" w:rsidRPr="00AF3839" w:rsidRDefault="004B34B3" w:rsidP="3B861983">
      <w:pPr>
        <w:pStyle w:val="ListParagraph"/>
        <w:widowControl w:val="0"/>
        <w:numPr>
          <w:ilvl w:val="2"/>
          <w:numId w:val="1"/>
        </w:numPr>
        <w:spacing w:line="480" w:lineRule="auto"/>
        <w:jc w:val="both"/>
      </w:pPr>
      <w:r>
        <w:t>Federal Emergency Management Agency (FEMA)</w:t>
      </w:r>
    </w:p>
    <w:p w14:paraId="716D4A98" w14:textId="77777777" w:rsidR="004B34B3" w:rsidRDefault="004B34B3" w:rsidP="004B34B3">
      <w:pPr>
        <w:widowControl w:val="0"/>
        <w:spacing w:line="480" w:lineRule="auto"/>
        <w:ind w:firstLine="720"/>
        <w:jc w:val="both"/>
      </w:pPr>
      <w:r w:rsidRPr="00AF3839">
        <w:t>Approximately, $45 billion was designated for a Disaster Relief Fund.</w:t>
      </w:r>
      <w:r w:rsidRPr="00AF3839">
        <w:rPr>
          <w:rStyle w:val="FootnoteReference"/>
        </w:rPr>
        <w:footnoteReference w:id="54"/>
      </w:r>
      <w:r w:rsidRPr="00AF3839">
        <w:t xml:space="preserve">  Of the $45 billion, $25 billion was designated for major disasters declared for certain states under the Stafford Act ￼and $45 million was designated for FEMA to expand information technology and communications capabilities and build capacity in response coordination efforts.</w:t>
      </w:r>
      <w:r w:rsidRPr="00AF3839">
        <w:rPr>
          <w:rStyle w:val="FootnoteReference"/>
        </w:rPr>
        <w:footnoteReference w:id="55"/>
      </w:r>
    </w:p>
    <w:p w14:paraId="08D39D36" w14:textId="77777777" w:rsidR="004B34B3" w:rsidRDefault="004B34B3" w:rsidP="3B861983">
      <w:pPr>
        <w:pStyle w:val="ListParagraph"/>
        <w:widowControl w:val="0"/>
        <w:numPr>
          <w:ilvl w:val="2"/>
          <w:numId w:val="1"/>
        </w:numPr>
        <w:spacing w:line="480" w:lineRule="auto"/>
        <w:jc w:val="both"/>
      </w:pPr>
      <w:r>
        <w:t>Transportation</w:t>
      </w:r>
    </w:p>
    <w:p w14:paraId="534B9A49" w14:textId="43405517" w:rsidR="004B34B3" w:rsidRPr="00080419" w:rsidRDefault="004B34B3" w:rsidP="0693BEC2">
      <w:pPr>
        <w:widowControl w:val="0"/>
        <w:spacing w:line="480" w:lineRule="auto"/>
        <w:ind w:firstLine="720"/>
        <w:jc w:val="both"/>
        <w:rPr>
          <w:color w:val="000000" w:themeColor="text1"/>
        </w:rPr>
      </w:pPr>
      <w:r w:rsidRPr="00AF3839">
        <w:t>Approximately, $25 billion was allocated for the nation’s transit systems.</w:t>
      </w:r>
      <w:r w:rsidRPr="00AF3839">
        <w:rPr>
          <w:rStyle w:val="FootnoteReference"/>
        </w:rPr>
        <w:footnoteReference w:id="56"/>
      </w:r>
      <w:r w:rsidRPr="00AF3839">
        <w:t xml:space="preserve"> Approximately $1 billion dollars was designated to Amtrak to ensure continued operations along the Northeast Corridor and long-distance routes.</w:t>
      </w:r>
      <w:r w:rsidRPr="00AF3839">
        <w:rPr>
          <w:rStyle w:val="FootnoteReference"/>
        </w:rPr>
        <w:footnoteReference w:id="57"/>
      </w:r>
      <w:r w:rsidRPr="00AF3839">
        <w:t xml:space="preserve"> States will also receive a portion of this assistance to help meet their match obligations on state-supported routes.</w:t>
      </w:r>
      <w:r w:rsidRPr="00AF3839">
        <w:rPr>
          <w:rStyle w:val="FootnoteReference"/>
        </w:rPr>
        <w:t xml:space="preserve"> </w:t>
      </w:r>
      <w:r w:rsidRPr="00AF3839">
        <w:t>An estimated $3.8 billion in funding will go to the Metropolitan Transportation Authority.</w:t>
      </w:r>
      <w:r w:rsidRPr="00AF3839">
        <w:rPr>
          <w:rStyle w:val="FootnoteReference"/>
        </w:rPr>
        <w:footnoteReference w:id="58"/>
      </w:r>
      <w:r w:rsidRPr="00AF3839">
        <w:rPr>
          <w:rStyle w:val="FootnoteReference"/>
        </w:rPr>
        <w:t xml:space="preserve"> </w:t>
      </w:r>
    </w:p>
    <w:p w14:paraId="56928E93" w14:textId="5E6F1F07" w:rsidR="004B34B3" w:rsidRPr="00080419" w:rsidRDefault="004B34B3" w:rsidP="3B861983">
      <w:pPr>
        <w:pStyle w:val="ListParagraph"/>
        <w:widowControl w:val="0"/>
        <w:numPr>
          <w:ilvl w:val="2"/>
          <w:numId w:val="1"/>
        </w:numPr>
        <w:spacing w:line="480" w:lineRule="auto"/>
        <w:jc w:val="both"/>
        <w:rPr>
          <w:rFonts w:asciiTheme="minorHAnsi" w:eastAsiaTheme="minorEastAsia" w:hAnsiTheme="minorHAnsi" w:cstheme="minorBidi"/>
          <w:color w:val="000000" w:themeColor="text1"/>
        </w:rPr>
      </w:pPr>
      <w:r w:rsidRPr="00F3E573">
        <w:rPr>
          <w:color w:val="000000" w:themeColor="text1"/>
        </w:rPr>
        <w:t>Agriculture</w:t>
      </w:r>
    </w:p>
    <w:p w14:paraId="4F748CD2" w14:textId="306834DC" w:rsidR="004B34B3" w:rsidRPr="00AF3839" w:rsidRDefault="004B34B3" w:rsidP="004B34B3">
      <w:pPr>
        <w:widowControl w:val="0"/>
        <w:spacing w:line="480" w:lineRule="auto"/>
        <w:ind w:firstLine="720"/>
        <w:jc w:val="both"/>
      </w:pPr>
      <w:r w:rsidRPr="00AF3839">
        <w:t>The CARES Act provided a number of food- and agriculture-related benefits.</w:t>
      </w:r>
      <w:r w:rsidRPr="00AF3839">
        <w:rPr>
          <w:rStyle w:val="FootnoteReference"/>
        </w:rPr>
        <w:footnoteReference w:id="59"/>
      </w:r>
      <w:r w:rsidR="44AFEA4B" w:rsidRPr="00AF3839">
        <w:t xml:space="preserve"> </w:t>
      </w:r>
      <w:r w:rsidRPr="00AF3839">
        <w:t>Among those benefits included approximately $15.5 billion to expand SNAP, $8.8 billion to children nutrition programs, and $450 million to The Emergency Food Assistance Program (TEFAP) to provide funding for commodities and distribution of emergency food assistance through community partners, including food banks.</w:t>
      </w:r>
      <w:r w:rsidRPr="00AF3839">
        <w:rPr>
          <w:rStyle w:val="FootnoteReference"/>
        </w:rPr>
        <w:footnoteReference w:id="60"/>
      </w:r>
    </w:p>
    <w:p w14:paraId="4B77B960" w14:textId="674F96DC" w:rsidR="004B34B3" w:rsidRPr="00A77A8C" w:rsidRDefault="004B34B3" w:rsidP="00A77A8C">
      <w:pPr>
        <w:pStyle w:val="ListParagraph"/>
        <w:widowControl w:val="0"/>
        <w:numPr>
          <w:ilvl w:val="1"/>
          <w:numId w:val="2"/>
        </w:numPr>
        <w:spacing w:line="480" w:lineRule="auto"/>
        <w:jc w:val="both"/>
        <w:rPr>
          <w:rFonts w:asciiTheme="minorHAnsi" w:eastAsiaTheme="minorEastAsia" w:hAnsiTheme="minorHAnsi" w:cstheme="minorBidi"/>
          <w:color w:val="000000" w:themeColor="text1"/>
          <w:u w:val="single"/>
        </w:rPr>
      </w:pPr>
      <w:r>
        <w:t>Phase 3.5 - Paycheck Protection and Health Care Enhancement Act</w:t>
      </w:r>
    </w:p>
    <w:p w14:paraId="38878796" w14:textId="1186A2B7" w:rsidR="004B34B3" w:rsidRPr="00AF3839" w:rsidRDefault="004B34B3" w:rsidP="004B34B3">
      <w:pPr>
        <w:widowControl w:val="0"/>
        <w:spacing w:line="480" w:lineRule="auto"/>
        <w:ind w:firstLine="720"/>
        <w:jc w:val="both"/>
      </w:pPr>
      <w:r w:rsidRPr="00AF3839">
        <w:t>On April 24, 2020, the Paycheck Protection Program and Health Care Enhancement Act (H.R. 266) was enacted to further respond to the COVID-19 outbreak by providing additional funding for small business loans, health care providers, and COVID-19 testing.</w:t>
      </w:r>
      <w:r w:rsidRPr="00AF3839">
        <w:rPr>
          <w:rStyle w:val="FootnoteReference"/>
        </w:rPr>
        <w:footnoteReference w:id="61"/>
      </w:r>
      <w:r w:rsidRPr="00AF3839">
        <w:t xml:space="preserve"> The legislation provided $310 billion to the Paycheck Protection Program for small businesses, $100 billion to hospitals for aid and more testing capability, and $60 billion for small business disaster loans.</w:t>
      </w:r>
      <w:r w:rsidRPr="00AF3839">
        <w:rPr>
          <w:rStyle w:val="FootnoteReference"/>
        </w:rPr>
        <w:footnoteReference w:id="62"/>
      </w:r>
      <w:r w:rsidRPr="00AF3839">
        <w:t xml:space="preserve"> The testing funding included in the legislation provided no less than $11 billion for states, localities, territories, tribes, tribal organizations, urban Indian health organizations, or health service providers to tribes, of which, and no less than $750 million was allocated to tribes and tribal organizations, and no less than $4.25 billion be allocated to States, localities, and territories according to a formula based on the relative number of COVID-19 cases.</w:t>
      </w:r>
      <w:r w:rsidRPr="00AF3839">
        <w:rPr>
          <w:rStyle w:val="FootnoteReference"/>
        </w:rPr>
        <w:footnoteReference w:id="63"/>
      </w:r>
    </w:p>
    <w:p w14:paraId="5FC55B13" w14:textId="5D9A81D0" w:rsidR="06C6A2A3" w:rsidRPr="00A77A8C" w:rsidRDefault="06C6A2A3" w:rsidP="00A77A8C">
      <w:pPr>
        <w:pStyle w:val="ListParagraph"/>
        <w:numPr>
          <w:ilvl w:val="0"/>
          <w:numId w:val="2"/>
        </w:numPr>
        <w:spacing w:line="480" w:lineRule="auto"/>
        <w:jc w:val="both"/>
        <w:rPr>
          <w:b/>
          <w:bCs/>
        </w:rPr>
      </w:pPr>
      <w:r w:rsidRPr="00A77A8C">
        <w:rPr>
          <w:b/>
          <w:bCs/>
        </w:rPr>
        <w:t xml:space="preserve">Federal </w:t>
      </w:r>
      <w:r w:rsidR="6F3DC49B" w:rsidRPr="00A77A8C">
        <w:rPr>
          <w:b/>
          <w:bCs/>
        </w:rPr>
        <w:t xml:space="preserve">Stimulus </w:t>
      </w:r>
      <w:r w:rsidRPr="00A77A8C">
        <w:rPr>
          <w:b/>
          <w:bCs/>
        </w:rPr>
        <w:t xml:space="preserve">Aid </w:t>
      </w:r>
      <w:r w:rsidR="07DCEFEB" w:rsidRPr="00A77A8C">
        <w:rPr>
          <w:b/>
          <w:bCs/>
        </w:rPr>
        <w:t xml:space="preserve">to New York City </w:t>
      </w:r>
    </w:p>
    <w:p w14:paraId="2499D723" w14:textId="0CF5E2E7" w:rsidR="06C6A2A3" w:rsidRDefault="06C6A2A3" w:rsidP="00A77A8C">
      <w:pPr>
        <w:spacing w:line="480" w:lineRule="auto"/>
        <w:ind w:firstLine="720"/>
        <w:jc w:val="both"/>
      </w:pPr>
      <w:r>
        <w:t>The Executive Financial Plan recognized a</w:t>
      </w:r>
      <w:r w:rsidR="53BAA3FC">
        <w:t xml:space="preserve">pproximately $2 billion </w:t>
      </w:r>
      <w:r>
        <w:t>in federal aid related to the COVID-19 pandemic, all of it in Fiscal 2020.  The Plan allocated $594 million in CARES Act funding in agency budgets for spending related to COVID-19. The Plan budgeted an additional $800 million from the CARES Act as revenue. This allocation reimbursed the City for a portion of its prior Medicaid spending. The Plan also recognized new federal support through grants from the CDC as a part of the CARES Act.</w:t>
      </w:r>
    </w:p>
    <w:p w14:paraId="2C527355" w14:textId="1DE827EF" w:rsidR="06C6A2A3" w:rsidRDefault="06C6A2A3" w:rsidP="0693BEC2">
      <w:pPr>
        <w:spacing w:line="480" w:lineRule="auto"/>
        <w:ind w:firstLine="720"/>
        <w:jc w:val="both"/>
      </w:pPr>
      <w:r>
        <w:t xml:space="preserve">The Plan also recognized $250 million in FEMA revenue for overtime reimbursement for uniformed agencies. Additionally, the Plan projects $1.6 billion in FEMA reimbursements across agencies in Fiscal 2020 </w:t>
      </w:r>
      <w:r w:rsidR="1DD4E12C">
        <w:t>for COVID</w:t>
      </w:r>
      <w:r>
        <w:t>-19 related expenses. According to current guidelines, FEMA will reimburse the C</w:t>
      </w:r>
      <w:r w:rsidR="0E12ADBA">
        <w:t>ity</w:t>
      </w:r>
      <w:r>
        <w:t xml:space="preserve"> for 70 percent of its approved COVID-19 related spending. This funding will be reimbursed upon approval from FEMA.</w:t>
      </w:r>
    </w:p>
    <w:p w14:paraId="4B56B221" w14:textId="0E946905" w:rsidR="57F0E93D" w:rsidRDefault="57F0E93D" w:rsidP="59A3B234">
      <w:pPr>
        <w:spacing w:line="480" w:lineRule="auto"/>
        <w:ind w:firstLine="720"/>
      </w:pPr>
      <w:r w:rsidRPr="59A3B234">
        <w:t>With respect to FMAP allocations, the City budgeted for $498 million in FMAP funding through Medicaid for Fiscal 2020 and $444 million in Fiscal 2021.</w:t>
      </w:r>
    </w:p>
    <w:p w14:paraId="79FBA51A" w14:textId="3D5D21A3" w:rsidR="004B34B3" w:rsidRPr="004B34B3" w:rsidRDefault="052C7AB2" w:rsidP="00A77A8C">
      <w:pPr>
        <w:pStyle w:val="ListParagraph"/>
        <w:widowControl w:val="0"/>
        <w:numPr>
          <w:ilvl w:val="0"/>
          <w:numId w:val="2"/>
        </w:numPr>
        <w:spacing w:line="480" w:lineRule="auto"/>
        <w:jc w:val="both"/>
        <w:rPr>
          <w:b/>
          <w:bCs/>
          <w:u w:val="single"/>
        </w:rPr>
      </w:pPr>
      <w:r w:rsidRPr="59A3B234">
        <w:rPr>
          <w:b/>
          <w:bCs/>
        </w:rPr>
        <w:t>Previous Funding Trackers</w:t>
      </w:r>
    </w:p>
    <w:p w14:paraId="48C33923" w14:textId="25638904" w:rsidR="004B34B3" w:rsidRDefault="004B34B3" w:rsidP="004B34B3">
      <w:pPr>
        <w:widowControl w:val="0"/>
        <w:spacing w:line="480" w:lineRule="auto"/>
        <w:ind w:firstLine="720"/>
        <w:jc w:val="both"/>
      </w:pPr>
      <w:r w:rsidRPr="00AF3839">
        <w:t>In the past, when the City has received large influxes of funding from outside sources as a result of an unexpected event, it has created online funding trackers to allow the public to monitor the progress and results of spending. Previous examples include trackers set up to track spending of federal stimulus funds after the Great Recession in 2008 and funds received after Hurricane Sandy in 2012. It is the goal of the City Council to establish a similar mechanism for funds provided to and spent by New York City as a result of COVID-19. </w:t>
      </w:r>
    </w:p>
    <w:p w14:paraId="766275B3" w14:textId="25638904" w:rsidR="004B34B3" w:rsidRPr="00C963BD" w:rsidRDefault="004B34B3" w:rsidP="004B34B3">
      <w:pPr>
        <w:pStyle w:val="ListParagraph"/>
        <w:widowControl w:val="0"/>
        <w:numPr>
          <w:ilvl w:val="0"/>
          <w:numId w:val="45"/>
        </w:numPr>
        <w:spacing w:line="480" w:lineRule="auto"/>
        <w:jc w:val="both"/>
      </w:pPr>
      <w:r w:rsidRPr="00C963BD">
        <w:t>NYC Stat Stimulus Tracker</w:t>
      </w:r>
    </w:p>
    <w:p w14:paraId="3510CDFF" w14:textId="77777777" w:rsidR="004B34B3" w:rsidRDefault="004B34B3" w:rsidP="004B34B3">
      <w:pPr>
        <w:widowControl w:val="0"/>
        <w:spacing w:line="480" w:lineRule="auto"/>
        <w:ind w:firstLine="720"/>
        <w:jc w:val="both"/>
      </w:pPr>
      <w:r w:rsidRPr="00AF3839">
        <w:rPr>
          <w:lang w:val="en"/>
        </w:rPr>
        <w:t>To respond to the financial crisis in 2008, President Barack Obama signed into law the American Recovery and Reinvestment Act of 2009 (ARRA), commonly referred to as the “Recovery Act” or “Stimulus Package” on February 17, 2009.</w:t>
      </w:r>
      <w:r w:rsidRPr="00AF3839">
        <w:rPr>
          <w:vertAlign w:val="superscript"/>
          <w:lang w:val="en"/>
        </w:rPr>
        <w:footnoteReference w:id="64"/>
      </w:r>
      <w:r w:rsidRPr="00AF3839">
        <w:rPr>
          <w:lang w:val="en"/>
        </w:rPr>
        <w:t xml:space="preserve"> The goals of the bill were achieved by providing an initial appropriation of $787 billion in tax cuts and benefits, funding for entitlement programs such as unemployment benefits, and funding for federal contract, grants, and loans.</w:t>
      </w:r>
      <w:r w:rsidRPr="00AF3839">
        <w:rPr>
          <w:vertAlign w:val="superscript"/>
          <w:lang w:val="en"/>
        </w:rPr>
        <w:footnoteReference w:id="65"/>
      </w:r>
      <w:r w:rsidRPr="00AF3839">
        <w:rPr>
          <w:lang w:val="en"/>
        </w:rPr>
        <w:t xml:space="preserve"> </w:t>
      </w:r>
      <w:r w:rsidRPr="00AF3839">
        <w:t>The following month, the New York City Mayor's Office of Operations and the New York City Department of Information Technology and Telecommunications created the NYC Stat Stimulus Tracker, an online database to help the public track federal stimulus funds appropriated to, and used by, New York City.</w:t>
      </w:r>
      <w:r w:rsidRPr="00AF3839">
        <w:rPr>
          <w:vertAlign w:val="superscript"/>
        </w:rPr>
        <w:footnoteReference w:id="66"/>
      </w:r>
    </w:p>
    <w:p w14:paraId="46D54B71" w14:textId="671F4116" w:rsidR="004B34B3" w:rsidRDefault="004B34B3" w:rsidP="004B34B3">
      <w:pPr>
        <w:widowControl w:val="0"/>
        <w:spacing w:line="480" w:lineRule="auto"/>
        <w:ind w:firstLine="720"/>
        <w:jc w:val="both"/>
      </w:pPr>
      <w:r w:rsidRPr="00AF3839">
        <w:t>Not only was the Stimulus Tracker created rapidly, the Stimulus Tracker allowed New Yorkers to track the City's use of federal stimulus/recovery funds through interactive features and easy-to-read charts and graphs at project, contract, and payment levels.</w:t>
      </w:r>
      <w:r w:rsidRPr="00AF3839">
        <w:rPr>
          <w:vertAlign w:val="superscript"/>
        </w:rPr>
        <w:footnoteReference w:id="67"/>
      </w:r>
      <w:r w:rsidRPr="00AF3839">
        <w:t xml:space="preserve"> The tracker provided a funding summary, which gave an overview of all stimulus dollars allocated to date; funding details, which provided detailed information about projects and programs in each major category of stimulus funding; and the number of jobs created and maintained as a result of the Stimulus funding.</w:t>
      </w:r>
      <w:r w:rsidRPr="00AF3839">
        <w:rPr>
          <w:vertAlign w:val="superscript"/>
        </w:rPr>
        <w:footnoteReference w:id="68"/>
      </w:r>
      <w:r w:rsidRPr="00AF3839">
        <w:t xml:space="preserve"> New Yorkers were also to view projects occurring in locations throughout the city through the use of mapping technologies.</w:t>
      </w:r>
      <w:r w:rsidRPr="00AF3839">
        <w:rPr>
          <w:vertAlign w:val="superscript"/>
        </w:rPr>
        <w:footnoteReference w:id="69"/>
      </w:r>
      <w:r w:rsidRPr="00AF3839">
        <w:t xml:space="preserve"> The Stimulus Tracker allowed the public and government officials, to follow federal funding progress at project, contract, and payment levels and tied public outcomes to money spent</w:t>
      </w:r>
    </w:p>
    <w:p w14:paraId="54662FAF" w14:textId="50C7D3FE" w:rsidR="004B34B3" w:rsidRPr="00C963BD" w:rsidRDefault="004B34B3" w:rsidP="004B34B3">
      <w:pPr>
        <w:pStyle w:val="ListParagraph"/>
        <w:widowControl w:val="0"/>
        <w:numPr>
          <w:ilvl w:val="0"/>
          <w:numId w:val="45"/>
        </w:numPr>
        <w:spacing w:line="480" w:lineRule="auto"/>
        <w:jc w:val="both"/>
      </w:pPr>
      <w:r w:rsidRPr="00C963BD">
        <w:t>Hurricane Sandy Tracker</w:t>
      </w:r>
    </w:p>
    <w:p w14:paraId="21642A2E" w14:textId="731CE976" w:rsidR="004B34B3" w:rsidRPr="00AF3839" w:rsidRDefault="004B34B3" w:rsidP="004B34B3">
      <w:pPr>
        <w:widowControl w:val="0"/>
        <w:spacing w:line="480" w:lineRule="auto"/>
        <w:ind w:firstLine="720"/>
        <w:jc w:val="both"/>
      </w:pPr>
      <w:r w:rsidRPr="00AF3839">
        <w:t>Similar to the Stimulus Tracker, in December of 2013, the City Council passed legislation that became Local Law 140, creating a database to track the expenditure of funds in connection with recovery efforts in the wake of Superstorm Sandy.</w:t>
      </w:r>
      <w:r w:rsidRPr="00AF3839">
        <w:rPr>
          <w:rStyle w:val="FootnoteReference"/>
        </w:rPr>
        <w:footnoteReference w:id="70"/>
      </w:r>
      <w:r w:rsidRPr="00AF3839">
        <w:t xml:space="preserve"> Referred to as the Sandy Funding Tracker, the database was to improve transparency, accessibility of information and accountability for how Sandy funds are used.</w:t>
      </w:r>
      <w:r w:rsidRPr="00AF3839">
        <w:rPr>
          <w:rStyle w:val="FootnoteReference"/>
        </w:rPr>
        <w:footnoteReference w:id="71"/>
      </w:r>
      <w:r w:rsidRPr="00AF3839">
        <w:t xml:space="preserve"> Additionally, the database was to be used to track key performance measurements such as jobs created and maintained.</w:t>
      </w:r>
      <w:r w:rsidRPr="00AF3839">
        <w:rPr>
          <w:rStyle w:val="FootnoteReference"/>
        </w:rPr>
        <w:footnoteReference w:id="72"/>
      </w:r>
    </w:p>
    <w:p w14:paraId="012E6DC6" w14:textId="6F0123B3" w:rsidR="004B34B3" w:rsidRPr="00A77A8C" w:rsidRDefault="004B34B3" w:rsidP="00A77A8C">
      <w:pPr>
        <w:widowControl w:val="0"/>
        <w:spacing w:line="480" w:lineRule="auto"/>
        <w:ind w:firstLine="720"/>
        <w:jc w:val="both"/>
      </w:pPr>
      <w:r w:rsidRPr="00AF3839">
        <w:t>The legislation required the City to establish a searchable, interactive online database to be updated monthly that includes summaries of the administration of Superstorm Sandy funds (defined as local, State, or federal funds in excess of $100,000 provided to a recipient to recover or rebuild from Superstorm Sandy).</w:t>
      </w:r>
      <w:r w:rsidRPr="00AF3839">
        <w:rPr>
          <w:rStyle w:val="FootnoteReference"/>
        </w:rPr>
        <w:footnoteReference w:id="73"/>
      </w:r>
      <w:r w:rsidRPr="00AF3839">
        <w:t xml:space="preserve"> For each project (and construction, services or programs paid for with Sandy funds) the database </w:t>
      </w:r>
      <w:r w:rsidR="00A77A8C">
        <w:t xml:space="preserve">was required to include information about the contractor, the project, and funding. </w:t>
      </w:r>
      <w:r w:rsidRPr="00AF3839">
        <w:t>The data provided for such projects was required to be aggregated by zip code.</w:t>
      </w:r>
      <w:r w:rsidRPr="00AF3839">
        <w:rPr>
          <w:rStyle w:val="FootnoteReference"/>
        </w:rPr>
        <w:footnoteReference w:id="74"/>
      </w:r>
      <w:r w:rsidR="00A77A8C">
        <w:t xml:space="preserve"> </w:t>
      </w:r>
      <w:r w:rsidRPr="00AF3839">
        <w:t xml:space="preserve">In order to track the companies earning money from the rebuilding effort and whether local companies and workers are being included in the process the legislation required various reporting on contracts and subcontracts. It also was required to provide data that would allow an analysis of job creation and retention relating to the rebuilding and resiliency effort. </w:t>
      </w:r>
    </w:p>
    <w:p w14:paraId="0053148E" w14:textId="42140070" w:rsidR="004B34B3" w:rsidRPr="004B34B3" w:rsidRDefault="678C975A" w:rsidP="00A77A8C">
      <w:pPr>
        <w:pStyle w:val="ListParagraph"/>
        <w:widowControl w:val="0"/>
        <w:numPr>
          <w:ilvl w:val="0"/>
          <w:numId w:val="2"/>
        </w:numPr>
        <w:spacing w:line="480" w:lineRule="auto"/>
        <w:jc w:val="both"/>
        <w:rPr>
          <w:b/>
          <w:bCs/>
          <w:u w:val="single"/>
        </w:rPr>
      </w:pPr>
      <w:r w:rsidRPr="59A3B234">
        <w:rPr>
          <w:b/>
          <w:bCs/>
        </w:rPr>
        <w:t>Legislati</w:t>
      </w:r>
      <w:r w:rsidR="3548A20C" w:rsidRPr="59A3B234">
        <w:rPr>
          <w:b/>
          <w:bCs/>
        </w:rPr>
        <w:t>ve Analysis</w:t>
      </w:r>
    </w:p>
    <w:p w14:paraId="35E2E9B5" w14:textId="77777777" w:rsidR="004B34B3" w:rsidRPr="004B34B3" w:rsidRDefault="007C35EA" w:rsidP="00A77A8C">
      <w:pPr>
        <w:pStyle w:val="ListParagraph"/>
        <w:widowControl w:val="0"/>
        <w:numPr>
          <w:ilvl w:val="1"/>
          <w:numId w:val="2"/>
        </w:numPr>
        <w:spacing w:line="480" w:lineRule="auto"/>
        <w:jc w:val="both"/>
        <w:rPr>
          <w:u w:val="single"/>
        </w:rPr>
      </w:pPr>
      <w:r>
        <w:t>Analysis of Int. No. 1952</w:t>
      </w:r>
      <w:r w:rsidR="00866C6E">
        <w:t xml:space="preserve"> (sponsored by Council Member Gibson)</w:t>
      </w:r>
    </w:p>
    <w:p w14:paraId="01B50253" w14:textId="77777777" w:rsidR="004B34B3" w:rsidRPr="00AF3839" w:rsidRDefault="004B34B3" w:rsidP="004B34B3">
      <w:pPr>
        <w:widowControl w:val="0"/>
        <w:spacing w:line="480" w:lineRule="auto"/>
        <w:ind w:firstLine="720"/>
        <w:rPr>
          <w:i/>
          <w:iCs/>
        </w:rPr>
      </w:pPr>
      <w:r w:rsidRPr="004B34B3">
        <w:t>Int. 195</w:t>
      </w:r>
      <w:r w:rsidRPr="00AF3839">
        <w:t>2 would require the City to create a public database on its website that would track expenditures of federal, state and local funds for addressing COVID-19, including city procurement contracts, grants and loans.</w:t>
      </w:r>
    </w:p>
    <w:p w14:paraId="1826CF2B" w14:textId="77777777" w:rsidR="004B34B3" w:rsidRPr="00AF3839" w:rsidRDefault="004B34B3" w:rsidP="004B34B3">
      <w:pPr>
        <w:widowControl w:val="0"/>
        <w:spacing w:line="480" w:lineRule="auto"/>
        <w:ind w:firstLine="720"/>
        <w:rPr>
          <w:i/>
          <w:iCs/>
        </w:rPr>
      </w:pPr>
      <w:r w:rsidRPr="00AF3839">
        <w:t xml:space="preserve">Section 1 of Int. No. 1952 would define key terms for the purposes of this local law. </w:t>
      </w:r>
    </w:p>
    <w:p w14:paraId="23E67420" w14:textId="55C13467" w:rsidR="004B34B3" w:rsidRPr="004F7040" w:rsidRDefault="004B34B3" w:rsidP="000E765B">
      <w:pPr>
        <w:widowControl w:val="0"/>
        <w:spacing w:line="480" w:lineRule="auto"/>
        <w:ind w:firstLine="720"/>
        <w:jc w:val="both"/>
        <w:rPr>
          <w:i/>
          <w:iCs/>
        </w:rPr>
      </w:pPr>
      <w:r w:rsidRPr="00AF3839">
        <w:t>Section 2 of Int. No. 1952 would require the Mayor to establish and maintain a public online searchable and interactive database on the city’s website, no later than 90 days following the effective date of this local law. Such database would be required to include summaries of the administration of COVID-19 funds and be in a format that would allow automated processing. The information contained in the database would be disaggregated by federal, state and local COVID-19 funds and include,</w:t>
      </w:r>
      <w:r w:rsidRPr="37E03600">
        <w:t xml:space="preserve"> but not be limited, to the following:</w:t>
      </w:r>
    </w:p>
    <w:p w14:paraId="5B01AF63" w14:textId="77777777" w:rsidR="004B34B3" w:rsidRPr="0011282B" w:rsidRDefault="004B34B3" w:rsidP="004B34B3">
      <w:pPr>
        <w:pStyle w:val="ListParagraph"/>
        <w:widowControl w:val="0"/>
        <w:numPr>
          <w:ilvl w:val="0"/>
          <w:numId w:val="5"/>
        </w:numPr>
        <w:spacing w:line="480" w:lineRule="auto"/>
        <w:contextualSpacing w:val="0"/>
        <w:jc w:val="both"/>
      </w:pPr>
      <w:r w:rsidRPr="37E03600">
        <w:t xml:space="preserve">For each city procurement contract associated with COVID-19 funding, the database would be required to include the name of the contract vendor, contract identification number, purpose of the contract, original contract value in dollars, revised contract value in dollars (if applicable), method of award, original contract start and end date, revised contract end date (if applicable), contract status and information on the contract recipient's qualification for receipt of COVID-19 funds for a COVID-19 funded project; and </w:t>
      </w:r>
    </w:p>
    <w:p w14:paraId="6AB258E8" w14:textId="77777777" w:rsidR="004B34B3" w:rsidRPr="0011282B" w:rsidRDefault="004B34B3" w:rsidP="004B34B3">
      <w:pPr>
        <w:pStyle w:val="ListParagraph"/>
        <w:widowControl w:val="0"/>
        <w:numPr>
          <w:ilvl w:val="0"/>
          <w:numId w:val="5"/>
        </w:numPr>
        <w:spacing w:line="480" w:lineRule="auto"/>
        <w:contextualSpacing w:val="0"/>
        <w:jc w:val="both"/>
      </w:pPr>
      <w:r w:rsidRPr="37E03600">
        <w:t>For each grant or loan issuance associated with COVID-19 funding, the database would be required to include the recipient name, the recipient’s zip code, grant or loan name, the purpose of the grant or loan, the grant or loan award amount, whether the grant or loan was subject to a selective award process and the nature of that process, award status and information on the grant or loan recipient's qualification for receipt of COVID-19 funds for a COVID-19 funded project.</w:t>
      </w:r>
    </w:p>
    <w:p w14:paraId="5709A45B" w14:textId="77777777" w:rsidR="004B34B3" w:rsidRDefault="004B34B3" w:rsidP="004B34B3">
      <w:pPr>
        <w:widowControl w:val="0"/>
        <w:spacing w:line="480" w:lineRule="auto"/>
        <w:ind w:firstLine="720"/>
        <w:jc w:val="both"/>
      </w:pPr>
      <w:r w:rsidRPr="37E03600">
        <w:t xml:space="preserve">Section 2 would further require that for each contract, grant or loan reported in the database pursuant to this section to include the amount of COVID-19 funds spent by contract vendor or recipient. </w:t>
      </w:r>
    </w:p>
    <w:p w14:paraId="27F31C5D" w14:textId="77777777" w:rsidR="004B34B3" w:rsidRDefault="004B34B3" w:rsidP="004B34B3">
      <w:pPr>
        <w:widowControl w:val="0"/>
        <w:spacing w:line="480" w:lineRule="auto"/>
        <w:ind w:firstLine="720"/>
        <w:jc w:val="both"/>
      </w:pPr>
      <w:r w:rsidRPr="37E03600">
        <w:t xml:space="preserve">Section 3 of Int. No. 1952 would require that the website required by this local law not be used to distribute information, which if disclosed, would jeopardize compliance with any local, state or federal law, threaten public health, welfare or safety, or harm the competitive economic position of any party. </w:t>
      </w:r>
    </w:p>
    <w:p w14:paraId="3493E571" w14:textId="77777777" w:rsidR="004B34B3" w:rsidRDefault="004B34B3" w:rsidP="004B34B3">
      <w:pPr>
        <w:widowControl w:val="0"/>
        <w:spacing w:line="480" w:lineRule="auto"/>
        <w:ind w:firstLine="720"/>
        <w:jc w:val="both"/>
      </w:pPr>
      <w:r w:rsidRPr="37E03600">
        <w:t xml:space="preserve">Section 4 of Int. No. 1952 would require that the database required in Section 2 of this local law be updated on a monthly basis. </w:t>
      </w:r>
    </w:p>
    <w:p w14:paraId="28D5E8BC" w14:textId="70043F3D" w:rsidR="004B34B3" w:rsidRDefault="004B34B3" w:rsidP="004B34B3">
      <w:pPr>
        <w:widowControl w:val="0"/>
        <w:spacing w:line="480" w:lineRule="auto"/>
        <w:ind w:firstLine="720"/>
        <w:jc w:val="both"/>
      </w:pPr>
      <w:r w:rsidRPr="37E03600">
        <w:t xml:space="preserve">Section 5 of Int. No. 1952 would provide that this local law would not create a private right of action to enforce its provisions. It would also provide that failure to comply with the provisions of this local law would not result in liability for the city. </w:t>
      </w:r>
    </w:p>
    <w:p w14:paraId="314E2F1E" w14:textId="77777777" w:rsidR="004B34B3" w:rsidRPr="0011282B" w:rsidRDefault="004B34B3" w:rsidP="000E765B">
      <w:pPr>
        <w:keepNext/>
        <w:spacing w:line="480" w:lineRule="auto"/>
        <w:ind w:firstLine="720"/>
        <w:jc w:val="both"/>
      </w:pPr>
      <w:r w:rsidRPr="37E03600">
        <w:t xml:space="preserve">Section 6 of Int. No. 1952 would provide that no reporting on any contract entered prior to the effective date of this local law would be required if the reporting requirements of this local law would require the city to collect information that is not available and that cannot be reasonably obtained. </w:t>
      </w:r>
    </w:p>
    <w:p w14:paraId="1F725BEE" w14:textId="77777777" w:rsidR="004B34B3" w:rsidRDefault="004B34B3" w:rsidP="004B34B3">
      <w:pPr>
        <w:widowControl w:val="0"/>
        <w:spacing w:line="480" w:lineRule="auto"/>
        <w:ind w:firstLine="720"/>
        <w:jc w:val="both"/>
      </w:pPr>
      <w:r w:rsidRPr="37E03600">
        <w:t xml:space="preserve">Section 7 of Int. No. 1952 would provide that if any provision of this local law, or its application, be adjudged by any court to be invalid or unconstitutional, such judgement would not impair or invalidate the remainder of the local law. </w:t>
      </w:r>
    </w:p>
    <w:p w14:paraId="013D7EA0" w14:textId="77777777" w:rsidR="004B34B3" w:rsidRDefault="004B34B3" w:rsidP="004B34B3">
      <w:pPr>
        <w:widowControl w:val="0"/>
        <w:spacing w:line="480" w:lineRule="auto"/>
        <w:ind w:firstLine="720"/>
        <w:jc w:val="both"/>
      </w:pPr>
      <w:r w:rsidRPr="37E03600">
        <w:t xml:space="preserve">Section 8 of Int. No. 1952 would provide that any data maintained pursuant to this local law would also be subject to the requirements of the Open Data Law. </w:t>
      </w:r>
    </w:p>
    <w:p w14:paraId="14CCD362" w14:textId="2F2F6657" w:rsidR="004B34B3" w:rsidRDefault="004B34B3" w:rsidP="004B34B3">
      <w:pPr>
        <w:widowControl w:val="0"/>
        <w:spacing w:line="480" w:lineRule="auto"/>
      </w:pPr>
      <w:r w:rsidRPr="37E03600">
        <w:t>Section 9 of Int. No. 1952 would provide that the local law takes effect immediately.</w:t>
      </w:r>
    </w:p>
    <w:p w14:paraId="1F062004" w14:textId="77777777" w:rsidR="004B34B3" w:rsidRPr="004B34B3" w:rsidRDefault="004C0713" w:rsidP="00A77A8C">
      <w:pPr>
        <w:pStyle w:val="ListParagraph"/>
        <w:widowControl w:val="0"/>
        <w:numPr>
          <w:ilvl w:val="1"/>
          <w:numId w:val="2"/>
        </w:numPr>
        <w:spacing w:line="480" w:lineRule="auto"/>
        <w:jc w:val="both"/>
        <w:rPr>
          <w:u w:val="single"/>
        </w:rPr>
      </w:pPr>
      <w:r>
        <w:t>Analysis of Preconsidered Int</w:t>
      </w:r>
      <w:r w:rsidR="00DD758B">
        <w:t>.</w:t>
      </w:r>
      <w:r>
        <w:t xml:space="preserve"> No. __</w:t>
      </w:r>
      <w:r w:rsidR="00866C6E">
        <w:t xml:space="preserve"> (sponsored by Council Member Chin)</w:t>
      </w:r>
    </w:p>
    <w:p w14:paraId="6B68E540" w14:textId="77777777" w:rsidR="004B34B3" w:rsidRDefault="004B34B3" w:rsidP="004B34B3">
      <w:pPr>
        <w:widowControl w:val="0"/>
        <w:spacing w:line="480" w:lineRule="auto"/>
        <w:ind w:firstLine="720"/>
        <w:jc w:val="both"/>
      </w:pPr>
      <w:r w:rsidRPr="37E03600">
        <w:t>Preconsidered Int. No. __ would require DOF to offer agreements to defer real property tax liability for the installment of real property tax otherwise due and payable as of July 1, 2020 on real property with an assessed value exceeding two hundred fifty thousand dollars owned by certain property owners impacted by COVID-19.</w:t>
      </w:r>
    </w:p>
    <w:p w14:paraId="156C3E89" w14:textId="77777777" w:rsidR="004B34B3" w:rsidRDefault="004B34B3" w:rsidP="004B34B3">
      <w:pPr>
        <w:widowControl w:val="0"/>
        <w:spacing w:line="480" w:lineRule="auto"/>
        <w:ind w:firstLine="720"/>
        <w:jc w:val="both"/>
      </w:pPr>
      <w:r w:rsidRPr="37E03600">
        <w:t xml:space="preserve">Section 1 would require DOF to offer agreements to defer real property tax liability for the installment of real property tax otherwise due and payable as of July 1, 2020. The deferrals would be available to owners of real property with an assessed value exceeding two hundred fifty thousand dollars which either (1) was occupied by an active business or trade on March 7, 2020 that became subject to seating, occupancy or on-premises service limitations pursuant to an executive order issued by the governor or mayor between March 7, 2020 and June 30, 2020 or (2) experienced an unexpected decline in income during the period March 1, 2020 through June 30, 2020. The interest rate imposed on the deferred property tax would be the same as the interest rate set by the commissioner of finance on underpayments of general corporation tax. The deferral agreement would require that the property owner pays 25 percent of the taxes due on July 1, 2020 by October 1, 2020 and the remainder by May 1, 2021. The agreement would also require the property owner to provide to any commercial, residential, or institutional tenant or lessee at the subject property a forbearance on rent with an interest rate on late rent not to exceed one-quarter the rate applicable to the property owner’s own unpaid deferred taxes. Additionally, DOF would be required to conduct outreach to advertise the availability of both deferral agreements and installment agreements. Finally, DOF would be required to issue a report on deferral agreements no later than November 1, 2020. </w:t>
      </w:r>
    </w:p>
    <w:p w14:paraId="45F1A2B4" w14:textId="201D0C44" w:rsidR="004B34B3" w:rsidRPr="004B34B3" w:rsidRDefault="004B34B3" w:rsidP="004B34B3">
      <w:pPr>
        <w:widowControl w:val="0"/>
        <w:spacing w:line="480" w:lineRule="auto"/>
        <w:ind w:firstLine="720"/>
        <w:jc w:val="both"/>
      </w:pPr>
      <w:r w:rsidRPr="37E03600">
        <w:t xml:space="preserve">Section 2 would provide that the local law would </w:t>
      </w:r>
      <w:r w:rsidRPr="004B34B3">
        <w:rPr>
          <w:color w:val="000000" w:themeColor="text1"/>
        </w:rPr>
        <w:t>take effect immediately, except that if it becomes law after July 1, 2020, it would be retroactive to and deemed to have been in full force and effect as of July 1, 2020.</w:t>
      </w:r>
    </w:p>
    <w:p w14:paraId="520AC937" w14:textId="1CA5C869" w:rsidR="00EB7275" w:rsidRPr="004B34B3" w:rsidRDefault="00EB7275" w:rsidP="00A77A8C">
      <w:pPr>
        <w:pStyle w:val="ListParagraph"/>
        <w:widowControl w:val="0"/>
        <w:numPr>
          <w:ilvl w:val="1"/>
          <w:numId w:val="2"/>
        </w:numPr>
        <w:spacing w:line="480" w:lineRule="auto"/>
        <w:jc w:val="both"/>
        <w:rPr>
          <w:u w:val="single"/>
        </w:rPr>
      </w:pPr>
      <w:r>
        <w:t>Analysis of Preconsidered Int</w:t>
      </w:r>
      <w:r w:rsidR="00A509B7">
        <w:t>.</w:t>
      </w:r>
      <w:r>
        <w:t xml:space="preserve"> No. __</w:t>
      </w:r>
      <w:r w:rsidR="00866C6E">
        <w:t xml:space="preserve"> (sponsored by the Public Advocate)</w:t>
      </w:r>
    </w:p>
    <w:p w14:paraId="12FAC03A" w14:textId="69695A49" w:rsidR="00D4283D" w:rsidRDefault="00D4283D" w:rsidP="00FD5D1D">
      <w:pPr>
        <w:widowControl w:val="0"/>
        <w:spacing w:line="480" w:lineRule="auto"/>
        <w:ind w:firstLine="720"/>
        <w:jc w:val="both"/>
      </w:pPr>
      <w:r w:rsidRPr="37E03600">
        <w:t>Preconsidered Int</w:t>
      </w:r>
      <w:r w:rsidR="00DD758B" w:rsidRPr="37E03600">
        <w:t>.</w:t>
      </w:r>
      <w:r w:rsidRPr="37E03600">
        <w:t xml:space="preserve"> No. __ would require </w:t>
      </w:r>
      <w:r w:rsidR="00D94C4A" w:rsidRPr="37E03600">
        <w:t xml:space="preserve">DOF </w:t>
      </w:r>
      <w:r w:rsidRPr="37E03600">
        <w:t>to offer agreements to defer real property tax liability for the installment of real property tax otherwise due and payable as of July 1, 2020 on real property with an assessed value of two hundred fifty thousand dollars or less owned by certain property owners impacted by COVID-19.</w:t>
      </w:r>
    </w:p>
    <w:p w14:paraId="76769426" w14:textId="77777777" w:rsidR="008834E0" w:rsidRPr="008C1570" w:rsidRDefault="008834E0" w:rsidP="000E765B">
      <w:pPr>
        <w:pStyle w:val="ColorfulShading-Accent31"/>
        <w:keepNext/>
        <w:suppressLineNumbers/>
        <w:spacing w:line="480" w:lineRule="auto"/>
        <w:ind w:left="0" w:firstLine="720"/>
        <w:jc w:val="both"/>
        <w:rPr>
          <w:rFonts w:eastAsia="Times New Roman"/>
        </w:rPr>
      </w:pPr>
      <w:r w:rsidRPr="37E03600">
        <w:rPr>
          <w:rFonts w:eastAsia="Times New Roman"/>
        </w:rPr>
        <w:t xml:space="preserve">Section 1 would require DOF to offer agreements to defer real property tax liability, without interest or penalty, </w:t>
      </w:r>
      <w:r w:rsidRPr="37E03600">
        <w:rPr>
          <w:rFonts w:eastAsia="Times New Roman"/>
          <w:color w:val="000000" w:themeColor="text1"/>
        </w:rPr>
        <w:t>for the installment of real property tax otherwise due and payable as of July 1, 2020, until October 1, 2020 to certain property owners. Eligible property owners would own real property with an assessed value of two hundred fifty thousand dollars or less that serves as their primary residence, have experienced economic hardship relating to COVID-19, and have a combined annual income of two hundred thousand dollars or less.</w:t>
      </w:r>
      <w:r w:rsidRPr="37E03600">
        <w:rPr>
          <w:rFonts w:eastAsia="Times New Roman"/>
        </w:rPr>
        <w:t xml:space="preserve"> Additionally, DOF would be required to conduct outreach to advertise the availability of both deferral agreements and installment agreements. Finally, DOF would be required to issue a report on deferral agreements no later than November 1, 2020. </w:t>
      </w:r>
    </w:p>
    <w:p w14:paraId="3E1E678C" w14:textId="39FCFFD5" w:rsidR="008834E0" w:rsidRDefault="008834E0" w:rsidP="000E765B">
      <w:pPr>
        <w:pStyle w:val="ColorfulShading-Accent31"/>
        <w:keepNext/>
        <w:suppressLineNumbers/>
        <w:spacing w:line="480" w:lineRule="auto"/>
        <w:ind w:left="0" w:firstLine="720"/>
        <w:jc w:val="both"/>
        <w:rPr>
          <w:rFonts w:eastAsia="Times New Roman"/>
        </w:rPr>
      </w:pPr>
      <w:r w:rsidRPr="37E03600">
        <w:rPr>
          <w:rFonts w:eastAsia="Times New Roman"/>
        </w:rPr>
        <w:t xml:space="preserve">Sections 2, 3, and 4 would amend </w:t>
      </w:r>
      <w:r w:rsidRPr="37E03600">
        <w:rPr>
          <w:rFonts w:eastAsia="Times New Roman"/>
          <w:color w:val="000000" w:themeColor="text1"/>
        </w:rPr>
        <w:t xml:space="preserve">section 11-322.1 of the Administrative Code, as added by local law 45 for the year 2019, to increase </w:t>
      </w:r>
      <w:r w:rsidRPr="37E03600">
        <w:rPr>
          <w:rFonts w:eastAsia="Times New Roman"/>
        </w:rPr>
        <w:t xml:space="preserve">the income threshold for eligibility for DOF’s </w:t>
      </w:r>
      <w:r w:rsidRPr="37E03600">
        <w:rPr>
          <w:rFonts w:eastAsia="Times New Roman"/>
          <w:color w:val="000000" w:themeColor="text1"/>
        </w:rPr>
        <w:t>extenuating circumstances income-based installment agreement,</w:t>
      </w:r>
      <w:r w:rsidRPr="37E03600">
        <w:rPr>
          <w:rFonts w:eastAsia="Times New Roman"/>
        </w:rPr>
        <w:t xml:space="preserve"> </w:t>
      </w:r>
      <w:r w:rsidRPr="37E03600">
        <w:rPr>
          <w:rFonts w:eastAsia="Times New Roman"/>
          <w:color w:val="000000" w:themeColor="text1"/>
        </w:rPr>
        <w:t xml:space="preserve">where the qualifying extenuating circumstance is as a result of circumstances relating COVID-19, </w:t>
      </w:r>
      <w:r w:rsidR="007E00A4" w:rsidRPr="37E03600">
        <w:rPr>
          <w:rFonts w:eastAsia="Times New Roman"/>
          <w:color w:val="000000" w:themeColor="text1"/>
        </w:rPr>
        <w:t xml:space="preserve">from $58,399 </w:t>
      </w:r>
      <w:r w:rsidRPr="37E03600">
        <w:rPr>
          <w:rFonts w:eastAsia="Times New Roman"/>
        </w:rPr>
        <w:t>to $200,000.</w:t>
      </w:r>
    </w:p>
    <w:p w14:paraId="5944E921" w14:textId="76A9CD20" w:rsidR="008C78D3" w:rsidRPr="0011282B" w:rsidRDefault="008834E0" w:rsidP="00FD5D1D">
      <w:pPr>
        <w:pStyle w:val="ColorfulShading-Accent31"/>
        <w:widowControl w:val="0"/>
        <w:suppressLineNumbers/>
        <w:spacing w:line="480" w:lineRule="auto"/>
        <w:ind w:left="0" w:firstLine="720"/>
        <w:jc w:val="both"/>
        <w:rPr>
          <w:rFonts w:eastAsia="Times New Roman"/>
        </w:rPr>
      </w:pPr>
      <w:r w:rsidRPr="37E03600">
        <w:rPr>
          <w:rFonts w:eastAsia="Times New Roman"/>
        </w:rPr>
        <w:t xml:space="preserve">Section 5 would provide that the local law </w:t>
      </w:r>
      <w:r w:rsidRPr="37E03600">
        <w:rPr>
          <w:rFonts w:eastAsia="Times New Roman"/>
          <w:color w:val="000000" w:themeColor="text1"/>
        </w:rPr>
        <w:t>takes effect immediately, except that if it becomes law after July 1, 2020, it would be retroactive to and deemed to have been in full force and effect as of July 1, 2020.</w:t>
      </w:r>
      <w:r w:rsidRPr="37E03600">
        <w:rPr>
          <w:rFonts w:eastAsia="Times New Roman"/>
          <w:i/>
          <w:iCs/>
        </w:rPr>
        <w:br w:type="page"/>
      </w:r>
    </w:p>
    <w:p w14:paraId="7F2752A1" w14:textId="77777777" w:rsidR="008C78D3" w:rsidRPr="008C78D3" w:rsidRDefault="008C78D3" w:rsidP="00FD6C80">
      <w:pPr>
        <w:widowControl w:val="0"/>
        <w:suppressLineNumbers/>
        <w:jc w:val="center"/>
      </w:pPr>
      <w:r w:rsidRPr="37E03600">
        <w:t>Int. No. 1952</w:t>
      </w:r>
    </w:p>
    <w:p w14:paraId="2299D4BD" w14:textId="77777777" w:rsidR="008C78D3" w:rsidRPr="008C78D3" w:rsidRDefault="008C78D3" w:rsidP="00FD6C80">
      <w:pPr>
        <w:widowControl w:val="0"/>
        <w:suppressLineNumbers/>
        <w:jc w:val="center"/>
      </w:pPr>
    </w:p>
    <w:p w14:paraId="02832005" w14:textId="77777777" w:rsidR="008C78D3" w:rsidRPr="008C78D3" w:rsidRDefault="008C78D3" w:rsidP="00FD6C80">
      <w:pPr>
        <w:widowControl w:val="0"/>
        <w:suppressLineNumbers/>
        <w:jc w:val="both"/>
      </w:pPr>
      <w:r w:rsidRPr="37E03600">
        <w:t>By Council Members Gibson, Treyger, Lander, Brannan, Rosenthal, Kallos, Louis, Richards, Rose, Moya and Chin</w:t>
      </w:r>
    </w:p>
    <w:p w14:paraId="7B700C9F" w14:textId="77777777" w:rsidR="008C78D3" w:rsidRPr="008C78D3" w:rsidRDefault="008C78D3" w:rsidP="00FD6C80">
      <w:pPr>
        <w:widowControl w:val="0"/>
        <w:suppressLineNumbers/>
        <w:jc w:val="both"/>
      </w:pPr>
    </w:p>
    <w:p w14:paraId="14A1216F" w14:textId="77777777" w:rsidR="008C78D3" w:rsidRPr="008C78D3" w:rsidRDefault="008C78D3" w:rsidP="00FD6C80">
      <w:pPr>
        <w:widowControl w:val="0"/>
        <w:suppressLineNumbers/>
        <w:jc w:val="both"/>
        <w:rPr>
          <w:vanish/>
        </w:rPr>
      </w:pPr>
      <w:r w:rsidRPr="37E03600">
        <w:rPr>
          <w:vanish/>
        </w:rPr>
        <w:t>..Title</w:t>
      </w:r>
    </w:p>
    <w:p w14:paraId="048C5880" w14:textId="77777777" w:rsidR="008C78D3" w:rsidRPr="008C78D3" w:rsidRDefault="008C78D3" w:rsidP="00FD6C80">
      <w:pPr>
        <w:widowControl w:val="0"/>
        <w:suppressLineNumbers/>
        <w:jc w:val="both"/>
      </w:pPr>
      <w:r w:rsidRPr="37E03600">
        <w:t>A Local Law in relation to the creation of a database to track the expenditure of funds in connection with COVID-19</w:t>
      </w:r>
    </w:p>
    <w:p w14:paraId="172BCA52" w14:textId="77777777" w:rsidR="008C78D3" w:rsidRPr="008C78D3" w:rsidRDefault="008C78D3" w:rsidP="00FD6C80">
      <w:pPr>
        <w:widowControl w:val="0"/>
        <w:suppressLineNumbers/>
        <w:jc w:val="both"/>
        <w:rPr>
          <w:vanish/>
        </w:rPr>
      </w:pPr>
      <w:r w:rsidRPr="37E03600">
        <w:rPr>
          <w:vanish/>
        </w:rPr>
        <w:t>..Body</w:t>
      </w:r>
    </w:p>
    <w:p w14:paraId="05FD5886" w14:textId="77777777" w:rsidR="008C78D3" w:rsidRPr="008C78D3" w:rsidRDefault="008C78D3" w:rsidP="00FD6C80">
      <w:pPr>
        <w:widowControl w:val="0"/>
        <w:suppressLineNumbers/>
        <w:jc w:val="both"/>
        <w:rPr>
          <w:u w:val="single"/>
        </w:rPr>
      </w:pPr>
    </w:p>
    <w:p w14:paraId="6339D103" w14:textId="77777777" w:rsidR="008C78D3" w:rsidRPr="008C78D3" w:rsidRDefault="008C78D3" w:rsidP="00FD5D1D">
      <w:pPr>
        <w:widowControl w:val="0"/>
        <w:suppressLineNumbers/>
        <w:spacing w:line="480" w:lineRule="auto"/>
        <w:jc w:val="both"/>
        <w:rPr>
          <w:u w:val="single"/>
        </w:rPr>
      </w:pPr>
      <w:r w:rsidRPr="37E03600">
        <w:rPr>
          <w:u w:val="single"/>
        </w:rPr>
        <w:t>Be it enacted by the Council as follows:</w:t>
      </w:r>
    </w:p>
    <w:p w14:paraId="72C505AD" w14:textId="77777777" w:rsidR="008C78D3" w:rsidRPr="008C78D3" w:rsidRDefault="008C78D3" w:rsidP="00FD5D1D">
      <w:pPr>
        <w:widowControl w:val="0"/>
        <w:spacing w:line="480" w:lineRule="auto"/>
        <w:ind w:firstLine="720"/>
        <w:jc w:val="both"/>
      </w:pPr>
      <w:r w:rsidRPr="37E03600">
        <w:t>Section 1. Definitions. For purposes of this local law, the following terms have the following meanings:</w:t>
      </w:r>
    </w:p>
    <w:p w14:paraId="0B77BA02" w14:textId="77777777" w:rsidR="008C78D3" w:rsidRPr="008C78D3" w:rsidRDefault="008C78D3" w:rsidP="00FD5D1D">
      <w:pPr>
        <w:widowControl w:val="0"/>
        <w:spacing w:line="480" w:lineRule="auto"/>
        <w:ind w:firstLine="720"/>
        <w:jc w:val="both"/>
      </w:pPr>
      <w:r w:rsidRPr="37E03600">
        <w:t>City. The term “city” means the city of New York.</w:t>
      </w:r>
    </w:p>
    <w:p w14:paraId="0B279175" w14:textId="77777777" w:rsidR="008C78D3" w:rsidRPr="008C78D3" w:rsidRDefault="008C78D3" w:rsidP="00FD5D1D">
      <w:pPr>
        <w:widowControl w:val="0"/>
        <w:spacing w:line="480" w:lineRule="auto"/>
        <w:ind w:firstLine="720"/>
        <w:jc w:val="both"/>
      </w:pPr>
      <w:r w:rsidRPr="37E03600">
        <w:t>COVID-19. The term “COVID-19” means the 2019 novel coronavirus or 2019-nCoV.</w:t>
      </w:r>
    </w:p>
    <w:p w14:paraId="0803E7DC" w14:textId="77777777" w:rsidR="008C78D3" w:rsidRPr="008C78D3" w:rsidRDefault="008C78D3" w:rsidP="00FD5D1D">
      <w:pPr>
        <w:widowControl w:val="0"/>
        <w:spacing w:line="480" w:lineRule="auto"/>
        <w:ind w:firstLine="720"/>
        <w:jc w:val="both"/>
      </w:pPr>
      <w:r w:rsidRPr="37E03600">
        <w:t>COVID-19 funded projects. The term “COVID-19 funded projects" means any services, goods or materials, programs or construction paid for, in whole or in part, with any COVID-19 funds.</w:t>
      </w:r>
    </w:p>
    <w:p w14:paraId="18E298CC" w14:textId="77777777" w:rsidR="008C78D3" w:rsidRPr="008C78D3" w:rsidRDefault="008C78D3" w:rsidP="00FD5D1D">
      <w:pPr>
        <w:widowControl w:val="0"/>
        <w:spacing w:line="480" w:lineRule="auto"/>
        <w:ind w:firstLine="720"/>
        <w:jc w:val="both"/>
      </w:pPr>
      <w:r w:rsidRPr="37E03600">
        <w:t>COVID-19 funds. The term “COVID-19 funds” means any federal, state or local funds allocated to any city department to provide assistance for preventing COVID-19 spread among the population, containing or treating COVID-19 or mitigating the effects of COVID-19 that are administered or disbursed by the city and provided to a recipient in an amount exceeding $100,000.</w:t>
      </w:r>
    </w:p>
    <w:p w14:paraId="480C9497" w14:textId="77777777" w:rsidR="008C78D3" w:rsidRPr="008C78D3" w:rsidRDefault="008C78D3" w:rsidP="00FD5D1D">
      <w:pPr>
        <w:widowControl w:val="0"/>
        <w:spacing w:line="480" w:lineRule="auto"/>
        <w:ind w:firstLine="720"/>
        <w:jc w:val="both"/>
      </w:pPr>
      <w:r w:rsidRPr="37E03600">
        <w:t>Recipient. The term “recipient” means any person or entity, including any individual, sole proprietorship, public authority, partnership, association, joint venture, limited liability company, corporation or any other form of doing business, awarded COVID-19 funds.</w:t>
      </w:r>
    </w:p>
    <w:p w14:paraId="25AD2D77" w14:textId="77777777" w:rsidR="008C78D3" w:rsidRPr="008C78D3" w:rsidRDefault="008C78D3" w:rsidP="00FD5D1D">
      <w:pPr>
        <w:widowControl w:val="0"/>
        <w:spacing w:line="480" w:lineRule="auto"/>
        <w:ind w:firstLine="720"/>
        <w:jc w:val="both"/>
      </w:pPr>
      <w:r w:rsidRPr="37E03600">
        <w:t>§ 2. No later than 90 days following the effective date of this local law, the mayor shall establish and maintain a public online searchable and interactive database on the website of the city that shall include summaries of the administration of COVID-19 funds as set forth in this local law. The data included in such database shall be available in a format that permits automated processing and shall be available without any registration requirement, license requirement or restrictions on their use, provided that the city may require a third party providing to the public any data from such database, or any application utilizing such data, to explicitly identify the source and version of the data, and a description of any modifications made to such data. The database shall include but not be limited to the following information, which shall be disaggregated by federal, state and local COVID-19 funds, and, for federal funds, by the source of such funds:</w:t>
      </w:r>
    </w:p>
    <w:p w14:paraId="7FB5E214" w14:textId="77777777" w:rsidR="008C78D3" w:rsidRPr="008C78D3" w:rsidRDefault="008C78D3" w:rsidP="00FD5D1D">
      <w:pPr>
        <w:widowControl w:val="0"/>
        <w:spacing w:line="480" w:lineRule="auto"/>
        <w:ind w:firstLine="720"/>
        <w:jc w:val="both"/>
      </w:pPr>
      <w:r w:rsidRPr="37E03600">
        <w:t xml:space="preserve">a. For each executed city procurement contract associated with COVID-19 funding, the name of the contract vendor, contract identification number, purpose of the contract, original contract value in dollars, revised contract value in dollars, if applicable, method of award, original contract start and end date, revised contract end date, if applicable, contract status and information on the contract recipient's qualification for receipt of COVID-19 funds for a COVID-19 funded project; </w:t>
      </w:r>
    </w:p>
    <w:p w14:paraId="7FAF0DC7" w14:textId="77777777" w:rsidR="008C78D3" w:rsidRPr="008C78D3" w:rsidRDefault="008C78D3" w:rsidP="00FD5D1D">
      <w:pPr>
        <w:widowControl w:val="0"/>
        <w:spacing w:line="480" w:lineRule="auto"/>
        <w:ind w:firstLine="720"/>
        <w:jc w:val="both"/>
      </w:pPr>
      <w:r w:rsidRPr="37E03600">
        <w:t>b. For each grant or loan issuance associated with COVID-19 funding, the recipient name, the recipient’s zip code, grant or loan name, the purpose of the grant or loan, the grant or loan award amount, whether the grant or loan was subject to a selective award process and the nature of that process, award status and information on the grant or loan recipient's qualification for receipt of COVID-19 funds for a COVID-19 funded project; and</w:t>
      </w:r>
    </w:p>
    <w:p w14:paraId="79B07683" w14:textId="77777777" w:rsidR="008C78D3" w:rsidRPr="008C78D3" w:rsidRDefault="008C78D3" w:rsidP="00FD5D1D">
      <w:pPr>
        <w:widowControl w:val="0"/>
        <w:spacing w:line="480" w:lineRule="auto"/>
        <w:ind w:firstLine="720"/>
        <w:jc w:val="both"/>
      </w:pPr>
      <w:r w:rsidRPr="37E03600">
        <w:t xml:space="preserve">c. For each contract, grant or loan reported pursuant to subdivisions a and b of this section, the amount of COVID-19 funds spent by the contract vendor or recipient. </w:t>
      </w:r>
    </w:p>
    <w:p w14:paraId="01BF7D19" w14:textId="77777777" w:rsidR="008C78D3" w:rsidRPr="008C78D3" w:rsidRDefault="008C78D3" w:rsidP="00FD5D1D">
      <w:pPr>
        <w:widowControl w:val="0"/>
        <w:spacing w:line="480" w:lineRule="auto"/>
        <w:ind w:firstLine="720"/>
        <w:jc w:val="both"/>
      </w:pPr>
      <w:r w:rsidRPr="37E03600">
        <w:t>§ 3. Notwithstanding the provisions of this local law, the website required pursuant to this local law shall not be used to distribute information which, if disclosed, would jeopardize compliance with local, state or federal law, threaten public health, welfare, or safety, or harm the competitive economic position of a party.</w:t>
      </w:r>
    </w:p>
    <w:p w14:paraId="2A2EE526" w14:textId="77777777" w:rsidR="008C78D3" w:rsidRPr="008C78D3" w:rsidRDefault="008C78D3" w:rsidP="00FD5D1D">
      <w:pPr>
        <w:widowControl w:val="0"/>
        <w:spacing w:line="480" w:lineRule="auto"/>
        <w:ind w:firstLine="720"/>
        <w:jc w:val="both"/>
      </w:pPr>
      <w:r w:rsidRPr="37E03600">
        <w:t>§ 4. The public online database prescribed in section 2 of this local law shall be updated on a monthly basis.</w:t>
      </w:r>
    </w:p>
    <w:p w14:paraId="6419BE11" w14:textId="77777777" w:rsidR="008C78D3" w:rsidRPr="008C78D3" w:rsidRDefault="008C78D3" w:rsidP="00FD5D1D">
      <w:pPr>
        <w:widowControl w:val="0"/>
        <w:spacing w:line="480" w:lineRule="auto"/>
        <w:ind w:firstLine="720"/>
        <w:jc w:val="both"/>
      </w:pPr>
      <w:r w:rsidRPr="37E03600">
        <w:t>§ 5. This local law shall not be construed to create a private right of action to enforce its provisions. Failure to comply with this local law shall not result in liability for the city. The city shall not be deemed to warranty the completeness, accuracy, content or fitness for any particular purpose or use of any information provided by the city pursuant to this local law, including but not limited to information provided to the city by a third party or information provided by the city that is based upon information provided by a third party.</w:t>
      </w:r>
    </w:p>
    <w:p w14:paraId="4A9D8C29" w14:textId="77777777" w:rsidR="008C78D3" w:rsidRPr="008C78D3" w:rsidRDefault="008C78D3" w:rsidP="00FD5D1D">
      <w:pPr>
        <w:widowControl w:val="0"/>
        <w:spacing w:line="480" w:lineRule="auto"/>
        <w:ind w:firstLine="720"/>
        <w:jc w:val="both"/>
        <w:rPr>
          <w:color w:val="000000"/>
        </w:rPr>
      </w:pPr>
      <w:r w:rsidRPr="37E03600">
        <w:rPr>
          <w:color w:val="000000" w:themeColor="text1"/>
        </w:rPr>
        <w:t>§ 6. This local law shall not require reporting on any contracts entered into prior to the effective date of this local law where the reporting requirements of this local law would require collecting information that is not available to the city, and cannot reasonably be obtained by the city.</w:t>
      </w:r>
    </w:p>
    <w:p w14:paraId="1916CFA6" w14:textId="77777777" w:rsidR="008C78D3" w:rsidRPr="008C78D3" w:rsidRDefault="008C78D3" w:rsidP="00FD5D1D">
      <w:pPr>
        <w:widowControl w:val="0"/>
        <w:spacing w:line="480" w:lineRule="auto"/>
        <w:ind w:firstLine="720"/>
        <w:jc w:val="both"/>
        <w:rPr>
          <w:color w:val="000000" w:themeColor="text1"/>
        </w:rPr>
      </w:pPr>
      <w:r w:rsidRPr="37E03600">
        <w:rPr>
          <w:color w:val="000000" w:themeColor="text1"/>
        </w:rPr>
        <w:t>§ 7. If any provision of this local law or the application thereof shall for any reason be adjudged by any court of competent jurisdiction to be invalid or unconstitutional, such judgment shall not effect, impair or invalidate the remainder of this local law.  </w:t>
      </w:r>
    </w:p>
    <w:p w14:paraId="1B28C31D" w14:textId="77777777" w:rsidR="008C78D3" w:rsidRPr="008C78D3" w:rsidRDefault="008C78D3" w:rsidP="00FD5D1D">
      <w:pPr>
        <w:widowControl w:val="0"/>
        <w:spacing w:line="480" w:lineRule="auto"/>
        <w:ind w:firstLine="720"/>
        <w:jc w:val="both"/>
        <w:rPr>
          <w:color w:val="000000" w:themeColor="text1"/>
        </w:rPr>
      </w:pPr>
      <w:r w:rsidRPr="37E03600">
        <w:rPr>
          <w:color w:val="000000" w:themeColor="text1"/>
        </w:rPr>
        <w:t>§ 8. Data maintained pursuant to this local law shall also be subject to chapter 5 of title 23 of the administrative code, where such chapter is otherwise applicable.</w:t>
      </w:r>
    </w:p>
    <w:p w14:paraId="05D1DEAB" w14:textId="77777777" w:rsidR="008C78D3" w:rsidRPr="008C78D3" w:rsidRDefault="008C78D3" w:rsidP="00FD5D1D">
      <w:pPr>
        <w:widowControl w:val="0"/>
        <w:spacing w:line="480" w:lineRule="auto"/>
        <w:ind w:firstLine="720"/>
        <w:jc w:val="both"/>
      </w:pPr>
      <w:r w:rsidRPr="37E03600">
        <w:t>§ 9. This local law takes effect immediately.</w:t>
      </w:r>
    </w:p>
    <w:p w14:paraId="37A2FA87" w14:textId="77777777" w:rsidR="008C78D3" w:rsidRPr="008C78D3" w:rsidRDefault="008C78D3" w:rsidP="00FD6C80">
      <w:pPr>
        <w:widowControl w:val="0"/>
        <w:suppressLineNumbers/>
        <w:jc w:val="both"/>
        <w:rPr>
          <w:sz w:val="18"/>
          <w:szCs w:val="18"/>
        </w:rPr>
      </w:pPr>
      <w:r w:rsidRPr="37E03600">
        <w:rPr>
          <w:sz w:val="18"/>
          <w:szCs w:val="18"/>
        </w:rPr>
        <w:t>NAB</w:t>
      </w:r>
    </w:p>
    <w:p w14:paraId="0271D5E1" w14:textId="77777777" w:rsidR="008C78D3" w:rsidRPr="008C78D3" w:rsidRDefault="008C78D3" w:rsidP="00FD6C80">
      <w:pPr>
        <w:widowControl w:val="0"/>
        <w:suppressLineNumbers/>
        <w:jc w:val="both"/>
        <w:rPr>
          <w:sz w:val="18"/>
          <w:szCs w:val="18"/>
        </w:rPr>
      </w:pPr>
      <w:r w:rsidRPr="37E03600">
        <w:rPr>
          <w:sz w:val="18"/>
          <w:szCs w:val="18"/>
        </w:rPr>
        <w:t>LS #14948/15099</w:t>
      </w:r>
    </w:p>
    <w:p w14:paraId="3721EAF9" w14:textId="0D3BE1D1" w:rsidR="00805C26" w:rsidRDefault="008C78D3" w:rsidP="00FD6C80">
      <w:pPr>
        <w:widowControl w:val="0"/>
        <w:suppressLineNumbers/>
        <w:rPr>
          <w:sz w:val="18"/>
          <w:szCs w:val="18"/>
        </w:rPr>
      </w:pPr>
      <w:r w:rsidRPr="37E03600">
        <w:rPr>
          <w:sz w:val="18"/>
          <w:szCs w:val="18"/>
        </w:rPr>
        <w:t>5/20/20 1:45PM</w:t>
      </w:r>
      <w:r w:rsidRPr="37E03600">
        <w:rPr>
          <w:sz w:val="18"/>
          <w:szCs w:val="18"/>
        </w:rPr>
        <w:br w:type="page"/>
      </w:r>
    </w:p>
    <w:p w14:paraId="0717ABAC" w14:textId="77777777" w:rsidR="00034E5A" w:rsidRPr="00034E5A" w:rsidRDefault="00034E5A" w:rsidP="00FD6C80">
      <w:pPr>
        <w:widowControl w:val="0"/>
        <w:suppressLineNumbers/>
        <w:jc w:val="center"/>
      </w:pPr>
      <w:r w:rsidRPr="37E03600">
        <w:t>Preconsidered Int. No.</w:t>
      </w:r>
    </w:p>
    <w:p w14:paraId="4D0A31A5" w14:textId="77777777" w:rsidR="00034E5A" w:rsidRPr="00034E5A" w:rsidRDefault="00034E5A" w:rsidP="00FD6C80">
      <w:pPr>
        <w:widowControl w:val="0"/>
        <w:suppressLineNumbers/>
      </w:pPr>
      <w:r w:rsidRPr="37E03600">
        <w:t xml:space="preserve"> </w:t>
      </w:r>
    </w:p>
    <w:p w14:paraId="1CA5B7C8" w14:textId="77777777" w:rsidR="00034E5A" w:rsidRPr="00034E5A" w:rsidRDefault="00034E5A" w:rsidP="00FD6C80">
      <w:pPr>
        <w:widowControl w:val="0"/>
        <w:suppressLineNumbers/>
      </w:pPr>
      <w:r w:rsidRPr="37E03600">
        <w:t>By Council Member Chin</w:t>
      </w:r>
    </w:p>
    <w:p w14:paraId="708B4B9A" w14:textId="77777777" w:rsidR="00034E5A" w:rsidRPr="00034E5A" w:rsidRDefault="00034E5A" w:rsidP="00FD6C80">
      <w:pPr>
        <w:widowControl w:val="0"/>
        <w:suppressLineNumbers/>
      </w:pPr>
    </w:p>
    <w:p w14:paraId="2AE03FE5" w14:textId="77777777" w:rsidR="00034E5A" w:rsidRPr="00034E5A" w:rsidRDefault="00034E5A" w:rsidP="00FD6C80">
      <w:pPr>
        <w:widowControl w:val="0"/>
        <w:suppressLineNumbers/>
        <w:jc w:val="both"/>
      </w:pPr>
      <w:r w:rsidRPr="37E03600">
        <w:t>A Local Law in relation to the deferral of property tax liability on real property with an assessed value exceeding two hundred fifty thousand dollars owned by certain property owners impacted by COVID-19</w:t>
      </w:r>
    </w:p>
    <w:p w14:paraId="3008558D" w14:textId="75045D15" w:rsidR="00034E5A" w:rsidRPr="00034E5A" w:rsidRDefault="00034E5A" w:rsidP="00FD6C80">
      <w:pPr>
        <w:widowControl w:val="0"/>
        <w:suppressLineNumbers/>
        <w:jc w:val="both"/>
      </w:pPr>
    </w:p>
    <w:p w14:paraId="49D2A509" w14:textId="77777777" w:rsidR="00034E5A" w:rsidRPr="00C57F24" w:rsidRDefault="00034E5A" w:rsidP="00FD6C80">
      <w:pPr>
        <w:widowControl w:val="0"/>
        <w:suppressLineNumbers/>
        <w:spacing w:line="480" w:lineRule="auto"/>
        <w:jc w:val="both"/>
        <w:rPr>
          <w:u w:val="single"/>
        </w:rPr>
      </w:pPr>
      <w:r w:rsidRPr="37E03600">
        <w:rPr>
          <w:u w:val="single"/>
        </w:rPr>
        <w:t>Be it enacted by the Council as follows:</w:t>
      </w:r>
    </w:p>
    <w:p w14:paraId="2198457B" w14:textId="4792B0BF" w:rsidR="00034E5A" w:rsidRPr="00034E5A" w:rsidRDefault="00034E5A" w:rsidP="00FD5D1D">
      <w:pPr>
        <w:widowControl w:val="0"/>
        <w:suppressLineNumbers/>
        <w:spacing w:line="480" w:lineRule="auto"/>
        <w:ind w:firstLine="720"/>
        <w:jc w:val="both"/>
      </w:pPr>
      <w:r w:rsidRPr="37E03600">
        <w:t>Section 1. a. As used in this local law, the following terms have the following meanings:</w:t>
      </w:r>
    </w:p>
    <w:p w14:paraId="5B6283F4" w14:textId="288B52C3" w:rsidR="00034E5A" w:rsidRPr="00034E5A" w:rsidRDefault="00034E5A" w:rsidP="00FD5D1D">
      <w:pPr>
        <w:widowControl w:val="0"/>
        <w:suppressLineNumbers/>
        <w:spacing w:line="480" w:lineRule="auto"/>
        <w:ind w:firstLine="720"/>
        <w:jc w:val="both"/>
      </w:pPr>
      <w:r w:rsidRPr="37E03600">
        <w:t>COVID-19. The term “COVID-19” means the 2019 novel coronavirus or 2019-nCoV.</w:t>
      </w:r>
    </w:p>
    <w:p w14:paraId="0BFDE4EB" w14:textId="740BB29B" w:rsidR="00034E5A" w:rsidRPr="00034E5A" w:rsidRDefault="00034E5A" w:rsidP="00FD5D1D">
      <w:pPr>
        <w:widowControl w:val="0"/>
        <w:suppressLineNumbers/>
        <w:spacing w:line="480" w:lineRule="auto"/>
        <w:ind w:firstLine="720"/>
        <w:jc w:val="both"/>
      </w:pPr>
      <w:r w:rsidRPr="37E03600">
        <w:t>Department. The term “department” means the department of finance.</w:t>
      </w:r>
    </w:p>
    <w:p w14:paraId="0E317133" w14:textId="6875395E" w:rsidR="00034E5A" w:rsidRPr="00034E5A" w:rsidRDefault="00034E5A" w:rsidP="00FD5D1D">
      <w:pPr>
        <w:widowControl w:val="0"/>
        <w:suppressLineNumbers/>
        <w:spacing w:line="480" w:lineRule="auto"/>
        <w:ind w:firstLine="720"/>
        <w:jc w:val="both"/>
      </w:pPr>
      <w:r w:rsidRPr="37E03600">
        <w:t>Deferral agreement. The term “deferral agreement” means an agreement between the department and a property owner to defer the payment of real property tax for the installment of real property tax otherwise due and payable as of July 1, 2020 by the terms of this section.</w:t>
      </w:r>
    </w:p>
    <w:p w14:paraId="6BC25D65" w14:textId="07C61046" w:rsidR="00034E5A" w:rsidRPr="00034E5A" w:rsidRDefault="00034E5A" w:rsidP="00FD5D1D">
      <w:pPr>
        <w:widowControl w:val="0"/>
        <w:suppressLineNumbers/>
        <w:spacing w:line="480" w:lineRule="auto"/>
        <w:ind w:firstLine="720"/>
        <w:jc w:val="both"/>
      </w:pPr>
      <w:r w:rsidRPr="37E03600">
        <w:t>Income. The term “income” means the amount that would be reported by the property owner on an income and expense statement required pursuant to section 11-208.1 of the administrative code of the city of New York; provided that if no income and expense statement is required to be filed for the subject property “income” means the amount that would be so reported if such an income and expense statement were required.</w:t>
      </w:r>
    </w:p>
    <w:p w14:paraId="251B6B6B" w14:textId="77777777" w:rsidR="00CD0983" w:rsidRDefault="00034E5A" w:rsidP="00FD5D1D">
      <w:pPr>
        <w:widowControl w:val="0"/>
        <w:suppressLineNumbers/>
        <w:spacing w:line="480" w:lineRule="auto"/>
        <w:ind w:firstLine="720"/>
        <w:jc w:val="both"/>
      </w:pPr>
      <w:r w:rsidRPr="37E03600">
        <w:t>b. Notwithstanding any inconsistent provision of law or rule, a property owner whose real property has an assessed value exceeding two hundred fifty thousand dollars, and who satisfies the requirements described in subdivision d of this local law, may enter into a deferral agreement.</w:t>
      </w:r>
    </w:p>
    <w:p w14:paraId="6E443A03" w14:textId="77777777" w:rsidR="00CD0983" w:rsidRDefault="00034E5A" w:rsidP="00FD5D1D">
      <w:pPr>
        <w:widowControl w:val="0"/>
        <w:suppressLineNumbers/>
        <w:spacing w:line="480" w:lineRule="auto"/>
        <w:ind w:firstLine="720"/>
        <w:jc w:val="both"/>
      </w:pPr>
      <w:r w:rsidRPr="37E03600">
        <w:t>c. For purposes of this section, property held in the cooperative form of ownership shall be deemed to have an assessed value of over two hundred fifty thousand dollars if the property’s assessed value divided by the number of residential dwelling units is more than two hundred fifty thousand dollars per unit.</w:t>
      </w:r>
    </w:p>
    <w:p w14:paraId="115A9373" w14:textId="478902FB" w:rsidR="00034E5A" w:rsidRPr="00034E5A" w:rsidRDefault="00034E5A" w:rsidP="00FD5D1D">
      <w:pPr>
        <w:widowControl w:val="0"/>
        <w:suppressLineNumbers/>
        <w:spacing w:line="480" w:lineRule="auto"/>
        <w:ind w:firstLine="720"/>
        <w:jc w:val="both"/>
      </w:pPr>
      <w:r w:rsidRPr="37E03600">
        <w:t>d. To be eligible to enter into a deferral agreement, an applicant must demonstrate that the following requirements are met: 1. the applicant is a property owner and the subject property was occupied by an active business or trade on March 7, 2020 that became subject to seating, occupancy or on-premises service limitations pursuant to an executive order issued by the governor or mayor between March 7, 2020 and June 30, 2020; or</w:t>
      </w:r>
    </w:p>
    <w:p w14:paraId="14BB2EC4" w14:textId="77777777" w:rsidR="00034E5A" w:rsidRPr="00034E5A" w:rsidRDefault="00034E5A" w:rsidP="00FD5D1D">
      <w:pPr>
        <w:widowControl w:val="0"/>
        <w:suppressLineNumbers/>
        <w:spacing w:line="480" w:lineRule="auto"/>
        <w:ind w:firstLine="720"/>
        <w:jc w:val="both"/>
      </w:pPr>
      <w:r w:rsidRPr="37E03600">
        <w:t>2. Experienced an unexpected decline in income during any length of time no shorter than 30 days during the period March 1, 2020 through June 30, 2020 as compared to a period of the same length at any point since March 1, 2019, that was greater than or equal to the real property tax liability thereon due on July 1, 2020.</w:t>
      </w:r>
    </w:p>
    <w:p w14:paraId="05B1A2BA" w14:textId="77777777" w:rsidR="00034E5A" w:rsidRPr="00034E5A" w:rsidRDefault="00034E5A" w:rsidP="00FD5D1D">
      <w:pPr>
        <w:widowControl w:val="0"/>
        <w:suppressLineNumbers/>
        <w:spacing w:line="480" w:lineRule="auto"/>
        <w:ind w:firstLine="720"/>
        <w:jc w:val="both"/>
      </w:pPr>
      <w:r w:rsidRPr="37E03600">
        <w:t>e. The interest rate imposed on the property tax liability deferred pursuant to a deferral agreement shall be the same as the interest rate set by the commissioner of finance pursuant to paragraph 5 of section 11-687 of the administrative code of the city of New York for the underpayment of taxes due pursuant to chapter 6 of title 11 of the administrative code of the city of New York.</w:t>
      </w:r>
    </w:p>
    <w:p w14:paraId="79823919" w14:textId="77777777" w:rsidR="00034E5A" w:rsidRPr="00034E5A" w:rsidRDefault="00034E5A" w:rsidP="00FD5D1D">
      <w:pPr>
        <w:widowControl w:val="0"/>
        <w:suppressLineNumbers/>
        <w:spacing w:line="480" w:lineRule="auto"/>
        <w:ind w:firstLine="720"/>
        <w:jc w:val="both"/>
      </w:pPr>
      <w:r w:rsidRPr="37E03600">
        <w:t>f. The deferral agreement shall require:</w:t>
      </w:r>
    </w:p>
    <w:p w14:paraId="7D2BB9A9" w14:textId="77777777" w:rsidR="00034E5A" w:rsidRPr="00034E5A" w:rsidRDefault="00034E5A" w:rsidP="00FD5D1D">
      <w:pPr>
        <w:widowControl w:val="0"/>
        <w:suppressLineNumbers/>
        <w:spacing w:line="480" w:lineRule="auto"/>
        <w:ind w:firstLine="720"/>
        <w:jc w:val="both"/>
      </w:pPr>
      <w:r w:rsidRPr="37E03600">
        <w:t>1. that the property owner pay 25 percent of the taxes due on July 1, 2020 by October 1, 2020 and the remainder of the such taxes due by May 1, 2021, with applicable interest;</w:t>
      </w:r>
    </w:p>
    <w:p w14:paraId="3FEBF480" w14:textId="77777777" w:rsidR="00034E5A" w:rsidRPr="00034E5A" w:rsidRDefault="00034E5A" w:rsidP="00FD5D1D">
      <w:pPr>
        <w:widowControl w:val="0"/>
        <w:suppressLineNumbers/>
        <w:spacing w:line="480" w:lineRule="auto"/>
        <w:ind w:firstLine="720"/>
        <w:jc w:val="both"/>
      </w:pPr>
      <w:r w:rsidRPr="37E03600">
        <w:t>2. if applicable, that the property owner provides any commercial, residential, or institutional tenant or lessee at the subject property, irrespective of any lease terms to the contrary, the option for a forbearance on rent with an interest rate on late lease payments that shall not exceed one-quarter the rate applicable to the property owner’s own unpaid deferred taxes, and no late payment penalties, starting at any point of tenant or lessee’s choosing during the period commencing April 1, 2020 and continuing until three months after the property owner becomes current with outstanding real property taxes and sewer rents, sewer surcharges, and water rents on the subject property; and</w:t>
      </w:r>
    </w:p>
    <w:p w14:paraId="28B1DBFE" w14:textId="77777777" w:rsidR="00034E5A" w:rsidRPr="00034E5A" w:rsidRDefault="00034E5A" w:rsidP="00FD5D1D">
      <w:pPr>
        <w:widowControl w:val="0"/>
        <w:suppressLineNumbers/>
        <w:spacing w:line="480" w:lineRule="auto"/>
        <w:ind w:firstLine="720"/>
        <w:jc w:val="both"/>
      </w:pPr>
      <w:r w:rsidRPr="37E03600">
        <w:t>3. if applicable, that the property owner provides notice to all tenants of the interest rates on late lease payments and the suspension of late payment penalties within 15 days of the department’s approval of the deferral agreement application for the subject property, and a second notice advising tenants of the end of such interest rate and of the restoration of any late payment penalties at least 30 days before the property owner is eligible to do so.</w:t>
      </w:r>
    </w:p>
    <w:p w14:paraId="2EBAAC16" w14:textId="77777777" w:rsidR="00034E5A" w:rsidRPr="00034E5A" w:rsidRDefault="00034E5A" w:rsidP="00FD5D1D">
      <w:pPr>
        <w:widowControl w:val="0"/>
        <w:suppressLineNumbers/>
        <w:spacing w:line="480" w:lineRule="auto"/>
        <w:ind w:firstLine="720"/>
        <w:jc w:val="both"/>
      </w:pPr>
      <w:r w:rsidRPr="37E03600">
        <w:t>g. A property owner’s failure to adhere to the requirements of this subdivision will result in application of the otherwise applicable interest rate on unpaid real property taxes, in accordance with section 11-224.1 of the administrative code of the city of New York, until the owner has cured any missed payments to the city and refunded any tenant overcharges.</w:t>
      </w:r>
    </w:p>
    <w:p w14:paraId="26D98ACF" w14:textId="77777777" w:rsidR="00034E5A" w:rsidRPr="00034E5A" w:rsidRDefault="00034E5A" w:rsidP="00FD5D1D">
      <w:pPr>
        <w:widowControl w:val="0"/>
        <w:suppressLineNumbers/>
        <w:spacing w:line="480" w:lineRule="auto"/>
        <w:ind w:firstLine="720"/>
        <w:jc w:val="both"/>
      </w:pPr>
      <w:r w:rsidRPr="37E03600">
        <w:t>h. A complete application must be submitted to, and approved by, the department. Upon the submission of a deferral agreement application, the department shall provide the applicant with a notice that the application has been received by the department.</w:t>
      </w:r>
    </w:p>
    <w:p w14:paraId="0BD3B052" w14:textId="77777777" w:rsidR="00034E5A" w:rsidRPr="00034E5A" w:rsidRDefault="00034E5A" w:rsidP="00FD5D1D">
      <w:pPr>
        <w:widowControl w:val="0"/>
        <w:suppressLineNumbers/>
        <w:spacing w:line="480" w:lineRule="auto"/>
        <w:ind w:firstLine="720"/>
        <w:jc w:val="both"/>
      </w:pPr>
      <w:r w:rsidRPr="37E03600">
        <w:t>i. The department shall conduct outreach to advertise the availability of the deferral agreements that are subject of this section.</w:t>
      </w:r>
    </w:p>
    <w:p w14:paraId="0C3FC277" w14:textId="77777777" w:rsidR="00034E5A" w:rsidRPr="00034E5A" w:rsidRDefault="00034E5A" w:rsidP="00FD5D1D">
      <w:pPr>
        <w:widowControl w:val="0"/>
        <w:suppressLineNumbers/>
        <w:spacing w:line="480" w:lineRule="auto"/>
        <w:ind w:firstLine="720"/>
        <w:jc w:val="both"/>
      </w:pPr>
      <w:r w:rsidRPr="37E03600">
        <w:t>j. The department shall provide information regarding the availability of the installment agreements provided for in section 11-322 of the administrative code of the city of New York to all applicants for a deferral agreement under this section.</w:t>
      </w:r>
    </w:p>
    <w:p w14:paraId="6C87A21D" w14:textId="77777777" w:rsidR="00034E5A" w:rsidRPr="00034E5A" w:rsidRDefault="00034E5A" w:rsidP="00FD5D1D">
      <w:pPr>
        <w:widowControl w:val="0"/>
        <w:suppressLineNumbers/>
        <w:spacing w:line="480" w:lineRule="auto"/>
        <w:ind w:firstLine="720"/>
        <w:jc w:val="both"/>
      </w:pPr>
      <w:r w:rsidRPr="37E03600">
        <w:t>k. The department shall issue a report on the deferral agreements established pursuant to this section. Such reports shall be submitted to the speaker of the council and published on the department's website no later than November 1, 2020 and shall include, but not be limited to, the following information, disaggregated by borough:</w:t>
      </w:r>
    </w:p>
    <w:p w14:paraId="36543FCF" w14:textId="77777777" w:rsidR="00034E5A" w:rsidRPr="00034E5A" w:rsidRDefault="00034E5A" w:rsidP="00FD5D1D">
      <w:pPr>
        <w:widowControl w:val="0"/>
        <w:suppressLineNumbers/>
        <w:spacing w:line="480" w:lineRule="auto"/>
        <w:ind w:firstLine="720"/>
        <w:jc w:val="both"/>
      </w:pPr>
      <w:r w:rsidRPr="37E03600">
        <w:t>1. the total number of applications received;</w:t>
      </w:r>
    </w:p>
    <w:p w14:paraId="59EE9DB9" w14:textId="77777777" w:rsidR="00034E5A" w:rsidRPr="00034E5A" w:rsidRDefault="00034E5A" w:rsidP="00FD5D1D">
      <w:pPr>
        <w:widowControl w:val="0"/>
        <w:suppressLineNumbers/>
        <w:spacing w:line="480" w:lineRule="auto"/>
        <w:ind w:firstLine="720"/>
        <w:jc w:val="both"/>
      </w:pPr>
      <w:r w:rsidRPr="37E03600">
        <w:t>2. the total number of applications approved;</w:t>
      </w:r>
    </w:p>
    <w:p w14:paraId="6BF3BB15" w14:textId="77777777" w:rsidR="00034E5A" w:rsidRPr="00034E5A" w:rsidRDefault="00034E5A" w:rsidP="00FD5D1D">
      <w:pPr>
        <w:widowControl w:val="0"/>
        <w:suppressLineNumbers/>
        <w:spacing w:line="480" w:lineRule="auto"/>
        <w:ind w:firstLine="720"/>
        <w:jc w:val="both"/>
      </w:pPr>
      <w:r w:rsidRPr="37E03600">
        <w:t>3. the total number of applications denied;</w:t>
      </w:r>
    </w:p>
    <w:p w14:paraId="0DEC6171" w14:textId="77777777" w:rsidR="00034E5A" w:rsidRPr="00034E5A" w:rsidRDefault="00034E5A" w:rsidP="00FD5D1D">
      <w:pPr>
        <w:widowControl w:val="0"/>
        <w:suppressLineNumbers/>
        <w:spacing w:line="480" w:lineRule="auto"/>
        <w:ind w:firstLine="720"/>
        <w:jc w:val="both"/>
      </w:pPr>
      <w:r w:rsidRPr="37E03600">
        <w:t>4. the aggregate value of property tax liability deferred by all approved deferral agreements.</w:t>
      </w:r>
    </w:p>
    <w:p w14:paraId="3D10E0DF" w14:textId="77777777" w:rsidR="001C6201" w:rsidRDefault="00034E5A" w:rsidP="00FD5D1D">
      <w:pPr>
        <w:widowControl w:val="0"/>
        <w:suppressLineNumbers/>
        <w:spacing w:line="480" w:lineRule="auto"/>
        <w:ind w:firstLine="720"/>
        <w:jc w:val="both"/>
      </w:pPr>
      <w:r w:rsidRPr="37E03600">
        <w:t>§ 2. This local law takes effect immediately, except that if it becomes law after July 1, 2020, it is retroactive to and deemed to have been in full force and effect as of July 1, 2020.</w:t>
      </w:r>
    </w:p>
    <w:p w14:paraId="575C9E1D" w14:textId="172AB1A1" w:rsidR="001C6201" w:rsidRPr="00332CC7" w:rsidRDefault="00034E5A" w:rsidP="00FD6C80">
      <w:pPr>
        <w:widowControl w:val="0"/>
        <w:suppressLineNumbers/>
        <w:jc w:val="both"/>
        <w:rPr>
          <w:sz w:val="18"/>
          <w:szCs w:val="18"/>
        </w:rPr>
      </w:pPr>
      <w:r w:rsidRPr="37E03600">
        <w:rPr>
          <w:sz w:val="18"/>
          <w:szCs w:val="18"/>
        </w:rPr>
        <w:t>NAB</w:t>
      </w:r>
    </w:p>
    <w:p w14:paraId="47F3C23B" w14:textId="0B5F0557" w:rsidR="00034E5A" w:rsidRPr="00332CC7" w:rsidRDefault="00034E5A" w:rsidP="00FD6C80">
      <w:pPr>
        <w:widowControl w:val="0"/>
        <w:suppressLineNumbers/>
        <w:jc w:val="both"/>
        <w:rPr>
          <w:sz w:val="18"/>
          <w:szCs w:val="18"/>
        </w:rPr>
      </w:pPr>
      <w:r w:rsidRPr="37E03600">
        <w:rPr>
          <w:sz w:val="18"/>
          <w:szCs w:val="18"/>
        </w:rPr>
        <w:t>LS #6347</w:t>
      </w:r>
    </w:p>
    <w:p w14:paraId="49D04CEF" w14:textId="4091BB00" w:rsidR="00626923" w:rsidRDefault="00034E5A" w:rsidP="00FD6C80">
      <w:pPr>
        <w:widowControl w:val="0"/>
        <w:suppressLineNumbers/>
        <w:jc w:val="both"/>
        <w:rPr>
          <w:sz w:val="20"/>
          <w:szCs w:val="20"/>
        </w:rPr>
      </w:pPr>
      <w:r w:rsidRPr="37E03600">
        <w:rPr>
          <w:sz w:val="18"/>
          <w:szCs w:val="18"/>
        </w:rPr>
        <w:t>6/7/2020</w:t>
      </w:r>
      <w:r w:rsidRPr="37E03600">
        <w:rPr>
          <w:sz w:val="20"/>
          <w:szCs w:val="20"/>
        </w:rPr>
        <w:br w:type="page"/>
      </w:r>
    </w:p>
    <w:p w14:paraId="34159C28" w14:textId="77777777" w:rsidR="00332CC7" w:rsidRDefault="00332CC7" w:rsidP="00FD6C80">
      <w:pPr>
        <w:pStyle w:val="NormalWeb"/>
        <w:widowControl w:val="0"/>
        <w:shd w:val="clear" w:color="auto" w:fill="FFFFFF" w:themeFill="background1"/>
        <w:spacing w:before="0" w:beforeAutospacing="0" w:after="0" w:afterAutospacing="0"/>
        <w:jc w:val="center"/>
        <w:rPr>
          <w:color w:val="000000"/>
          <w:sz w:val="27"/>
          <w:szCs w:val="27"/>
        </w:rPr>
      </w:pPr>
      <w:r w:rsidRPr="37E03600">
        <w:rPr>
          <w:color w:val="000000" w:themeColor="text1"/>
        </w:rPr>
        <w:t>Preconsidered Int. No.</w:t>
      </w:r>
    </w:p>
    <w:p w14:paraId="3C1489C4" w14:textId="77777777" w:rsidR="00332CC7" w:rsidRDefault="00332CC7" w:rsidP="00FD6C80">
      <w:pPr>
        <w:pStyle w:val="NormalWeb"/>
        <w:widowControl w:val="0"/>
        <w:shd w:val="clear" w:color="auto" w:fill="FFFFFF" w:themeFill="background1"/>
        <w:spacing w:before="0" w:beforeAutospacing="0" w:after="0" w:afterAutospacing="0"/>
        <w:jc w:val="center"/>
        <w:rPr>
          <w:color w:val="000000"/>
          <w:sz w:val="27"/>
          <w:szCs w:val="27"/>
        </w:rPr>
      </w:pPr>
      <w:r w:rsidRPr="37E03600">
        <w:rPr>
          <w:color w:val="000000" w:themeColor="text1"/>
        </w:rPr>
        <w:t> </w:t>
      </w:r>
    </w:p>
    <w:p w14:paraId="7AF5F8DE" w14:textId="77777777" w:rsidR="00332CC7" w:rsidRDefault="00332CC7" w:rsidP="00FD6C80">
      <w:pPr>
        <w:pStyle w:val="NormalWeb"/>
        <w:widowControl w:val="0"/>
        <w:shd w:val="clear" w:color="auto" w:fill="FFFFFF" w:themeFill="background1"/>
        <w:spacing w:before="0" w:beforeAutospacing="0" w:after="0" w:afterAutospacing="0"/>
        <w:jc w:val="both"/>
        <w:rPr>
          <w:color w:val="000000"/>
          <w:sz w:val="27"/>
          <w:szCs w:val="27"/>
        </w:rPr>
      </w:pPr>
      <w:r w:rsidRPr="37E03600">
        <w:rPr>
          <w:color w:val="000000" w:themeColor="text1"/>
        </w:rPr>
        <w:t>By The Public Advocate (Mr. Williams) and Council Members Kallos and Lander</w:t>
      </w:r>
    </w:p>
    <w:p w14:paraId="49596697" w14:textId="77777777" w:rsidR="00332CC7" w:rsidRDefault="00332CC7" w:rsidP="00FD6C80">
      <w:pPr>
        <w:pStyle w:val="NormalWeb"/>
        <w:widowControl w:val="0"/>
        <w:shd w:val="clear" w:color="auto" w:fill="FFFFFF" w:themeFill="background1"/>
        <w:spacing w:before="0" w:beforeAutospacing="0" w:after="0" w:afterAutospacing="0"/>
        <w:jc w:val="both"/>
        <w:rPr>
          <w:color w:val="000000"/>
          <w:sz w:val="27"/>
          <w:szCs w:val="27"/>
        </w:rPr>
      </w:pPr>
      <w:r w:rsidRPr="37E03600">
        <w:rPr>
          <w:color w:val="000000" w:themeColor="text1"/>
        </w:rPr>
        <w:t> </w:t>
      </w:r>
    </w:p>
    <w:p w14:paraId="05C19822" w14:textId="77777777" w:rsidR="00332CC7" w:rsidRDefault="00332CC7" w:rsidP="00FD6C80">
      <w:pPr>
        <w:pStyle w:val="NormalWeb"/>
        <w:widowControl w:val="0"/>
        <w:shd w:val="clear" w:color="auto" w:fill="FFFFFF" w:themeFill="background1"/>
        <w:spacing w:before="0" w:beforeAutospacing="0" w:after="0" w:afterAutospacing="0"/>
        <w:jc w:val="both"/>
        <w:rPr>
          <w:color w:val="000000"/>
          <w:sz w:val="27"/>
          <w:szCs w:val="27"/>
        </w:rPr>
      </w:pPr>
      <w:r w:rsidRPr="37E03600">
        <w:rPr>
          <w:color w:val="000000" w:themeColor="text1"/>
        </w:rPr>
        <w:t>A Local Law in relation to the deferral of property tax liability on real property with an assessed value of two hundred fifty thousand dollars or less owned by certain property owners impacted by COVID-19</w:t>
      </w:r>
    </w:p>
    <w:p w14:paraId="6EF60BB1" w14:textId="18F7B064" w:rsidR="00332CC7" w:rsidRDefault="00332CC7" w:rsidP="00FD6C80">
      <w:pPr>
        <w:pStyle w:val="NormalWeb"/>
        <w:widowControl w:val="0"/>
        <w:shd w:val="clear" w:color="auto" w:fill="FFFFFF" w:themeFill="background1"/>
        <w:spacing w:before="0" w:beforeAutospacing="0" w:after="0" w:afterAutospacing="0"/>
        <w:jc w:val="both"/>
        <w:rPr>
          <w:color w:val="000000"/>
          <w:sz w:val="27"/>
          <w:szCs w:val="27"/>
        </w:rPr>
      </w:pPr>
    </w:p>
    <w:p w14:paraId="702B801B" w14:textId="77777777" w:rsidR="00332CC7" w:rsidRDefault="00332CC7" w:rsidP="00FD6C80">
      <w:pPr>
        <w:pStyle w:val="NormalWeb"/>
        <w:widowControl w:val="0"/>
        <w:shd w:val="clear" w:color="auto" w:fill="FFFFFF" w:themeFill="background1"/>
        <w:spacing w:before="0" w:beforeAutospacing="0" w:after="0" w:afterAutospacing="0"/>
        <w:jc w:val="both"/>
        <w:rPr>
          <w:color w:val="000000"/>
          <w:sz w:val="27"/>
          <w:szCs w:val="27"/>
        </w:rPr>
      </w:pPr>
      <w:r w:rsidRPr="37E03600">
        <w:rPr>
          <w:color w:val="000000" w:themeColor="text1"/>
          <w:u w:val="single"/>
        </w:rPr>
        <w:t>Be it enacted by the Council as follows:</w:t>
      </w:r>
    </w:p>
    <w:p w14:paraId="4FDE80EC"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Section 1. a. As used in this local law, the following terms have the following meanings:</w:t>
      </w:r>
    </w:p>
    <w:p w14:paraId="2604B3FB"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COVID-19. The term “COVID-19” means the 2019 novel coronavirus or 2019-nCoV.</w:t>
      </w:r>
    </w:p>
    <w:p w14:paraId="1D795A49"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COVID-19 state disaster emergency. The term “COVID-19 state disaster emergency” means the state disaster emergency declared by the governor in executive order number 202 issued on March 7, 2020.</w:t>
      </w:r>
    </w:p>
    <w:p w14:paraId="53895B8A"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Department. The term “department” means the department of finance.</w:t>
      </w:r>
    </w:p>
    <w:p w14:paraId="57899FBD"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Deferral agreement. The term “deferral agreement” means an agreement between the department and a property owner to defer real property tax liability without interest or penalty for the installment of real property tax otherwise due and payable as of July 1, 2020, until October 1, 2020.</w:t>
      </w:r>
    </w:p>
    <w:p w14:paraId="55C1F0FF"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Income. The term “income” means the adjusted gross income for federal income tax purposes as reported on an applicant's most recently filed federal or state income tax return, subject to any subsequent amendments or revisions; provided that if no such return was filed, “income” means the adjusted gross income that would have been so reported if such a return had been filed.</w:t>
      </w:r>
    </w:p>
    <w:p w14:paraId="0C475097"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b. Notwithstanding any inconsistent provision of law or rule, a property owner whose real property has an assessed value of two hundred fifty thousand dollars or less, and who satisfies the requirements described in subdivision d of this section, may enter into a deferral agreement.</w:t>
      </w:r>
    </w:p>
    <w:p w14:paraId="26EB5E30"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c. For purposes of this section, property held in the cooperative form of ownership shall be deemed to have an assessed value of two hundred fifty thousand dollars or less if the property’s assessed value divided by the number of residential dwelling units is two hundred fifty thousand dollars or less per unit.</w:t>
      </w:r>
    </w:p>
    <w:p w14:paraId="2E892D28"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d. To be eligible to enter into a deferral agreement, an applicant must demonstrate that the following requirements are met: 1. The applicant is a property owner and the subject property is such owner’s primary residence. Hospitalization or a temporary stay in a nursing home or rehabilitation facility for a period of not more than three years shall not be considered a change in primary residence.</w:t>
      </w:r>
    </w:p>
    <w:p w14:paraId="5F962993"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2. (a) Between March 7, 2020 and June 30, 2020 the property owner experienced two or more weeks in which (i) the property owner claimed federal or state unemployment insurance benefits in connection with a claim that was filed on or after March 7, 2020 or (ii) the property owner worked fewer than three days and earned less than $504 because of one or more of the following situations:</w:t>
      </w:r>
    </w:p>
    <w:p w14:paraId="1EC5E8A3"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(1) the property owner was diagnosed with COVID-19 or was experiencing symptoms of COVID-19 and seeking a medical diagnosis;</w:t>
      </w:r>
    </w:p>
    <w:p w14:paraId="297A6ED6"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(2) a member of the property owner’s household was diagnosed with COVID-19;</w:t>
      </w:r>
    </w:p>
    <w:p w14:paraId="58FAD55E"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(3) the property owner was providing care for a family member or a member of the property owner’s household who was diagnosed with COVID-19;</w:t>
      </w:r>
    </w:p>
    <w:p w14:paraId="29D857E2"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(4) the property owner became unemployed, partially unemployed, or could not commence employment as a direct result of COVID-19 or the state disaster emergency;</w:t>
      </w:r>
    </w:p>
    <w:p w14:paraId="6BB03FAF"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(5) a member of the property owner’s household for whom the person had primary caregiving responsibility was unable to attend school or another facility that was closed as a direct result of the COVID-19 state disaster emergency and such school or facility care was required for the person to work;</w:t>
      </w:r>
    </w:p>
    <w:p w14:paraId="6387FA75"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(6) the property owner was unable to reach the person’s place of employment because of a quarantine imposed as a direct result of the COVID-19 state disaster emergency;</w:t>
      </w:r>
    </w:p>
    <w:p w14:paraId="72A04B45"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(7) the property owner was unable to reach the person’s place of employment because the person had been advised by a health care provider to self-quarantine due to concerns related to COVID-19;</w:t>
      </w:r>
    </w:p>
    <w:p w14:paraId="0A747E12"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(8) the property owner was scheduled to commence employment and did not have a job or was unable to reach the job as a direct result of the COVID-19 state disaster emergency;</w:t>
      </w:r>
    </w:p>
    <w:p w14:paraId="32153083"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(9) the property owner became primarily responsible for providing financial support for the household of such person because the previous head of the household died as a direct result of COVID-19;</w:t>
      </w:r>
    </w:p>
    <w:p w14:paraId="71F2DF5D"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(10) the property owner quit a job as a direct result of COVID-19; or</w:t>
      </w:r>
    </w:p>
    <w:p w14:paraId="0D6FE175"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(11) the property owner’s place of employment was or is closed as a direct result of the COVID-19 state disaster emergency;</w:t>
      </w:r>
    </w:p>
    <w:p w14:paraId="182903EC"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(b) the property owner is being held liable for a debt or other obligation of a business that was subject to seating, occupancy or on-premises service limitations pursuant to an executive order issued by the governor or mayor between March 7, 2020 and the June 30, 2020; or</w:t>
      </w:r>
    </w:p>
    <w:p w14:paraId="788833F9"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(c) the property owner was not paid rental income which was due to such property owner on a dwelling unit within the property for which the property owner is applying for a deferral agreement because the tenant of such dwelling unit claimed loss of income as a result of COVID-19.</w:t>
      </w:r>
    </w:p>
    <w:p w14:paraId="1C3EBCFD"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3. The combined income of the applicant and of all the additional property owners shall not exceed $200,000.</w:t>
      </w:r>
    </w:p>
    <w:p w14:paraId="2DE4EE2F"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4. For residential property held in the cooperative form of ownership, the cooperative must demonstrate that at least 20 percent of the dwelling units held in such common ownership meet the criteria enumerated in paragraphs 1 through 3 of this subdivision.</w:t>
      </w:r>
    </w:p>
    <w:p w14:paraId="4292445C"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e. A complete application must be submitted to, and approved by, the department. Upon the submission of a deferral agreement application, the department shall provide the applicant with a notice that the application has been received by the department.</w:t>
      </w:r>
    </w:p>
    <w:p w14:paraId="00555B9C"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f. An applicant whose application is denied by the department must pay all real property taxes otherwise due on July 1, 2020 within 15 days of notification of such denial. If such liability is not paid in full within the 15 days, interest shall be imposed on any unpaid amounts in accordance with 11-224.1 of the administrative code of the city of New York beginning on July 15, 2020.</w:t>
      </w:r>
    </w:p>
    <w:p w14:paraId="65A82F82"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g. If a property owner has not paid the tax liability that was subject to the deferral agreement in full by October 15, 2020, interest shall be imposed on any unpaid amounts in accordance with 11-224.1 of the administrative code of the city of New York, unless such property owner has (i) entered into an installment agreement pursuant to sections 11-322 or 11-322.1 of the administrative code of the city of New York with the department for the payment of the delinquent amounts,  or (ii) or submitted an application for such an installment agreement that is pending with the department. In the event that the department subsequently denies such application, the applicant shall have 15 days from notification that such application has been denied to pay all unpaid deferred tax liability without interest thereon before interest will be imposed.</w:t>
      </w:r>
    </w:p>
    <w:p w14:paraId="00338525"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h. The department shall conduct outreach to advertise the availability of the deferral agreements that are subject of this section.</w:t>
      </w:r>
    </w:p>
    <w:p w14:paraId="5387820E"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i. The department shall provide information regarding the availability of the installment agreements provided for in sections 11.322 and 11-322.1 of the administrative code of the city of New York to all applicants for a deferral agreement under this section.</w:t>
      </w:r>
    </w:p>
    <w:p w14:paraId="109533F9"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j. The department shall issue a report on the deferral agreements established pursuant to this section. Such reports shall be submitted to the speaker of the council and published on the department's website no later than November 1, 2020 and shall include, but not be limited to, the following information, disaggregated by borough:</w:t>
      </w:r>
    </w:p>
    <w:p w14:paraId="46F79400"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1. the total number of applications received;</w:t>
      </w:r>
    </w:p>
    <w:p w14:paraId="22F594DA"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2. the total number of applications approved;</w:t>
      </w:r>
    </w:p>
    <w:p w14:paraId="425C224C"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3. the total number of applications denied;</w:t>
      </w:r>
    </w:p>
    <w:p w14:paraId="639C92CD"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4. the aggregate value of property tax liability deferred by all approved deferral agreements.</w:t>
      </w:r>
    </w:p>
    <w:p w14:paraId="08B8B079"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 2. Paragraph 3 of subdivision c of section 11-322.1 of the administrative code of the city of New York, as added by local law 45 for the year 2019, is amended to read as follows:</w:t>
      </w:r>
    </w:p>
    <w:p w14:paraId="3056B7F2"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3. The combined income of the applicant and of all the additional property owners may not exceed $58,399 for the income tax year immediately preceding the date of the application for the installment agreement</w:t>
      </w:r>
      <w:r w:rsidRPr="37E03600">
        <w:rPr>
          <w:color w:val="000000" w:themeColor="text1"/>
          <w:u w:val="single"/>
        </w:rPr>
        <w:t>, except that the combined income for purposes of an extenuating circumstances income-based installment agreement pursuant to subdivision n of this section where the qualifying extenuating circumstance is as a result of circumstances relating to the 2019 novel coronavirus or 2019-nCoV shall not exceed $200,000</w:t>
      </w:r>
      <w:r w:rsidRPr="37E03600">
        <w:rPr>
          <w:color w:val="000000" w:themeColor="text1"/>
        </w:rPr>
        <w:t>. The department shall promulgate rules that establish a process for an applicant to seek an exception from the requirement that income information from all additional property owners be provided in cases of hardship.</w:t>
      </w:r>
    </w:p>
    <w:p w14:paraId="09DB9C47" w14:textId="3DDC97F2"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 3. Subparagraph b of paragraph 2 of subdivision h of section 11-322.1 of the administrative code of the city of New York, as added by local law 45 for the year 2019, is amended to read as follows:</w:t>
      </w:r>
    </w:p>
    <w:p w14:paraId="49070FB5"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(b) the combined income of such applicant and of all the additional property owners does not exceed $58,399</w:t>
      </w:r>
      <w:r w:rsidRPr="37E03600">
        <w:rPr>
          <w:color w:val="000000" w:themeColor="text1"/>
          <w:u w:val="single"/>
        </w:rPr>
        <w:t>, or $200,000 for an extenuating circumstances income-based installment agreement pursuant to subdivision n of this section where the qualifying extenuating circumstance is as a result of circumstances relating to the 2019 novel coronavirus or 2019-nCoV,</w:t>
      </w:r>
      <w:r w:rsidRPr="37E03600">
        <w:rPr>
          <w:color w:val="000000" w:themeColor="text1"/>
        </w:rPr>
        <w:t> for the income tax year immediately preceding the date of the renewal of such installment agreement, except that an applicant for the renewal of a fixed length income-based installment agreement pursuant to subdivision m of this section is not required to submit income information.</w:t>
      </w:r>
    </w:p>
    <w:p w14:paraId="2EF26A46"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 4. Paragraph 6 of subdivision j of section 11-322.1 of the administrative code of the city of New York, as added by local law 45 for the year 2019, is amended to read as follows:</w:t>
      </w:r>
    </w:p>
    <w:p w14:paraId="24E3B8E7" w14:textId="77777777" w:rsid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sz w:val="27"/>
          <w:szCs w:val="27"/>
        </w:rPr>
      </w:pPr>
      <w:r w:rsidRPr="37E03600">
        <w:rPr>
          <w:color w:val="000000" w:themeColor="text1"/>
        </w:rPr>
        <w:t>6. If the combined income of all of the property owners exceeds $58,399</w:t>
      </w:r>
      <w:r w:rsidRPr="37E03600">
        <w:rPr>
          <w:color w:val="000000" w:themeColor="text1"/>
          <w:u w:val="single"/>
        </w:rPr>
        <w:t>, or $200,000 for an extenuating circumstances income-based installment agreement pursuant to subdivision n of this section where the qualifying extenuating circumstance is as a result of circumstances relating to the 2019 novel coronavirus or 2019-nCoV,</w:t>
      </w:r>
      <w:r w:rsidRPr="37E03600">
        <w:rPr>
          <w:color w:val="000000" w:themeColor="text1"/>
        </w:rPr>
        <w:t> for the income tax year immediately preceding the date of making a renewal application pursuant to subdivision h of this section, the applicant shall pay all taxes and charges imposed against the property after the date of such renewal application as such taxes and charges become due, in addition to the payment amount set forth in such installment agreement.</w:t>
      </w:r>
    </w:p>
    <w:p w14:paraId="0236DF47" w14:textId="3B55FF82" w:rsidR="00332CC7" w:rsidRPr="00332CC7" w:rsidRDefault="00332CC7" w:rsidP="00FD5D1D">
      <w:pPr>
        <w:pStyle w:val="NormalWeb"/>
        <w:widowControl w:val="0"/>
        <w:shd w:val="clear" w:color="auto" w:fill="FFFFFF" w:themeFill="background1"/>
        <w:spacing w:before="0" w:beforeAutospacing="0" w:after="0" w:afterAutospacing="0" w:line="480" w:lineRule="auto"/>
        <w:ind w:firstLine="720"/>
        <w:jc w:val="both"/>
        <w:rPr>
          <w:color w:val="000000"/>
        </w:rPr>
      </w:pPr>
      <w:r w:rsidRPr="37E03600">
        <w:rPr>
          <w:color w:val="000000" w:themeColor="text1"/>
        </w:rPr>
        <w:t>§ 5. This local law takes effect immediately, except that if it becomes law after July 1, 2020, it is retroactive to and deemed to have been in full force and effect as of July 1, 2020.</w:t>
      </w:r>
    </w:p>
    <w:p w14:paraId="7E78039F" w14:textId="77777777" w:rsidR="00332CC7" w:rsidRPr="00332CC7" w:rsidRDefault="00332CC7" w:rsidP="00FD6C80">
      <w:pPr>
        <w:pStyle w:val="NormalWeb"/>
        <w:widowControl w:val="0"/>
        <w:shd w:val="clear" w:color="auto" w:fill="FFFFFF" w:themeFill="background1"/>
        <w:spacing w:before="0" w:beforeAutospacing="0" w:after="0" w:afterAutospacing="0"/>
        <w:rPr>
          <w:color w:val="000000"/>
          <w:sz w:val="18"/>
          <w:szCs w:val="18"/>
        </w:rPr>
      </w:pPr>
      <w:r w:rsidRPr="37E03600">
        <w:rPr>
          <w:color w:val="000000" w:themeColor="text1"/>
          <w:sz w:val="18"/>
          <w:szCs w:val="18"/>
        </w:rPr>
        <w:t>NAB</w:t>
      </w:r>
    </w:p>
    <w:p w14:paraId="5D2FDE4D" w14:textId="77777777" w:rsidR="00332CC7" w:rsidRPr="00332CC7" w:rsidRDefault="00332CC7" w:rsidP="00FD6C80">
      <w:pPr>
        <w:pStyle w:val="NormalWeb"/>
        <w:widowControl w:val="0"/>
        <w:shd w:val="clear" w:color="auto" w:fill="FFFFFF" w:themeFill="background1"/>
        <w:spacing w:before="0" w:beforeAutospacing="0" w:after="0" w:afterAutospacing="0"/>
        <w:rPr>
          <w:color w:val="000000"/>
          <w:sz w:val="18"/>
          <w:szCs w:val="18"/>
        </w:rPr>
      </w:pPr>
      <w:r w:rsidRPr="37E03600">
        <w:rPr>
          <w:color w:val="000000" w:themeColor="text1"/>
          <w:sz w:val="18"/>
          <w:szCs w:val="18"/>
        </w:rPr>
        <w:t>LS #14455</w:t>
      </w:r>
    </w:p>
    <w:p w14:paraId="482A41A6" w14:textId="56BF46CE" w:rsidR="008C78D3" w:rsidRPr="00332CC7" w:rsidRDefault="00332CC7" w:rsidP="00FD6C80">
      <w:pPr>
        <w:pStyle w:val="NormalWeb"/>
        <w:widowControl w:val="0"/>
        <w:shd w:val="clear" w:color="auto" w:fill="FFFFFF" w:themeFill="background1"/>
        <w:spacing w:before="0" w:beforeAutospacing="0" w:after="0" w:afterAutospacing="0"/>
        <w:rPr>
          <w:sz w:val="18"/>
          <w:szCs w:val="18"/>
        </w:rPr>
      </w:pPr>
      <w:r w:rsidRPr="37E03600">
        <w:rPr>
          <w:color w:val="000000" w:themeColor="text1"/>
          <w:sz w:val="18"/>
          <w:szCs w:val="18"/>
        </w:rPr>
        <w:t>6/7/2020</w:t>
      </w:r>
    </w:p>
    <w:sectPr w:rsidR="008C78D3" w:rsidRPr="00332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4F12F" w14:textId="77777777" w:rsidR="00153582" w:rsidRDefault="00153582" w:rsidP="00BF236C">
      <w:r>
        <w:separator/>
      </w:r>
    </w:p>
  </w:endnote>
  <w:endnote w:type="continuationSeparator" w:id="0">
    <w:p w14:paraId="0B0A14FC" w14:textId="77777777" w:rsidR="00153582" w:rsidRDefault="00153582" w:rsidP="00BF236C">
      <w:r>
        <w:continuationSeparator/>
      </w:r>
    </w:p>
  </w:endnote>
  <w:endnote w:type="continuationNotice" w:id="1">
    <w:p w14:paraId="03FC6CDC" w14:textId="77777777" w:rsidR="00153582" w:rsidRDefault="0015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13615"/>
      <w:docPartObj>
        <w:docPartGallery w:val="Page Numbers (Bottom of Page)"/>
        <w:docPartUnique/>
      </w:docPartObj>
    </w:sdtPr>
    <w:sdtEndPr/>
    <w:sdtContent>
      <w:p w14:paraId="4E1B18A0" w14:textId="4915E1F3" w:rsidR="00A77A8C" w:rsidRPr="00D50EB3" w:rsidRDefault="00A77A8C">
        <w:pPr>
          <w:pStyle w:val="Footer"/>
          <w:jc w:val="right"/>
        </w:pPr>
        <w:r w:rsidRPr="00D50EB3">
          <w:fldChar w:fldCharType="begin"/>
        </w:r>
        <w:r w:rsidRPr="00D50EB3">
          <w:instrText xml:space="preserve"> PAGE   \* MERGEFORMAT </w:instrText>
        </w:r>
        <w:r w:rsidRPr="00D50EB3">
          <w:fldChar w:fldCharType="separate"/>
        </w:r>
        <w:r w:rsidR="001D6645">
          <w:rPr>
            <w:noProof/>
          </w:rPr>
          <w:t>4</w:t>
        </w:r>
        <w:r w:rsidRPr="00D50EB3">
          <w:fldChar w:fldCharType="end"/>
        </w:r>
      </w:p>
    </w:sdtContent>
  </w:sdt>
  <w:p w14:paraId="008C89A5" w14:textId="77777777" w:rsidR="00A77A8C" w:rsidRPr="00D50EB3" w:rsidRDefault="00A7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72A5" w14:textId="77777777" w:rsidR="00153582" w:rsidRDefault="00153582" w:rsidP="00BF236C">
      <w:r>
        <w:separator/>
      </w:r>
    </w:p>
  </w:footnote>
  <w:footnote w:type="continuationSeparator" w:id="0">
    <w:p w14:paraId="26E54492" w14:textId="77777777" w:rsidR="00153582" w:rsidRDefault="00153582" w:rsidP="00BF236C">
      <w:r>
        <w:continuationSeparator/>
      </w:r>
    </w:p>
  </w:footnote>
  <w:footnote w:type="continuationNotice" w:id="1">
    <w:p w14:paraId="25233BFE" w14:textId="77777777" w:rsidR="00153582" w:rsidRDefault="00153582"/>
  </w:footnote>
  <w:footnote w:id="2">
    <w:p w14:paraId="3D238DA2" w14:textId="77777777" w:rsidR="00A77A8C" w:rsidRDefault="00A77A8C" w:rsidP="00706947">
      <w:pPr>
        <w:pStyle w:val="FootnoteText"/>
      </w:pPr>
      <w:r w:rsidRPr="66CDACB9">
        <w:rPr>
          <w:rStyle w:val="FootnoteReference"/>
        </w:rPr>
        <w:footnoteRef/>
      </w:r>
      <w:r>
        <w:t xml:space="preserve"> Governor Cuomo Issues Statement Regarding Novel Coronavirus in New York, Mar. 1, 2020, </w:t>
      </w:r>
      <w:r w:rsidRPr="66CDACB9">
        <w:rPr>
          <w:i/>
          <w:iCs/>
        </w:rPr>
        <w:t>available at</w:t>
      </w:r>
      <w:r>
        <w:t xml:space="preserve">: </w:t>
      </w:r>
      <w:hyperlink r:id="rId1">
        <w:r w:rsidRPr="66CDACB9">
          <w:rPr>
            <w:rStyle w:val="Hyperlink"/>
          </w:rPr>
          <w:t>https://www.governor.ny.gov/news/governor-cuomo-issues-statement-regarding-novel-coronavirus-new-york</w:t>
        </w:r>
      </w:hyperlink>
      <w:r>
        <w:t>.</w:t>
      </w:r>
    </w:p>
  </w:footnote>
  <w:footnote w:id="3">
    <w:p w14:paraId="01CCEF02" w14:textId="77777777" w:rsidR="00A77A8C" w:rsidRDefault="00A77A8C" w:rsidP="00706947">
      <w:pPr>
        <w:pStyle w:val="FootnoteText"/>
      </w:pPr>
      <w:r w:rsidRPr="66CDACB9">
        <w:rPr>
          <w:rStyle w:val="FootnoteReference"/>
        </w:rPr>
        <w:footnoteRef/>
      </w:r>
      <w:r>
        <w:t xml:space="preserve"> New York City Department of Health, New York City Confirms A Second COVID-19 Case, Mar. 3, 2020, available at </w:t>
      </w:r>
      <w:hyperlink r:id="rId2">
        <w:r w:rsidRPr="66CDACB9">
          <w:rPr>
            <w:rStyle w:val="Hyperlink"/>
          </w:rPr>
          <w:t>https://www1.nyc.gov/site/doh/about/press/pr2020/city-confirms-second-covid-19-case.page</w:t>
        </w:r>
      </w:hyperlink>
      <w:r>
        <w:t>.</w:t>
      </w:r>
    </w:p>
  </w:footnote>
  <w:footnote w:id="4">
    <w:p w14:paraId="6177AD6D" w14:textId="5CFF0C54" w:rsidR="00A77A8C" w:rsidRDefault="00A77A8C" w:rsidP="00706947">
      <w:pPr>
        <w:pStyle w:val="FootnoteText"/>
      </w:pPr>
      <w:r w:rsidRPr="4488A1CA">
        <w:rPr>
          <w:rStyle w:val="FootnoteReference"/>
        </w:rPr>
        <w:footnoteRef/>
      </w:r>
      <w:r>
        <w:t xml:space="preserve"> New York State, Governor Andrew M. Cuomo, Executive Order No. 202: Declaring a Disaster Emergency in the State of New York, </w:t>
      </w:r>
      <w:hyperlink r:id="rId3">
        <w:r w:rsidRPr="4488A1CA">
          <w:rPr>
            <w:rStyle w:val="Hyperlink"/>
          </w:rPr>
          <w:t>https://www.governor.ny.gov/sites/governor.ny.gov/files/atoms/files/EO_202.pdf</w:t>
        </w:r>
      </w:hyperlink>
      <w:r>
        <w:t xml:space="preserve"> </w:t>
      </w:r>
    </w:p>
  </w:footnote>
  <w:footnote w:id="5">
    <w:p w14:paraId="7BB79009" w14:textId="3F88CF5A" w:rsidR="00A77A8C" w:rsidRDefault="00A77A8C" w:rsidP="00706947">
      <w:pPr>
        <w:pStyle w:val="FootnoteText"/>
      </w:pPr>
      <w:r w:rsidRPr="4488A1CA">
        <w:rPr>
          <w:rStyle w:val="FootnoteReference"/>
        </w:rPr>
        <w:footnoteRef/>
      </w:r>
      <w:r>
        <w:t xml:space="preserve"> Press Release, World Health Organization, WHO Director-General's opening remarks at the media briefing on COVID-19 (March 11, 2020), available at </w:t>
      </w:r>
      <w:hyperlink r:id="rId4">
        <w:r w:rsidRPr="4488A1CA">
          <w:rPr>
            <w:rStyle w:val="Hyperlink"/>
          </w:rPr>
          <w:t>https://www.who.int/dg/speeches/detail/who-director-general-s-opening-remarks-at-the-media-briefing-on-covid-19---11-march-2020</w:t>
        </w:r>
      </w:hyperlink>
      <w:r>
        <w:t xml:space="preserve"> (last accessed on March 20, 2020). </w:t>
      </w:r>
    </w:p>
  </w:footnote>
  <w:footnote w:id="6">
    <w:p w14:paraId="490CAB46" w14:textId="7E878B8E" w:rsidR="00A77A8C" w:rsidRDefault="00A77A8C" w:rsidP="00706947">
      <w:pPr>
        <w:pStyle w:val="FootnoteText"/>
      </w:pPr>
      <w:r w:rsidRPr="4488A1CA">
        <w:rPr>
          <w:rStyle w:val="FootnoteReference"/>
        </w:rPr>
        <w:footnoteRef/>
      </w:r>
      <w:r>
        <w:t xml:space="preserve"> New York City, Mayor Bill de Blasio, Executive Order No. 98: Declaration of Local State Emergency (March 12, 2020), available at </w:t>
      </w:r>
      <w:hyperlink r:id="rId5">
        <w:r w:rsidRPr="4488A1CA">
          <w:rPr>
            <w:rStyle w:val="Hyperlink"/>
          </w:rPr>
          <w:t>https://www1.nyc.gov/assets/home/downloads/pdf/executive-orders/2020/eeo-98.pdf</w:t>
        </w:r>
      </w:hyperlink>
      <w:r>
        <w:t xml:space="preserve"> (last accessed on March 19, 2020). </w:t>
      </w:r>
    </w:p>
  </w:footnote>
  <w:footnote w:id="7">
    <w:p w14:paraId="14D1045A" w14:textId="3C63BC3D" w:rsidR="00A77A8C" w:rsidRDefault="00A77A8C" w:rsidP="00706947">
      <w:pPr>
        <w:rPr>
          <w:sz w:val="20"/>
          <w:szCs w:val="20"/>
        </w:rPr>
      </w:pPr>
      <w:r w:rsidRPr="283C6D0D">
        <w:rPr>
          <w:rStyle w:val="FootnoteReference"/>
          <w:sz w:val="20"/>
          <w:szCs w:val="20"/>
        </w:rPr>
        <w:footnoteRef/>
      </w:r>
      <w:r w:rsidRPr="283C6D0D">
        <w:rPr>
          <w:sz w:val="20"/>
          <w:szCs w:val="20"/>
        </w:rPr>
        <w:t xml:space="preserve"> </w:t>
      </w:r>
      <w:r w:rsidRPr="5F840C9D">
        <w:rPr>
          <w:sz w:val="20"/>
          <w:szCs w:val="20"/>
        </w:rPr>
        <w:t xml:space="preserve">See id at </w:t>
      </w:r>
      <w:r w:rsidRPr="5F840C9D">
        <w:rPr>
          <w:i/>
          <w:iCs/>
          <w:sz w:val="20"/>
          <w:szCs w:val="20"/>
        </w:rPr>
        <w:t xml:space="preserve">supra </w:t>
      </w:r>
      <w:r w:rsidRPr="5F840C9D">
        <w:rPr>
          <w:sz w:val="20"/>
          <w:szCs w:val="20"/>
        </w:rPr>
        <w:t>note 3.</w:t>
      </w:r>
    </w:p>
  </w:footnote>
  <w:footnote w:id="8">
    <w:p w14:paraId="735FB427" w14:textId="673EC0B6" w:rsidR="00A77A8C" w:rsidRDefault="00A77A8C" w:rsidP="00706947">
      <w:pPr>
        <w:rPr>
          <w:sz w:val="20"/>
          <w:szCs w:val="20"/>
        </w:rPr>
      </w:pPr>
      <w:r w:rsidRPr="283C6D0D">
        <w:rPr>
          <w:rStyle w:val="FootnoteReference"/>
          <w:sz w:val="20"/>
          <w:szCs w:val="20"/>
        </w:rPr>
        <w:footnoteRef/>
      </w:r>
      <w:r w:rsidRPr="283C6D0D">
        <w:rPr>
          <w:sz w:val="20"/>
          <w:szCs w:val="20"/>
        </w:rPr>
        <w:t xml:space="preserve"> </w:t>
      </w:r>
      <w:r w:rsidRPr="283C6D0D">
        <w:rPr>
          <w:i/>
          <w:iCs/>
          <w:sz w:val="20"/>
          <w:szCs w:val="20"/>
        </w:rPr>
        <w:t xml:space="preserve">See id. </w:t>
      </w:r>
    </w:p>
  </w:footnote>
  <w:footnote w:id="9">
    <w:p w14:paraId="2573083C" w14:textId="1E5C20E2" w:rsidR="00A77A8C" w:rsidRDefault="00A77A8C" w:rsidP="00706947">
      <w:pPr>
        <w:rPr>
          <w:sz w:val="20"/>
          <w:szCs w:val="20"/>
        </w:rPr>
      </w:pPr>
      <w:r w:rsidRPr="283C6D0D">
        <w:rPr>
          <w:rStyle w:val="FootnoteReference"/>
          <w:sz w:val="20"/>
          <w:szCs w:val="20"/>
        </w:rPr>
        <w:footnoteRef/>
      </w:r>
      <w:r w:rsidRPr="283C6D0D">
        <w:rPr>
          <w:sz w:val="20"/>
          <w:szCs w:val="20"/>
        </w:rPr>
        <w:t xml:space="preserve"> </w:t>
      </w:r>
      <w:r w:rsidRPr="283C6D0D">
        <w:rPr>
          <w:i/>
          <w:iCs/>
          <w:sz w:val="20"/>
          <w:szCs w:val="20"/>
        </w:rPr>
        <w:t>See id.</w:t>
      </w:r>
    </w:p>
  </w:footnote>
  <w:footnote w:id="10">
    <w:p w14:paraId="726A1E2A" w14:textId="01292002" w:rsidR="00A77A8C" w:rsidRPr="004275CC" w:rsidRDefault="00A77A8C" w:rsidP="00706947">
      <w:pPr>
        <w:rPr>
          <w:sz w:val="20"/>
          <w:szCs w:val="20"/>
        </w:rPr>
      </w:pPr>
      <w:r w:rsidRPr="004275CC">
        <w:rPr>
          <w:rStyle w:val="FootnoteReference"/>
          <w:sz w:val="20"/>
          <w:szCs w:val="20"/>
        </w:rPr>
        <w:footnoteRef/>
      </w:r>
      <w:r w:rsidRPr="004275CC">
        <w:rPr>
          <w:sz w:val="20"/>
          <w:szCs w:val="20"/>
        </w:rPr>
        <w:t xml:space="preserve"> N.Y. Exec. Order No. 202.8 (Mar. 20, 2020) </w:t>
      </w:r>
      <w:hyperlink r:id="rId6" w:history="1">
        <w:r w:rsidRPr="004275CC">
          <w:rPr>
            <w:rStyle w:val="Hyperlink"/>
            <w:sz w:val="20"/>
            <w:szCs w:val="20"/>
          </w:rPr>
          <w:t>https://www.governor.ny.gov/sites/governor.ny.gov/files/atoms/files/EO_202.8.pdf</w:t>
        </w:r>
      </w:hyperlink>
      <w:r w:rsidRPr="004275CC">
        <w:rPr>
          <w:sz w:val="20"/>
          <w:szCs w:val="20"/>
        </w:rPr>
        <w:t>.</w:t>
      </w:r>
    </w:p>
  </w:footnote>
  <w:footnote w:id="11">
    <w:p w14:paraId="1E106120" w14:textId="6394E75E" w:rsidR="00A77A8C" w:rsidRDefault="00A77A8C" w:rsidP="00706947">
      <w:pPr>
        <w:pStyle w:val="FootnoteText"/>
      </w:pPr>
      <w:r>
        <w:rPr>
          <w:rStyle w:val="FootnoteReference"/>
        </w:rPr>
        <w:footnoteRef/>
      </w:r>
      <w:r>
        <w:t xml:space="preserve"> </w:t>
      </w:r>
      <w:r w:rsidRPr="00490B1E">
        <w:t>Governor Cuomo Announces New York City to Enter Phase 1 of Reopening on June 8 and Five Regions Enter Phase 2 of Reopening Today</w:t>
      </w:r>
      <w:r>
        <w:t xml:space="preserve"> (May 29, 2020), </w:t>
      </w:r>
      <w:r w:rsidRPr="37E03600">
        <w:rPr>
          <w:i/>
          <w:iCs/>
        </w:rPr>
        <w:t>available at</w:t>
      </w:r>
      <w:r>
        <w:t xml:space="preserve"> </w:t>
      </w:r>
      <w:hyperlink r:id="rId7" w:history="1">
        <w:r w:rsidRPr="00490B1E">
          <w:rPr>
            <w:rStyle w:val="Hyperlink"/>
          </w:rPr>
          <w:t>https://www.governor.ny.gov/news/governor-cuomo-announces-new-york-city-enter-phase-1-reopening-june-8-and-five-regions-enter</w:t>
        </w:r>
      </w:hyperlink>
      <w:r>
        <w:t xml:space="preserve">; </w:t>
      </w:r>
      <w:r w:rsidRPr="37E03600">
        <w:rPr>
          <w:i/>
          <w:iCs/>
        </w:rPr>
        <w:t>see also</w:t>
      </w:r>
      <w:r>
        <w:t xml:space="preserve">, </w:t>
      </w:r>
      <w:r w:rsidRPr="0062006D">
        <w:t>New York Forward: New York City Phase One Industries</w:t>
      </w:r>
      <w:r>
        <w:t xml:space="preserve"> (</w:t>
      </w:r>
      <w:r w:rsidRPr="0086217F">
        <w:t>retrieved Jun</w:t>
      </w:r>
      <w:r>
        <w:t>.</w:t>
      </w:r>
      <w:r w:rsidRPr="0086217F">
        <w:t xml:space="preserve"> 8, 2020</w:t>
      </w:r>
      <w:r>
        <w:t>)</w:t>
      </w:r>
      <w:r w:rsidRPr="0086217F">
        <w:t>,</w:t>
      </w:r>
      <w:r w:rsidRPr="37E03600">
        <w:rPr>
          <w:i/>
          <w:iCs/>
        </w:rPr>
        <w:t xml:space="preserve"> </w:t>
      </w:r>
      <w:hyperlink r:id="rId8" w:history="1">
        <w:r w:rsidRPr="00BF68DE">
          <w:rPr>
            <w:rStyle w:val="Hyperlink"/>
          </w:rPr>
          <w:t>https://forward.ny.gov/new-york-city-phase-one-industries</w:t>
        </w:r>
      </w:hyperlink>
      <w:r>
        <w:t>.</w:t>
      </w:r>
    </w:p>
  </w:footnote>
  <w:footnote w:id="12">
    <w:p w14:paraId="44247D1D" w14:textId="10D08A76" w:rsidR="00A77A8C" w:rsidRPr="004275CC" w:rsidRDefault="00A77A8C" w:rsidP="00706947">
      <w:pPr>
        <w:rPr>
          <w:sz w:val="20"/>
          <w:szCs w:val="20"/>
        </w:rPr>
      </w:pPr>
      <w:r w:rsidRPr="004275CC">
        <w:rPr>
          <w:rStyle w:val="FootnoteReference"/>
          <w:rFonts w:eastAsia="Times"/>
          <w:sz w:val="20"/>
          <w:szCs w:val="20"/>
        </w:rPr>
        <w:footnoteRef/>
      </w:r>
      <w:r w:rsidRPr="004275CC">
        <w:rPr>
          <w:rFonts w:eastAsia="Times"/>
          <w:sz w:val="20"/>
          <w:szCs w:val="20"/>
        </w:rPr>
        <w:t xml:space="preserve"> New York City Comptroller Scott M. Stringer “Comptroller Stringer: City must take immediate action to prepare for economic impacts of COVID-19 and protect vital services for most vulnerable New Yorkers”, March 16, 2020, available at: </w:t>
      </w:r>
      <w:hyperlink r:id="rId9">
        <w:r w:rsidRPr="004275CC">
          <w:rPr>
            <w:rStyle w:val="Hyperlink"/>
            <w:rFonts w:eastAsia="Helvetica"/>
            <w:sz w:val="20"/>
            <w:szCs w:val="20"/>
          </w:rPr>
          <w:t>https://comptroller.nyc.gov/newsroom/comptroller-stringer-city-must-take-immediate-action-to-prepare-for-economic-impacts-of-covid-19-and-protect-vital-services-for-most-vulnerable-new-yorkers/</w:t>
        </w:r>
      </w:hyperlink>
      <w:r w:rsidRPr="004275CC">
        <w:rPr>
          <w:rFonts w:eastAsia="Times"/>
          <w:sz w:val="20"/>
          <w:szCs w:val="20"/>
        </w:rPr>
        <w:t xml:space="preserve">.  </w:t>
      </w:r>
    </w:p>
  </w:footnote>
  <w:footnote w:id="13">
    <w:p w14:paraId="0AD8DB8D" w14:textId="39F432CA" w:rsidR="00A77A8C" w:rsidRPr="004275CC" w:rsidRDefault="00A77A8C" w:rsidP="00706947">
      <w:pPr>
        <w:rPr>
          <w:sz w:val="20"/>
          <w:szCs w:val="20"/>
        </w:rPr>
      </w:pPr>
      <w:r w:rsidRPr="004275CC">
        <w:rPr>
          <w:rStyle w:val="FootnoteReference"/>
          <w:sz w:val="20"/>
          <w:szCs w:val="20"/>
        </w:rPr>
        <w:footnoteRef/>
      </w:r>
      <w:r w:rsidRPr="004275CC">
        <w:rPr>
          <w:sz w:val="20"/>
          <w:szCs w:val="20"/>
        </w:rPr>
        <w:t xml:space="preserve"> </w:t>
      </w:r>
      <w:r w:rsidRPr="00704191">
        <w:rPr>
          <w:spacing w:val="-2"/>
          <w:sz w:val="20"/>
          <w:szCs w:val="20"/>
        </w:rPr>
        <w:t xml:space="preserve">New York State Restaurant Association “Restaurant industry impact survey: New York State”, April, 2020, available at: </w:t>
      </w:r>
      <w:hyperlink r:id="rId10" w:history="1">
        <w:r w:rsidRPr="00704191">
          <w:rPr>
            <w:rStyle w:val="Hyperlink"/>
            <w:spacing w:val="-2"/>
            <w:sz w:val="20"/>
            <w:szCs w:val="20"/>
          </w:rPr>
          <w:t>https://www.nysra.org/uploads/1/2/1/3/121352550/restaurant_industry_impact_survey___new_york_state__2_.pdf</w:t>
        </w:r>
      </w:hyperlink>
      <w:r w:rsidRPr="00704191">
        <w:rPr>
          <w:spacing w:val="-2"/>
          <w:sz w:val="20"/>
          <w:szCs w:val="20"/>
        </w:rPr>
        <w:t>.</w:t>
      </w:r>
    </w:p>
  </w:footnote>
  <w:footnote w:id="14">
    <w:p w14:paraId="2D92C181" w14:textId="3FD33D43" w:rsidR="00A77A8C" w:rsidRDefault="00A77A8C" w:rsidP="00706947">
      <w:pPr>
        <w:rPr>
          <w:sz w:val="20"/>
          <w:szCs w:val="20"/>
        </w:rPr>
      </w:pPr>
      <w:r w:rsidRPr="004275CC">
        <w:rPr>
          <w:rStyle w:val="FootnoteReference"/>
          <w:sz w:val="20"/>
          <w:szCs w:val="20"/>
        </w:rPr>
        <w:footnoteRef/>
      </w:r>
      <w:r w:rsidRPr="004275CC">
        <w:rPr>
          <w:sz w:val="20"/>
          <w:szCs w:val="20"/>
        </w:rPr>
        <w:t xml:space="preserve"> </w:t>
      </w:r>
      <w:r w:rsidRPr="77449EDD">
        <w:rPr>
          <w:i/>
          <w:sz w:val="20"/>
          <w:szCs w:val="20"/>
        </w:rPr>
        <w:t>See id.</w:t>
      </w:r>
    </w:p>
  </w:footnote>
  <w:footnote w:id="15">
    <w:p w14:paraId="5BB3D00E" w14:textId="77777777" w:rsidR="00A77A8C" w:rsidRDefault="00A77A8C" w:rsidP="00706947">
      <w:pPr>
        <w:pStyle w:val="FootnoteText"/>
      </w:pPr>
      <w:r w:rsidRPr="37E03600">
        <w:rPr>
          <w:rStyle w:val="FootnoteReference"/>
        </w:rPr>
        <w:footnoteRef/>
      </w:r>
      <w:r>
        <w:t xml:space="preserve"> </w:t>
      </w:r>
      <w:r w:rsidRPr="37E03600">
        <w:rPr>
          <w:i/>
          <w:iCs/>
        </w:rPr>
        <w:t>What are the Housing Costs of Households Most Vulnerable to Job Layoffs? An Initial Analysis</w:t>
      </w:r>
      <w:r>
        <w:t xml:space="preserve">, NYU Furman Center (Mar. 30, 2020) </w:t>
      </w:r>
      <w:r w:rsidRPr="37E03600">
        <w:rPr>
          <w:i/>
          <w:iCs/>
        </w:rPr>
        <w:t>available at</w:t>
      </w:r>
      <w:r>
        <w:t xml:space="preserve"> </w:t>
      </w:r>
      <w:hyperlink r:id="rId11">
        <w:r w:rsidRPr="37E03600">
          <w:rPr>
            <w:rStyle w:val="Hyperlink"/>
          </w:rPr>
          <w:t>https://furmancenter.org/thestoop/entry/what-are-the-housing-costs-of-households-most-vulnerable-to-job-layoffs-an</w:t>
        </w:r>
      </w:hyperlink>
      <w:r>
        <w:t>.</w:t>
      </w:r>
    </w:p>
  </w:footnote>
  <w:footnote w:id="16">
    <w:p w14:paraId="7916CE4C" w14:textId="055E8333" w:rsidR="00A77A8C" w:rsidRDefault="00A77A8C" w:rsidP="00706947">
      <w:pPr>
        <w:pStyle w:val="FootnoteText"/>
      </w:pPr>
      <w:r w:rsidRPr="37E03600">
        <w:rPr>
          <w:rStyle w:val="FootnoteReference"/>
        </w:rPr>
        <w:footnoteRef/>
      </w:r>
      <w:r>
        <w:t xml:space="preserve"> </w:t>
      </w:r>
      <w:r w:rsidRPr="05625543">
        <w:rPr>
          <w:i/>
          <w:iCs/>
        </w:rPr>
        <w:t>See id.</w:t>
      </w:r>
    </w:p>
  </w:footnote>
  <w:footnote w:id="17">
    <w:p w14:paraId="30ACC271" w14:textId="77777777" w:rsidR="00A77A8C" w:rsidRDefault="00A77A8C" w:rsidP="00706947">
      <w:pPr>
        <w:pStyle w:val="FootnoteText"/>
      </w:pPr>
      <w:r w:rsidRPr="37E03600">
        <w:rPr>
          <w:rStyle w:val="FootnoteReference"/>
        </w:rPr>
        <w:footnoteRef/>
      </w:r>
      <w:r>
        <w:t xml:space="preserve"> Corina Knoll, Azi Paybarah, Jacob Mensche and Elaine Chen, </w:t>
      </w:r>
      <w:r w:rsidRPr="37E03600">
        <w:rPr>
          <w:i/>
          <w:iCs/>
        </w:rPr>
        <w:t>11 Numbers That Show How the Coronavirus Has Changes N.Y.C.</w:t>
      </w:r>
      <w:r>
        <w:t xml:space="preserve">, The New York Times, (Apr. 20, 2020) </w:t>
      </w:r>
      <w:r w:rsidRPr="37E03600">
        <w:rPr>
          <w:i/>
          <w:iCs/>
        </w:rPr>
        <w:t>available at</w:t>
      </w:r>
      <w:r>
        <w:t xml:space="preserve">  </w:t>
      </w:r>
      <w:hyperlink r:id="rId12">
        <w:r w:rsidRPr="37E03600">
          <w:rPr>
            <w:rStyle w:val="Hyperlink"/>
          </w:rPr>
          <w:t>https://www.nytimes.com/2020/04/20/nyregion/coronavirus-nyc-numbers-unemployment.html</w:t>
        </w:r>
      </w:hyperlink>
      <w:r>
        <w:t xml:space="preserve"> </w:t>
      </w:r>
      <w:r w:rsidRPr="37E03600">
        <w:rPr>
          <w:rStyle w:val="Hyperlink"/>
        </w:rPr>
        <w:t>.</w:t>
      </w:r>
    </w:p>
  </w:footnote>
  <w:footnote w:id="18">
    <w:p w14:paraId="298A4063" w14:textId="77777777" w:rsidR="00A77A8C" w:rsidRDefault="00A77A8C" w:rsidP="00706947">
      <w:pPr>
        <w:pStyle w:val="FootnoteText"/>
      </w:pPr>
      <w:r w:rsidRPr="37E03600">
        <w:rPr>
          <w:rStyle w:val="FootnoteReference"/>
        </w:rPr>
        <w:footnoteRef/>
      </w:r>
      <w:r>
        <w:t xml:space="preserve"> Hon. Lawrence Marks, Memorandum Re: Updated Protocols in light of the Coronavirus Public Health Emergency in New York State, March 15, 2020, </w:t>
      </w:r>
      <w:hyperlink r:id="rId13" w:history="1">
        <w:r w:rsidRPr="37E03600">
          <w:rPr>
            <w:rStyle w:val="Hyperlink"/>
          </w:rPr>
          <w:t>https://www.nycourts.gov/whatsnew/pdf/Updated-Protocol-AttachmentA3.pdf</w:t>
        </w:r>
      </w:hyperlink>
      <w:r>
        <w:t>.</w:t>
      </w:r>
    </w:p>
  </w:footnote>
  <w:footnote w:id="19">
    <w:p w14:paraId="4B2DBB36" w14:textId="1D9F0ABC" w:rsidR="00A77A8C" w:rsidRDefault="00A77A8C" w:rsidP="00706947">
      <w:pPr>
        <w:pStyle w:val="FootnoteText"/>
      </w:pPr>
      <w:r w:rsidRPr="37E03600">
        <w:rPr>
          <w:rStyle w:val="FootnoteReference"/>
        </w:rPr>
        <w:footnoteRef/>
      </w:r>
      <w:r>
        <w:t xml:space="preserve"> N.Y. Exec. Order No. 202.28 (May. 7, 2020) </w:t>
      </w:r>
      <w:hyperlink r:id="rId14">
        <w:r w:rsidRPr="189EE7F4">
          <w:rPr>
            <w:rStyle w:val="Hyperlink"/>
          </w:rPr>
          <w:t>https://www.governor.ny.gov/sites/governor.ny.gov/files/atoms/files/EO_202.28.pdf</w:t>
        </w:r>
      </w:hyperlink>
      <w:r>
        <w:t>.</w:t>
      </w:r>
    </w:p>
  </w:footnote>
  <w:footnote w:id="20">
    <w:p w14:paraId="64018838" w14:textId="77777777" w:rsidR="00A77A8C" w:rsidRDefault="00A77A8C" w:rsidP="00706947">
      <w:pPr>
        <w:rPr>
          <w:rFonts w:eastAsia="Times"/>
          <w:sz w:val="20"/>
          <w:szCs w:val="20"/>
        </w:rPr>
      </w:pPr>
      <w:r w:rsidRPr="37E03600">
        <w:rPr>
          <w:rStyle w:val="FootnoteReference"/>
          <w:rFonts w:eastAsia="Times"/>
          <w:sz w:val="20"/>
          <w:szCs w:val="20"/>
        </w:rPr>
        <w:footnoteRef/>
      </w:r>
      <w:r w:rsidRPr="37E03600">
        <w:rPr>
          <w:rStyle w:val="FootnoteReference"/>
          <w:rFonts w:eastAsia="Times"/>
          <w:sz w:val="20"/>
          <w:szCs w:val="20"/>
        </w:rPr>
        <w:t xml:space="preserve"> </w:t>
      </w:r>
      <w:r w:rsidRPr="37E03600">
        <w:rPr>
          <w:rFonts w:eastAsia="Times"/>
          <w:sz w:val="20"/>
          <w:szCs w:val="20"/>
        </w:rPr>
        <w:t xml:space="preserve">Coronavirus Aid, Relief, and Economic Security Act, § 4024 (Mar. 27, 2020) </w:t>
      </w:r>
      <w:hyperlink r:id="rId15">
        <w:r w:rsidRPr="37E03600">
          <w:rPr>
            <w:rStyle w:val="Hyperlink"/>
            <w:sz w:val="20"/>
            <w:szCs w:val="20"/>
          </w:rPr>
          <w:t>https://www.congress.gov/116/bills/hr748/BILLS-116hr748eas.pdf</w:t>
        </w:r>
      </w:hyperlink>
      <w:r w:rsidRPr="37E03600">
        <w:rPr>
          <w:rFonts w:eastAsia="Times"/>
          <w:sz w:val="20"/>
          <w:szCs w:val="20"/>
        </w:rPr>
        <w:t xml:space="preserve">. </w:t>
      </w:r>
    </w:p>
  </w:footnote>
  <w:footnote w:id="21">
    <w:p w14:paraId="3B8D69A9" w14:textId="77777777" w:rsidR="00A77A8C" w:rsidRDefault="00A77A8C" w:rsidP="00706947">
      <w:pPr>
        <w:pStyle w:val="FootnoteText"/>
      </w:pPr>
      <w:r w:rsidRPr="37E03600">
        <w:rPr>
          <w:rStyle w:val="FootnoteReference"/>
        </w:rPr>
        <w:footnoteRef/>
      </w:r>
      <w:r>
        <w:t xml:space="preserve"> Laurie Goodman and Dan Magder, Avoiding a COVID-19 Disaster for Renters and the Housing Market, Urban Institute Housing Policy Finance Center, April 2020, </w:t>
      </w:r>
      <w:hyperlink r:id="rId16">
        <w:r w:rsidRPr="37E03600">
          <w:rPr>
            <w:rStyle w:val="Hyperlink"/>
          </w:rPr>
          <w:t>https://www.urban.org/sites/default/files/publication/102013/avoiding-a-covid-19-disaster-for-renters-and-the-housing-market_1.pdf</w:t>
        </w:r>
      </w:hyperlink>
      <w:r>
        <w:t>.</w:t>
      </w:r>
    </w:p>
  </w:footnote>
  <w:footnote w:id="22">
    <w:p w14:paraId="2B48CB18" w14:textId="415485B6" w:rsidR="00A77A8C" w:rsidRDefault="00A77A8C" w:rsidP="00706947">
      <w:pPr>
        <w:pStyle w:val="FootnoteText"/>
      </w:pPr>
      <w:r w:rsidRPr="37E03600">
        <w:rPr>
          <w:rStyle w:val="FootnoteReference"/>
        </w:rPr>
        <w:footnoteRef/>
      </w:r>
      <w:r>
        <w:t xml:space="preserve"> Matthew Haag, New Threat to New York City: Commercial Rent Payments Plummet, NY Times, May 21, 2020, available at </w:t>
      </w:r>
      <w:hyperlink r:id="rId17" w:history="1">
        <w:r w:rsidRPr="00364A82">
          <w:rPr>
            <w:rStyle w:val="Hyperlink"/>
          </w:rPr>
          <w:t>https://www.nytimes.com/2020/05/21/nyregion/commercial-rent-NYC-coronavirus.html</w:t>
        </w:r>
      </w:hyperlink>
      <w:r>
        <w:t>.</w:t>
      </w:r>
    </w:p>
  </w:footnote>
  <w:footnote w:id="23">
    <w:p w14:paraId="23807598" w14:textId="10D90F0A" w:rsidR="00A77A8C" w:rsidRDefault="00A77A8C">
      <w:pPr>
        <w:pStyle w:val="FootnoteText"/>
      </w:pPr>
      <w:r>
        <w:rPr>
          <w:rStyle w:val="FootnoteReference"/>
        </w:rPr>
        <w:footnoteRef/>
      </w:r>
      <w:r>
        <w:t xml:space="preserve"> </w:t>
      </w:r>
      <w:r w:rsidRPr="0042546B">
        <w:t>Georgia Kromrei</w:t>
      </w:r>
      <w:r>
        <w:t xml:space="preserve">, </w:t>
      </w:r>
      <w:r w:rsidRPr="007C5C7B">
        <w:t>About 25% of NYC renters didn’t pay in May: survey</w:t>
      </w:r>
      <w:r>
        <w:t xml:space="preserve">, The Real Deal, May 19, 2020, available at </w:t>
      </w:r>
      <w:hyperlink r:id="rId18" w:history="1">
        <w:r w:rsidRPr="00364A82">
          <w:rPr>
            <w:rStyle w:val="Hyperlink"/>
          </w:rPr>
          <w:t>https://therealdeal.com/2020/05/19/about-25-of-nyc-renters-didnt-pay-in-may-survey/</w:t>
        </w:r>
      </w:hyperlink>
      <w:r>
        <w:t>.</w:t>
      </w:r>
    </w:p>
  </w:footnote>
  <w:footnote w:id="24">
    <w:p w14:paraId="59B6CFEE" w14:textId="23D422BF" w:rsidR="00A77A8C" w:rsidRDefault="00A77A8C" w:rsidP="00706947">
      <w:pPr>
        <w:pStyle w:val="FootnoteText"/>
      </w:pPr>
      <w:r w:rsidRPr="37E03600">
        <w:rPr>
          <w:rStyle w:val="FootnoteReference"/>
        </w:rPr>
        <w:footnoteRef/>
      </w:r>
      <w:r>
        <w:t xml:space="preserve"> </w:t>
      </w:r>
      <w:r w:rsidRPr="37E03600">
        <w:rPr>
          <w:i/>
          <w:iCs/>
        </w:rPr>
        <w:t>Id</w:t>
      </w:r>
      <w:r>
        <w:t>.</w:t>
      </w:r>
    </w:p>
  </w:footnote>
  <w:footnote w:id="25">
    <w:p w14:paraId="2E57CF52" w14:textId="400CB38C" w:rsidR="00A77A8C" w:rsidRDefault="00A77A8C" w:rsidP="00706947">
      <w:pPr>
        <w:pStyle w:val="FootnoteText"/>
      </w:pPr>
      <w:r>
        <w:rPr>
          <w:rStyle w:val="FootnoteReference"/>
        </w:rPr>
        <w:footnoteRef/>
      </w:r>
      <w:r>
        <w:t xml:space="preserve"> </w:t>
      </w:r>
      <w:r w:rsidRPr="006279A5">
        <w:t>Heather Long</w:t>
      </w:r>
      <w:r>
        <w:t xml:space="preserve">, </w:t>
      </w:r>
      <w:r w:rsidRPr="006279A5">
        <w:t>The next big problem for the economy: Businesses can’t pay their rent</w:t>
      </w:r>
      <w:r>
        <w:t xml:space="preserve">, Wash. Po., Jun. 4, 2020, available at </w:t>
      </w:r>
      <w:hyperlink r:id="rId19" w:history="1">
        <w:r w:rsidRPr="00364A82">
          <w:rPr>
            <w:rStyle w:val="Hyperlink"/>
          </w:rPr>
          <w:t>https://www.washingtonpost.com/business/2020/06/03/next-big-problem-businesses-cant-or-wont-pay-their-rent-its-setting-off-dangerous-chain-reaction/</w:t>
        </w:r>
      </w:hyperlink>
      <w:r>
        <w:t>.</w:t>
      </w:r>
    </w:p>
  </w:footnote>
  <w:footnote w:id="26">
    <w:p w14:paraId="5CC7F984" w14:textId="72A4965B" w:rsidR="00A77A8C" w:rsidRDefault="00A77A8C" w:rsidP="00706947">
      <w:pPr>
        <w:pStyle w:val="FootnoteText"/>
      </w:pPr>
      <w:r>
        <w:rPr>
          <w:rStyle w:val="FootnoteReference"/>
        </w:rPr>
        <w:footnoteRef/>
      </w:r>
      <w:r>
        <w:t xml:space="preserve"> </w:t>
      </w:r>
      <w:r w:rsidRPr="00772BFE">
        <w:t>Conor Dougherty and Peter Eavis, Tenants’ Troubles Put Stress on Commercial Real Estate, NY Times, June 5. 2020,</w:t>
      </w:r>
      <w:r>
        <w:t xml:space="preserve">available at </w:t>
      </w:r>
      <w:r w:rsidRPr="00772BFE">
        <w:t xml:space="preserve"> </w:t>
      </w:r>
      <w:hyperlink r:id="rId20" w:history="1">
        <w:r w:rsidRPr="00772BFE">
          <w:rPr>
            <w:rStyle w:val="Hyperlink"/>
          </w:rPr>
          <w:t>https://www.nytimes.com/2020/06/05/business/economy/coronavirus-commercial-real-estate.html</w:t>
        </w:r>
      </w:hyperlink>
    </w:p>
  </w:footnote>
  <w:footnote w:id="27">
    <w:p w14:paraId="18837F06" w14:textId="1DC6B4BD" w:rsidR="00A77A8C" w:rsidRDefault="00A77A8C" w:rsidP="00706947">
      <w:pPr>
        <w:pStyle w:val="FootnoteText"/>
      </w:pPr>
      <w:r>
        <w:rPr>
          <w:rStyle w:val="FootnoteReference"/>
        </w:rPr>
        <w:footnoteRef/>
      </w:r>
      <w:r>
        <w:t xml:space="preserve"> </w:t>
      </w:r>
      <w:r w:rsidRPr="006279A5">
        <w:t>Long</w:t>
      </w:r>
      <w:r>
        <w:t xml:space="preserve">, </w:t>
      </w:r>
      <w:r w:rsidRPr="00F0159A">
        <w:rPr>
          <w:i/>
          <w:iCs/>
        </w:rPr>
        <w:t>supra</w:t>
      </w:r>
      <w:r>
        <w:t xml:space="preserve"> note 26.</w:t>
      </w:r>
    </w:p>
  </w:footnote>
  <w:footnote w:id="28">
    <w:p w14:paraId="501B9137" w14:textId="6A9239E1" w:rsidR="00A77A8C" w:rsidRDefault="00A77A8C" w:rsidP="00706947">
      <w:pPr>
        <w:pStyle w:val="FootnoteText"/>
      </w:pPr>
      <w:r>
        <w:rPr>
          <w:rStyle w:val="FootnoteReference"/>
        </w:rPr>
        <w:footnoteRef/>
      </w:r>
      <w:r>
        <w:t xml:space="preserve"> </w:t>
      </w:r>
      <w:r w:rsidRPr="006279A5">
        <w:t>Long</w:t>
      </w:r>
      <w:r>
        <w:t xml:space="preserve">, </w:t>
      </w:r>
      <w:r w:rsidRPr="00F0159A">
        <w:rPr>
          <w:i/>
          <w:iCs/>
        </w:rPr>
        <w:t>supra</w:t>
      </w:r>
      <w:r>
        <w:t xml:space="preserve"> note 26.</w:t>
      </w:r>
    </w:p>
  </w:footnote>
  <w:footnote w:id="29">
    <w:p w14:paraId="6D2292F2" w14:textId="0D26C58D" w:rsidR="00A77A8C" w:rsidRDefault="00A77A8C" w:rsidP="00706947">
      <w:pPr>
        <w:pStyle w:val="FootnoteText"/>
      </w:pPr>
      <w:r>
        <w:rPr>
          <w:rStyle w:val="FootnoteReference"/>
        </w:rPr>
        <w:footnoteRef/>
      </w:r>
      <w:r>
        <w:t xml:space="preserve"> </w:t>
      </w:r>
      <w:r w:rsidRPr="006279A5">
        <w:t>Long</w:t>
      </w:r>
      <w:r>
        <w:t xml:space="preserve">, </w:t>
      </w:r>
      <w:r w:rsidRPr="00102527">
        <w:rPr>
          <w:i/>
          <w:iCs/>
        </w:rPr>
        <w:t>supra</w:t>
      </w:r>
      <w:r>
        <w:t xml:space="preserve"> note 26.</w:t>
      </w:r>
    </w:p>
  </w:footnote>
  <w:footnote w:id="30">
    <w:p w14:paraId="1845A1AE" w14:textId="77777777" w:rsidR="00A77A8C" w:rsidRDefault="00A77A8C" w:rsidP="00706947">
      <w:pPr>
        <w:pStyle w:val="FootnoteText"/>
      </w:pPr>
      <w:r w:rsidRPr="37E03600">
        <w:rPr>
          <w:rStyle w:val="FootnoteReference"/>
        </w:rPr>
        <w:footnoteRef/>
      </w:r>
      <w:r>
        <w:t xml:space="preserve"> Res 0889-2019.</w:t>
      </w:r>
    </w:p>
  </w:footnote>
  <w:footnote w:id="31">
    <w:p w14:paraId="42584004" w14:textId="77777777" w:rsidR="00A77A8C" w:rsidRDefault="00A77A8C" w:rsidP="00706947">
      <w:pPr>
        <w:pStyle w:val="FootnoteText"/>
      </w:pPr>
      <w:r w:rsidRPr="37E03600">
        <w:rPr>
          <w:rStyle w:val="FootnoteReference"/>
        </w:rPr>
        <w:footnoteRef/>
      </w:r>
      <w:r>
        <w:t xml:space="preserve"> Res 0890-2019.</w:t>
      </w:r>
    </w:p>
  </w:footnote>
  <w:footnote w:id="32">
    <w:p w14:paraId="120390B9" w14:textId="77777777" w:rsidR="00A77A8C" w:rsidRPr="00475965" w:rsidRDefault="00A77A8C" w:rsidP="004B34B3">
      <w:pPr>
        <w:pStyle w:val="Heading1"/>
        <w:spacing w:before="0"/>
        <w:rPr>
          <w:rFonts w:ascii="Times New Roman" w:hAnsi="Times New Roman"/>
        </w:rPr>
      </w:pPr>
      <w:r w:rsidRPr="00475965">
        <w:rPr>
          <w:rStyle w:val="FootnoteReference"/>
          <w:rFonts w:ascii="Times New Roman" w:eastAsia="Times New Roman" w:hAnsi="Times New Roman"/>
          <w:color w:val="000000" w:themeColor="text1"/>
          <w:sz w:val="20"/>
          <w:szCs w:val="20"/>
        </w:rPr>
        <w:footnoteRef/>
      </w:r>
      <w:r w:rsidRPr="00475965">
        <w:rPr>
          <w:rFonts w:ascii="Times New Roman" w:eastAsia="Times New Roman" w:hAnsi="Times New Roman"/>
          <w:color w:val="000000" w:themeColor="text1"/>
          <w:sz w:val="20"/>
          <w:szCs w:val="20"/>
        </w:rPr>
        <w:t xml:space="preserve"> </w:t>
      </w:r>
      <w:r w:rsidRPr="00475965">
        <w:rPr>
          <w:rFonts w:ascii="Times New Roman" w:eastAsia="Times New Roman" w:hAnsi="Times New Roman"/>
          <w:i/>
          <w:iCs/>
          <w:color w:val="000000" w:themeColor="text1"/>
          <w:sz w:val="20"/>
          <w:szCs w:val="20"/>
        </w:rPr>
        <w:t xml:space="preserve">See </w:t>
      </w:r>
      <w:r w:rsidRPr="00475965">
        <w:rPr>
          <w:rFonts w:ascii="Times New Roman" w:eastAsia="Times New Roman" w:hAnsi="Times New Roman"/>
          <w:color w:val="000000" w:themeColor="text1"/>
          <w:sz w:val="20"/>
          <w:szCs w:val="20"/>
        </w:rPr>
        <w:t xml:space="preserve">Coronavirus Preparedness and Response Supplemental Appropriations Act, 2020, Public Law No. 116-123, available at </w:t>
      </w:r>
      <w:hyperlink r:id="rId21" w:history="1">
        <w:r w:rsidRPr="00475965">
          <w:rPr>
            <w:rStyle w:val="Hyperlink"/>
            <w:rFonts w:ascii="Times New Roman" w:eastAsia="Times New Roman" w:hAnsi="Times New Roman"/>
            <w:color w:val="000000" w:themeColor="text1"/>
            <w:sz w:val="20"/>
            <w:szCs w:val="20"/>
          </w:rPr>
          <w:t>https://www.congress.gov/bill/116th-congress/house-bill/6074</w:t>
        </w:r>
      </w:hyperlink>
      <w:r w:rsidRPr="00475965">
        <w:rPr>
          <w:rFonts w:ascii="Times New Roman" w:eastAsia="Times New Roman" w:hAnsi="Times New Roman"/>
          <w:color w:val="000000" w:themeColor="text1"/>
          <w:sz w:val="20"/>
          <w:szCs w:val="20"/>
        </w:rPr>
        <w:t xml:space="preserve"> (last accessed on April 2, 2020). </w:t>
      </w:r>
    </w:p>
  </w:footnote>
  <w:footnote w:id="33">
    <w:p w14:paraId="10118E03" w14:textId="02759B8F" w:rsidR="00A77A8C" w:rsidRDefault="00A77A8C" w:rsidP="7860631B">
      <w:pPr>
        <w:pStyle w:val="FootnoteText"/>
      </w:pPr>
      <w:r w:rsidRPr="7860631B">
        <w:rPr>
          <w:rStyle w:val="FootnoteReference"/>
          <w:color w:val="000000" w:themeColor="text1"/>
        </w:rPr>
        <w:footnoteRef/>
      </w:r>
      <w:r w:rsidRPr="7860631B">
        <w:rPr>
          <w:color w:val="000000" w:themeColor="text1"/>
        </w:rPr>
        <w:t xml:space="preserve"> </w:t>
      </w:r>
      <w:r w:rsidRPr="7860631B">
        <w:rPr>
          <w:i/>
          <w:iCs/>
        </w:rPr>
        <w:t xml:space="preserve">See </w:t>
      </w:r>
      <w:r w:rsidRPr="7860631B">
        <w:t xml:space="preserve">Kaiser Family Foundation, Stephanie Oum, Adam Wexler and Jennifer Kates, </w:t>
      </w:r>
      <w:r w:rsidRPr="7860631B">
        <w:rPr>
          <w:i/>
          <w:iCs/>
        </w:rPr>
        <w:t xml:space="preserve">Summary of the Coronavirus Preparedness and Response Supplemental Appropriations Act, 2020, </w:t>
      </w:r>
      <w:r w:rsidRPr="7860631B">
        <w:t xml:space="preserve">available at </w:t>
      </w:r>
      <w:hyperlink r:id="rId22">
        <w:r w:rsidRPr="7860631B">
          <w:rPr>
            <w:rStyle w:val="Hyperlink"/>
            <w:color w:val="000000" w:themeColor="text1"/>
          </w:rPr>
          <w:t>https://www.kff.org/global-health-policy/issue-brief/the-u-s-response-to-coronavirus-summary-of-the-coronavirus-preparedness-and-response-supplemental-appropriations-act-2020/</w:t>
        </w:r>
      </w:hyperlink>
      <w:r w:rsidRPr="7860631B">
        <w:t xml:space="preserve"> (last accessed on April 2, 2020).</w:t>
      </w:r>
    </w:p>
  </w:footnote>
  <w:footnote w:id="34">
    <w:p w14:paraId="0C81CDF4" w14:textId="77777777" w:rsidR="00A77A8C" w:rsidRDefault="00A77A8C" w:rsidP="004B34B3">
      <w:pPr>
        <w:pStyle w:val="FootnoteText"/>
      </w:pPr>
      <w:r w:rsidRPr="00400C90">
        <w:rPr>
          <w:rStyle w:val="FootnoteReference"/>
          <w:color w:val="000000" w:themeColor="text1"/>
        </w:rPr>
        <w:footnoteRef/>
      </w:r>
      <w:r w:rsidRPr="00400C90">
        <w:rPr>
          <w:color w:val="000000" w:themeColor="text1"/>
        </w:rPr>
        <w:t xml:space="preserve"> </w:t>
      </w:r>
      <w:r w:rsidRPr="6BC6A070">
        <w:rPr>
          <w:i/>
          <w:color w:val="000000" w:themeColor="text1"/>
        </w:rPr>
        <w:t>See id.</w:t>
      </w:r>
    </w:p>
  </w:footnote>
  <w:footnote w:id="35">
    <w:p w14:paraId="6AC6BA57" w14:textId="77777777" w:rsidR="00A77A8C" w:rsidRDefault="00A77A8C" w:rsidP="004B34B3">
      <w:pPr>
        <w:pStyle w:val="FootnoteText"/>
      </w:pPr>
      <w:r w:rsidRPr="00400C90">
        <w:rPr>
          <w:rStyle w:val="FootnoteReference"/>
          <w:color w:val="000000" w:themeColor="text1"/>
        </w:rPr>
        <w:footnoteRef/>
      </w:r>
      <w:r w:rsidRPr="00400C90">
        <w:rPr>
          <w:color w:val="000000" w:themeColor="text1"/>
        </w:rPr>
        <w:t xml:space="preserve"> United States Senator for New York, Charles E. Schumer, </w:t>
      </w:r>
      <w:r w:rsidRPr="6BC6A070">
        <w:rPr>
          <w:i/>
          <w:color w:val="000000" w:themeColor="text1"/>
        </w:rPr>
        <w:t>Coronavirus, COVID-19: What’s Being Done</w:t>
      </w:r>
      <w:r w:rsidRPr="00400C90">
        <w:rPr>
          <w:color w:val="000000" w:themeColor="text1"/>
        </w:rPr>
        <w:t xml:space="preserve">, available at </w:t>
      </w:r>
      <w:hyperlink r:id="rId23">
        <w:r w:rsidRPr="00400C90">
          <w:rPr>
            <w:rStyle w:val="Hyperlink"/>
            <w:color w:val="000000" w:themeColor="text1"/>
          </w:rPr>
          <w:t>https://www.schumer.senate.gov/coronavirus/whats-being-done</w:t>
        </w:r>
      </w:hyperlink>
      <w:r w:rsidRPr="00400C90">
        <w:rPr>
          <w:color w:val="000000" w:themeColor="text1"/>
        </w:rPr>
        <w:t xml:space="preserve"> (last accessed on April 7, 2020). </w:t>
      </w:r>
    </w:p>
  </w:footnote>
  <w:footnote w:id="36">
    <w:p w14:paraId="3BFEE301" w14:textId="77777777" w:rsidR="00A77A8C" w:rsidRDefault="00A77A8C" w:rsidP="004B34B3">
      <w:pPr>
        <w:pStyle w:val="Heading3"/>
      </w:pPr>
      <w:r w:rsidRPr="00400C90">
        <w:rPr>
          <w:rStyle w:val="FootnoteReference"/>
          <w:rFonts w:ascii="Times New Roman" w:eastAsia="Times New Roman" w:hAnsi="Times New Roman"/>
          <w:color w:val="000000" w:themeColor="text1"/>
          <w:sz w:val="20"/>
          <w:szCs w:val="20"/>
        </w:rPr>
        <w:footnoteRef/>
      </w:r>
      <w:r w:rsidRPr="00400C90">
        <w:rPr>
          <w:rFonts w:ascii="Times New Roman" w:eastAsia="Times New Roman" w:hAnsi="Times New Roman"/>
          <w:color w:val="000000" w:themeColor="text1"/>
          <w:sz w:val="20"/>
          <w:szCs w:val="20"/>
        </w:rPr>
        <w:t xml:space="preserve"> </w:t>
      </w:r>
      <w:r w:rsidRPr="6BC6A070">
        <w:rPr>
          <w:rFonts w:ascii="Times New Roman" w:eastAsia="Times New Roman" w:hAnsi="Times New Roman"/>
          <w:i/>
          <w:iCs/>
          <w:color w:val="000000" w:themeColor="text1"/>
          <w:sz w:val="20"/>
          <w:szCs w:val="20"/>
        </w:rPr>
        <w:t xml:space="preserve">See </w:t>
      </w:r>
      <w:r w:rsidRPr="00400C90">
        <w:rPr>
          <w:rFonts w:ascii="Times New Roman" w:eastAsia="Times New Roman" w:hAnsi="Times New Roman"/>
          <w:color w:val="000000" w:themeColor="text1"/>
          <w:sz w:val="20"/>
          <w:szCs w:val="20"/>
        </w:rPr>
        <w:t xml:space="preserve">Families First Coronavirus Response Act, Public Law No: 116-127, available at </w:t>
      </w:r>
      <w:hyperlink r:id="rId24">
        <w:r w:rsidRPr="00400C90">
          <w:rPr>
            <w:rStyle w:val="Hyperlink"/>
            <w:rFonts w:ascii="Times New Roman" w:eastAsia="Times New Roman" w:hAnsi="Times New Roman"/>
            <w:color w:val="000000" w:themeColor="text1"/>
            <w:sz w:val="20"/>
            <w:szCs w:val="20"/>
          </w:rPr>
          <w:t>https://www.congress.gov/bill/116th-congress/house-bill/6201?q=%7B%22search%22%3A%5B%22Families+First+Coronavirus+Response+Act+%28H.R.+6201%29%22%5D%7D&amp;s=1&amp;r=2</w:t>
        </w:r>
      </w:hyperlink>
      <w:r w:rsidRPr="00400C90">
        <w:rPr>
          <w:rFonts w:ascii="Times New Roman" w:eastAsia="Times New Roman" w:hAnsi="Times New Roman"/>
          <w:color w:val="000000" w:themeColor="text1"/>
          <w:sz w:val="20"/>
          <w:szCs w:val="20"/>
        </w:rPr>
        <w:t xml:space="preserve"> (last accessed on April 2, 2020).</w:t>
      </w:r>
    </w:p>
  </w:footnote>
  <w:footnote w:id="37">
    <w:p w14:paraId="3C577B2D" w14:textId="77777777" w:rsidR="00A77A8C" w:rsidRDefault="00A77A8C" w:rsidP="004B34B3">
      <w:pPr>
        <w:pStyle w:val="FootnoteText"/>
      </w:pPr>
      <w:r w:rsidRPr="00400C90">
        <w:rPr>
          <w:rStyle w:val="FootnoteReference"/>
          <w:color w:val="000000" w:themeColor="text1"/>
        </w:rPr>
        <w:footnoteRef/>
      </w:r>
      <w:r w:rsidRPr="00400C90">
        <w:rPr>
          <w:color w:val="000000" w:themeColor="text1"/>
        </w:rPr>
        <w:t xml:space="preserve"> </w:t>
      </w:r>
      <w:r w:rsidRPr="6BC6A070">
        <w:rPr>
          <w:i/>
          <w:color w:val="000000" w:themeColor="text1"/>
        </w:rPr>
        <w:t xml:space="preserve">See id. </w:t>
      </w:r>
    </w:p>
  </w:footnote>
  <w:footnote w:id="38">
    <w:p w14:paraId="031D30B6" w14:textId="77777777" w:rsidR="00A77A8C" w:rsidRPr="00392F78" w:rsidRDefault="00A77A8C" w:rsidP="004B34B3">
      <w:pPr>
        <w:rPr>
          <w:sz w:val="20"/>
          <w:szCs w:val="20"/>
        </w:rPr>
      </w:pPr>
      <w:r w:rsidRPr="00392F78">
        <w:rPr>
          <w:rStyle w:val="FootnoteReference"/>
          <w:color w:val="000000" w:themeColor="text1"/>
          <w:sz w:val="20"/>
          <w:szCs w:val="20"/>
        </w:rPr>
        <w:footnoteRef/>
      </w:r>
      <w:r w:rsidRPr="00392F78">
        <w:rPr>
          <w:color w:val="000000" w:themeColor="text1"/>
          <w:sz w:val="20"/>
          <w:szCs w:val="20"/>
        </w:rPr>
        <w:t xml:space="preserve"> </w:t>
      </w:r>
      <w:r w:rsidRPr="00392F78">
        <w:rPr>
          <w:i/>
          <w:iCs/>
          <w:color w:val="000000" w:themeColor="text1"/>
          <w:sz w:val="20"/>
          <w:szCs w:val="20"/>
        </w:rPr>
        <w:t xml:space="preserve">See </w:t>
      </w:r>
      <w:r w:rsidRPr="00392F78">
        <w:rPr>
          <w:color w:val="000000" w:themeColor="text1"/>
          <w:sz w:val="20"/>
          <w:szCs w:val="20"/>
        </w:rPr>
        <w:t xml:space="preserve">United States Senator for New York, Charles E. Schumer, AFTER SCHUMER’S SUCCESSFUL PUSH TO INCLUDE NY-SPECIFIC MEASURES INTO FIRST-OF-ITS-KIND CORONAVIRUS BILL, SENATE PASSES FMAP LEGISLATION, UNLOCKING OVER $6 BILLION FOR NYS – THE MOST OF ANY STATE –AND MILLIONS FOR COUNTIES, TO SUPPORT NY’S FIGHT TO CONTAIN CORONAVIRUS SPREAD &amp; COVER MOUNTING LOCAL COSTS (March 18, 2020), available at </w:t>
      </w:r>
      <w:hyperlink r:id="rId25">
        <w:r w:rsidRPr="00392F78">
          <w:rPr>
            <w:rStyle w:val="Hyperlink"/>
            <w:color w:val="000000" w:themeColor="text1"/>
            <w:sz w:val="20"/>
            <w:szCs w:val="20"/>
          </w:rPr>
          <w:t>https://www.schumer.senate.gov/newsroom/press-releases/after-schumers-successful-push-to-include-ny-specific-measures-into-first-of-its-kind-coronavirus-bill-senate-passes-fmap-legislation-unlocking-over-6-billion-for-nys_the-most-of-any-state-and-millions-for-counties-to-support-nys-fight-to-contain-coronavirus-spread-and-cover-mounting-local-costs</w:t>
        </w:r>
      </w:hyperlink>
      <w:r w:rsidRPr="00392F78">
        <w:rPr>
          <w:color w:val="000000" w:themeColor="text1"/>
          <w:sz w:val="20"/>
          <w:szCs w:val="20"/>
        </w:rPr>
        <w:t xml:space="preserve"> (last accessed on April 6, 2020).</w:t>
      </w:r>
    </w:p>
  </w:footnote>
  <w:footnote w:id="39">
    <w:p w14:paraId="11E274E9" w14:textId="77777777" w:rsidR="00A77A8C" w:rsidRPr="00392F78" w:rsidRDefault="00A77A8C" w:rsidP="004B34B3">
      <w:pPr>
        <w:rPr>
          <w:sz w:val="20"/>
          <w:szCs w:val="20"/>
        </w:rPr>
      </w:pPr>
      <w:r w:rsidRPr="00392F78">
        <w:rPr>
          <w:rStyle w:val="FootnoteReference"/>
          <w:color w:val="000000" w:themeColor="text1"/>
          <w:sz w:val="20"/>
          <w:szCs w:val="20"/>
        </w:rPr>
        <w:footnoteRef/>
      </w:r>
      <w:r w:rsidRPr="00392F78">
        <w:rPr>
          <w:color w:val="000000" w:themeColor="text1"/>
          <w:sz w:val="20"/>
          <w:szCs w:val="20"/>
        </w:rPr>
        <w:t xml:space="preserve"> </w:t>
      </w:r>
      <w:r w:rsidRPr="00392F78">
        <w:rPr>
          <w:i/>
          <w:iCs/>
          <w:color w:val="000000" w:themeColor="text1"/>
          <w:sz w:val="20"/>
          <w:szCs w:val="20"/>
        </w:rPr>
        <w:t>See</w:t>
      </w:r>
      <w:r w:rsidRPr="00392F78">
        <w:rPr>
          <w:color w:val="000000" w:themeColor="text1"/>
          <w:sz w:val="20"/>
          <w:szCs w:val="20"/>
        </w:rPr>
        <w:t xml:space="preserve"> U.S. Department of Health and Human Services, Office of the  Assistant Secretary for Planning and Evaluation, FEDERAL MEDICAL ASSISTANCE PERCENTAGES OR FEDERAL FINANCIAL PARTICIPATION IN STATE ASSISTANCE EXPENDITURES </w:t>
      </w:r>
      <w:r w:rsidRPr="00392F78">
        <w:rPr>
          <w:color w:val="000000" w:themeColor="text1"/>
          <w:sz w:val="20"/>
          <w:szCs w:val="20"/>
        </w:rPr>
        <w:br/>
        <w:t xml:space="preserve">FMAP (March 1, 2015), available at </w:t>
      </w:r>
      <w:hyperlink r:id="rId26">
        <w:r w:rsidRPr="00392F78">
          <w:rPr>
            <w:rStyle w:val="Hyperlink"/>
            <w:color w:val="000000" w:themeColor="text1"/>
            <w:sz w:val="20"/>
            <w:szCs w:val="20"/>
          </w:rPr>
          <w:t>https://aspe.hhs.gov/federal-medical-assistance-percentages-or-federal-financial-participation-state-assistance-expenditures</w:t>
        </w:r>
      </w:hyperlink>
      <w:r w:rsidRPr="00392F78">
        <w:rPr>
          <w:color w:val="000000" w:themeColor="text1"/>
          <w:sz w:val="20"/>
          <w:szCs w:val="20"/>
        </w:rPr>
        <w:t xml:space="preserve"> (last accessed on April 7, 2020).</w:t>
      </w:r>
    </w:p>
  </w:footnote>
  <w:footnote w:id="40">
    <w:p w14:paraId="605BF1A2" w14:textId="77777777" w:rsidR="00A77A8C" w:rsidRPr="006560D8" w:rsidRDefault="00A77A8C" w:rsidP="006560D8">
      <w:pPr>
        <w:pStyle w:val="FootnoteText"/>
      </w:pPr>
      <w:r w:rsidRPr="00392F78">
        <w:rPr>
          <w:rStyle w:val="FootnoteReference"/>
          <w:color w:val="000000" w:themeColor="text1"/>
        </w:rPr>
        <w:footnoteRef/>
      </w:r>
      <w:r w:rsidRPr="485D2616">
        <w:rPr>
          <w:color w:val="000000" w:themeColor="text1"/>
        </w:rPr>
        <w:t xml:space="preserve"> </w:t>
      </w:r>
      <w:r w:rsidRPr="37E03600">
        <w:rPr>
          <w:i/>
          <w:iCs/>
        </w:rPr>
        <w:t xml:space="preserve">See </w:t>
      </w:r>
      <w:r w:rsidRPr="485D2616">
        <w:t xml:space="preserve">Kaiser Family Foundation, Federal Medical Assistance Percentage (FMAP) for Medicaid and Multiplier, available at </w:t>
      </w:r>
      <w:hyperlink r:id="rId27" w:history="1">
        <w:r w:rsidRPr="006560D8">
          <w:rPr>
            <w:rStyle w:val="Hyperlink"/>
          </w:rPr>
          <w:t>https://www.kff.org/medicaid/state-indicator/federal-matching-rate-and-multiplier</w:t>
        </w:r>
      </w:hyperlink>
    </w:p>
    <w:p w14:paraId="37ABCA5E" w14:textId="5E89CFDD" w:rsidR="00A77A8C" w:rsidRPr="00392F78" w:rsidRDefault="00A77A8C" w:rsidP="004B34B3">
      <w:pPr>
        <w:pStyle w:val="FootnoteText"/>
      </w:pPr>
      <w:r w:rsidRPr="485D2616">
        <w:t>(last accessed on April 7, 2020).</w:t>
      </w:r>
    </w:p>
  </w:footnote>
  <w:footnote w:id="41">
    <w:p w14:paraId="547F39B6" w14:textId="77777777" w:rsidR="00A77A8C" w:rsidRPr="00392F78" w:rsidRDefault="00A77A8C" w:rsidP="004B34B3">
      <w:pPr>
        <w:pStyle w:val="FootnoteText"/>
      </w:pPr>
      <w:r w:rsidRPr="00392F78">
        <w:rPr>
          <w:rStyle w:val="FootnoteReference"/>
          <w:color w:val="000000" w:themeColor="text1"/>
        </w:rPr>
        <w:footnoteRef/>
      </w:r>
      <w:r w:rsidRPr="00392F78">
        <w:rPr>
          <w:color w:val="000000" w:themeColor="text1"/>
        </w:rPr>
        <w:t xml:space="preserve"> </w:t>
      </w:r>
      <w:r w:rsidRPr="00392F78">
        <w:rPr>
          <w:i/>
          <w:color w:val="000000" w:themeColor="text1"/>
        </w:rPr>
        <w:t>See id.</w:t>
      </w:r>
    </w:p>
  </w:footnote>
  <w:footnote w:id="42">
    <w:p w14:paraId="4DECA158" w14:textId="77777777" w:rsidR="00A77A8C" w:rsidRPr="00AC747B" w:rsidRDefault="00A77A8C" w:rsidP="004B34B3">
      <w:pPr>
        <w:rPr>
          <w:sz w:val="20"/>
          <w:szCs w:val="20"/>
        </w:rPr>
      </w:pPr>
      <w:r w:rsidRPr="00AC747B">
        <w:rPr>
          <w:rStyle w:val="FootnoteReference"/>
          <w:color w:val="000000" w:themeColor="text1"/>
          <w:sz w:val="20"/>
          <w:szCs w:val="20"/>
        </w:rPr>
        <w:footnoteRef/>
      </w:r>
      <w:r w:rsidRPr="00AC747B">
        <w:rPr>
          <w:color w:val="000000" w:themeColor="text1"/>
          <w:sz w:val="20"/>
          <w:szCs w:val="20"/>
        </w:rPr>
        <w:t xml:space="preserve"> </w:t>
      </w:r>
      <w:r w:rsidRPr="00AC747B">
        <w:rPr>
          <w:i/>
          <w:iCs/>
          <w:color w:val="000000" w:themeColor="text1"/>
          <w:sz w:val="20"/>
          <w:szCs w:val="20"/>
        </w:rPr>
        <w:t>See</w:t>
      </w:r>
      <w:r w:rsidRPr="00AC747B">
        <w:rPr>
          <w:color w:val="000000" w:themeColor="text1"/>
          <w:sz w:val="20"/>
          <w:szCs w:val="20"/>
        </w:rPr>
        <w:t xml:space="preserve"> Coronavirus Aid, Relief, and Economic Security Act or the CARES Act, Public Law No. 116-136, available at   </w:t>
      </w:r>
      <w:hyperlink r:id="rId28" w:history="1">
        <w:r w:rsidRPr="00AC747B">
          <w:rPr>
            <w:rStyle w:val="Hyperlink"/>
            <w:sz w:val="20"/>
            <w:szCs w:val="20"/>
          </w:rPr>
          <w:t>https://www.congress.gov/bill/116th-congress/house-bill/748/text?loclr=bloglaw</w:t>
        </w:r>
      </w:hyperlink>
      <w:r w:rsidRPr="00AC747B">
        <w:rPr>
          <w:color w:val="000000" w:themeColor="text1"/>
          <w:sz w:val="20"/>
          <w:szCs w:val="20"/>
        </w:rPr>
        <w:t xml:space="preserve"> (last accessed on April 10, 2020). </w:t>
      </w:r>
    </w:p>
  </w:footnote>
  <w:footnote w:id="43">
    <w:p w14:paraId="09F69832" w14:textId="77777777" w:rsidR="00A77A8C" w:rsidRDefault="00A77A8C" w:rsidP="004B34B3">
      <w:pPr>
        <w:rPr>
          <w:sz w:val="20"/>
          <w:szCs w:val="20"/>
        </w:rPr>
      </w:pPr>
      <w:r w:rsidRPr="0F604557">
        <w:rPr>
          <w:rStyle w:val="FootnoteReference"/>
          <w:sz w:val="20"/>
          <w:szCs w:val="20"/>
        </w:rPr>
        <w:footnoteRef/>
      </w:r>
      <w:r w:rsidRPr="0F604557">
        <w:rPr>
          <w:sz w:val="20"/>
          <w:szCs w:val="20"/>
        </w:rPr>
        <w:t xml:space="preserve"> </w:t>
      </w:r>
      <w:r w:rsidRPr="37E03600">
        <w:rPr>
          <w:i/>
          <w:iCs/>
          <w:sz w:val="20"/>
          <w:szCs w:val="20"/>
        </w:rPr>
        <w:t>See</w:t>
      </w:r>
      <w:r w:rsidRPr="0F604557">
        <w:rPr>
          <w:sz w:val="20"/>
          <w:szCs w:val="20"/>
        </w:rPr>
        <w:t xml:space="preserve"> National Conference of State Legislatures, </w:t>
      </w:r>
      <w:r w:rsidRPr="37E03600">
        <w:rPr>
          <w:i/>
          <w:iCs/>
          <w:sz w:val="20"/>
          <w:szCs w:val="20"/>
        </w:rPr>
        <w:t>COVID-19 Stimulus Bill: What It Means for States</w:t>
      </w:r>
      <w:r w:rsidRPr="0F604557">
        <w:rPr>
          <w:sz w:val="20"/>
          <w:szCs w:val="20"/>
        </w:rPr>
        <w:t>, available at</w:t>
      </w:r>
      <w:r>
        <w:rPr>
          <w:sz w:val="20"/>
          <w:szCs w:val="20"/>
        </w:rPr>
        <w:t xml:space="preserve"> </w:t>
      </w:r>
      <w:hyperlink r:id="rId29" w:history="1">
        <w:r w:rsidRPr="00142C39">
          <w:rPr>
            <w:rStyle w:val="Hyperlink"/>
            <w:sz w:val="20"/>
            <w:szCs w:val="20"/>
          </w:rPr>
          <w:t>https://www.ncsl.org/Portals/1/Documents/statefed/COVID-19-Stimulus-Bill_3-27-20.pdf</w:t>
        </w:r>
      </w:hyperlink>
      <w:r>
        <w:rPr>
          <w:sz w:val="20"/>
          <w:szCs w:val="20"/>
        </w:rPr>
        <w:t xml:space="preserve"> </w:t>
      </w:r>
      <w:r w:rsidRPr="0F604557">
        <w:rPr>
          <w:sz w:val="20"/>
          <w:szCs w:val="20"/>
        </w:rPr>
        <w:t>(last accessed on April 2, 2020).</w:t>
      </w:r>
    </w:p>
  </w:footnote>
  <w:footnote w:id="44">
    <w:p w14:paraId="543966DE" w14:textId="77777777" w:rsidR="00A77A8C" w:rsidRDefault="00A77A8C" w:rsidP="004B34B3">
      <w:pPr>
        <w:rPr>
          <w:sz w:val="20"/>
          <w:szCs w:val="20"/>
        </w:rPr>
      </w:pPr>
      <w:r w:rsidRPr="39CBCDEE">
        <w:rPr>
          <w:rStyle w:val="FootnoteReference"/>
          <w:sz w:val="20"/>
          <w:szCs w:val="20"/>
        </w:rPr>
        <w:footnoteRef/>
      </w:r>
      <w:r w:rsidRPr="39CBCDEE">
        <w:rPr>
          <w:sz w:val="20"/>
          <w:szCs w:val="20"/>
        </w:rPr>
        <w:t xml:space="preserve"> </w:t>
      </w:r>
      <w:r w:rsidRPr="39CBCDEE">
        <w:rPr>
          <w:i/>
          <w:sz w:val="20"/>
          <w:szCs w:val="20"/>
        </w:rPr>
        <w:t xml:space="preserve">See id. </w:t>
      </w:r>
    </w:p>
  </w:footnote>
  <w:footnote w:id="45">
    <w:p w14:paraId="392C2F09" w14:textId="77777777" w:rsidR="00A77A8C" w:rsidRDefault="00A77A8C" w:rsidP="004B34B3">
      <w:pPr>
        <w:rPr>
          <w:sz w:val="20"/>
          <w:szCs w:val="20"/>
        </w:rPr>
      </w:pPr>
      <w:r w:rsidRPr="36408E43">
        <w:rPr>
          <w:rStyle w:val="FootnoteReference"/>
          <w:sz w:val="20"/>
          <w:szCs w:val="20"/>
        </w:rPr>
        <w:footnoteRef/>
      </w:r>
      <w:r w:rsidRPr="36408E43">
        <w:rPr>
          <w:sz w:val="20"/>
          <w:szCs w:val="20"/>
        </w:rPr>
        <w:t xml:space="preserve"> </w:t>
      </w:r>
      <w:r w:rsidRPr="1E099DEA">
        <w:rPr>
          <w:i/>
          <w:sz w:val="20"/>
          <w:szCs w:val="20"/>
        </w:rPr>
        <w:t xml:space="preserve">See id. </w:t>
      </w:r>
    </w:p>
  </w:footnote>
  <w:footnote w:id="46">
    <w:p w14:paraId="6F1544AF" w14:textId="77777777" w:rsidR="00A77A8C" w:rsidRDefault="00A77A8C" w:rsidP="004B34B3">
      <w:pPr>
        <w:rPr>
          <w:color w:val="0000FF"/>
          <w:sz w:val="20"/>
          <w:szCs w:val="20"/>
          <w:u w:val="single"/>
        </w:rPr>
      </w:pPr>
      <w:r w:rsidRPr="23C08196">
        <w:rPr>
          <w:rStyle w:val="FootnoteReference"/>
        </w:rPr>
        <w:footnoteRef/>
      </w:r>
      <w:r>
        <w:t xml:space="preserve"> </w:t>
      </w:r>
      <w:r w:rsidRPr="37E03600">
        <w:rPr>
          <w:i/>
          <w:iCs/>
          <w:sz w:val="20"/>
          <w:szCs w:val="20"/>
        </w:rPr>
        <w:t xml:space="preserve">See </w:t>
      </w:r>
      <w:r w:rsidRPr="0F604557">
        <w:rPr>
          <w:sz w:val="20"/>
          <w:szCs w:val="20"/>
        </w:rPr>
        <w:t xml:space="preserve">United States Senator for New York, Charles E. Schumer, WITH SENATE PASSAGE OF “CORONA 3” EMERGENCY LEGISLATION, SCHUMER DELIVERS $40 BILLION+ TO NEW YORK &amp; ITS CITIZENS; SENATOR SAYS FINAL DEAL PUTS WORKERS &amp; FAMILIES FIRST, WHILE SUPPORTING PUBLIC HEALTH EFFORTS &amp; INSTITUTIONS VITAL TO COMBATING THE VIRUS (March 25, 2020), available at  </w:t>
      </w:r>
      <w:r w:rsidRPr="0F604557">
        <w:rPr>
          <w:color w:val="0000FF"/>
          <w:sz w:val="20"/>
          <w:szCs w:val="20"/>
          <w:u w:val="single"/>
        </w:rPr>
        <w:t>https://www.schumer.senate.gov/newsroom/press-releases/with-senate-passage-of-corona-3-emergency-legislation-schumer-delivers-40-billion-to-new-york-and-its-citizens-senator-says-final-deal-puts-workers_families-first-while-supporting-public-health-efforts--institutions-vital-to-combating-the-virus (last accessed on April 6, 2020)</w:t>
      </w:r>
    </w:p>
    <w:p w14:paraId="1DF8D44E" w14:textId="77777777" w:rsidR="00A77A8C" w:rsidRDefault="00A77A8C" w:rsidP="004B34B3">
      <w:pPr>
        <w:rPr>
          <w:color w:val="0000FF"/>
          <w:sz w:val="20"/>
          <w:szCs w:val="20"/>
          <w:u w:val="single"/>
        </w:rPr>
      </w:pPr>
    </w:p>
    <w:p w14:paraId="6DF56902" w14:textId="77777777" w:rsidR="00A77A8C" w:rsidRDefault="00A77A8C" w:rsidP="004B34B3"/>
  </w:footnote>
  <w:footnote w:id="47">
    <w:p w14:paraId="7ACA6629" w14:textId="3A8D5DB1" w:rsidR="00A77A8C" w:rsidRDefault="00A77A8C" w:rsidP="004B34B3">
      <w:pPr>
        <w:pStyle w:val="FootnoteText"/>
      </w:pPr>
      <w:r w:rsidRPr="0F604557">
        <w:rPr>
          <w:rStyle w:val="FootnoteReference"/>
          <w:color w:val="000000" w:themeColor="text1"/>
        </w:rPr>
        <w:footnoteRef/>
      </w:r>
      <w:r w:rsidRPr="0F604557">
        <w:rPr>
          <w:color w:val="000000" w:themeColor="text1"/>
        </w:rPr>
        <w:t xml:space="preserve"> </w:t>
      </w:r>
      <w:r w:rsidRPr="7860631B" w:rsidDel="0F604557">
        <w:rPr>
          <w:i/>
          <w:iCs/>
          <w:color w:val="000000" w:themeColor="text1"/>
        </w:rPr>
        <w:t xml:space="preserve">See </w:t>
      </w:r>
      <w:r w:rsidRPr="7860631B" w:rsidDel="0F604557">
        <w:rPr>
          <w:i/>
          <w:iCs/>
        </w:rPr>
        <w:t xml:space="preserve">COVID-19 Stimulus Bill: What It Means for States, supra </w:t>
      </w:r>
      <w:r w:rsidRPr="24A7725F">
        <w:t xml:space="preserve">note </w:t>
      </w:r>
      <w:r>
        <w:t>45</w:t>
      </w:r>
      <w:r w:rsidRPr="7860631B" w:rsidDel="0F604557">
        <w:rPr>
          <w:i/>
          <w:iCs/>
        </w:rPr>
        <w:t xml:space="preserve">. </w:t>
      </w:r>
    </w:p>
  </w:footnote>
  <w:footnote w:id="48">
    <w:p w14:paraId="41BE3D96" w14:textId="77777777" w:rsidR="00A77A8C" w:rsidRPr="00AC747B" w:rsidRDefault="00A77A8C" w:rsidP="004B34B3">
      <w:pPr>
        <w:pStyle w:val="FootnoteText"/>
      </w:pPr>
      <w:r w:rsidRPr="00AC747B">
        <w:rPr>
          <w:rStyle w:val="FootnoteReference"/>
        </w:rPr>
        <w:footnoteRef/>
      </w:r>
      <w:r w:rsidRPr="00AC747B">
        <w:t xml:space="preserve"> </w:t>
      </w:r>
      <w:r w:rsidRPr="00AC747B">
        <w:rPr>
          <w:i/>
          <w:color w:val="000000" w:themeColor="text1"/>
        </w:rPr>
        <w:t xml:space="preserve">See </w:t>
      </w:r>
      <w:r w:rsidRPr="00AC747B">
        <w:rPr>
          <w:color w:val="000000" w:themeColor="text1"/>
        </w:rPr>
        <w:t>United States House Representative Sean Patrick Maloney for New York’s 18</w:t>
      </w:r>
      <w:r w:rsidRPr="00AC747B">
        <w:rPr>
          <w:color w:val="000000" w:themeColor="text1"/>
          <w:vertAlign w:val="superscript"/>
        </w:rPr>
        <w:t>th</w:t>
      </w:r>
      <w:r w:rsidRPr="00AC747B">
        <w:rPr>
          <w:color w:val="000000" w:themeColor="text1"/>
        </w:rPr>
        <w:t xml:space="preserve"> District, </w:t>
      </w:r>
      <w:r w:rsidRPr="00AC747B">
        <w:rPr>
          <w:i/>
          <w:color w:val="000000" w:themeColor="text1"/>
        </w:rPr>
        <w:t xml:space="preserve">Coronavirus Emergency Response, </w:t>
      </w:r>
      <w:r w:rsidRPr="00AC747B">
        <w:rPr>
          <w:color w:val="000000" w:themeColor="text1"/>
        </w:rPr>
        <w:t>available at</w:t>
      </w:r>
      <w:r w:rsidRPr="00AC747B">
        <w:rPr>
          <w:i/>
          <w:color w:val="000000" w:themeColor="text1"/>
        </w:rPr>
        <w:t xml:space="preserve"> </w:t>
      </w:r>
      <w:r w:rsidRPr="00AC747B">
        <w:rPr>
          <w:rStyle w:val="Hyperlink"/>
          <w:color w:val="000000" w:themeColor="text1"/>
        </w:rPr>
        <w:t xml:space="preserve">https://seanmaloney.house.gov/coronavirus-emergency-response </w:t>
      </w:r>
      <w:r w:rsidRPr="00AC747B">
        <w:rPr>
          <w:color w:val="000000" w:themeColor="text1"/>
        </w:rPr>
        <w:t xml:space="preserve"> (last accessed on April 6, 2020).</w:t>
      </w:r>
    </w:p>
  </w:footnote>
  <w:footnote w:id="49">
    <w:p w14:paraId="3A4D85B9" w14:textId="3E94EA1E" w:rsidR="00A77A8C" w:rsidRPr="00AC747B" w:rsidRDefault="00A77A8C" w:rsidP="004B34B3">
      <w:pPr>
        <w:pStyle w:val="FootnoteText"/>
      </w:pPr>
      <w:r w:rsidRPr="00AC747B">
        <w:rPr>
          <w:rStyle w:val="FootnoteReference"/>
          <w:color w:val="000000" w:themeColor="text1"/>
        </w:rPr>
        <w:footnoteRef/>
      </w:r>
      <w:r w:rsidRPr="00AC747B">
        <w:rPr>
          <w:color w:val="000000" w:themeColor="text1"/>
        </w:rPr>
        <w:t xml:space="preserve"> </w:t>
      </w:r>
      <w:r w:rsidRPr="7860631B">
        <w:rPr>
          <w:i/>
          <w:iCs/>
          <w:color w:val="000000" w:themeColor="text1"/>
        </w:rPr>
        <w:t xml:space="preserve">See </w:t>
      </w:r>
      <w:r w:rsidRPr="7860631B">
        <w:rPr>
          <w:i/>
          <w:iCs/>
        </w:rPr>
        <w:t xml:space="preserve">COVID-19 Stimulus Bill: What It Means for States, supra </w:t>
      </w:r>
      <w:r w:rsidRPr="00AC747B">
        <w:t>note 45</w:t>
      </w:r>
      <w:r w:rsidRPr="7860631B">
        <w:rPr>
          <w:i/>
          <w:iCs/>
        </w:rPr>
        <w:t>.</w:t>
      </w:r>
    </w:p>
  </w:footnote>
  <w:footnote w:id="50">
    <w:p w14:paraId="68E46A3B" w14:textId="241AB27A" w:rsidR="00A77A8C" w:rsidRDefault="00A77A8C">
      <w:r w:rsidRPr="00F3E573">
        <w:rPr>
          <w:rStyle w:val="FootnoteReference"/>
          <w:sz w:val="20"/>
          <w:szCs w:val="20"/>
        </w:rPr>
        <w:footnoteRef/>
      </w:r>
      <w:r w:rsidRPr="00F3E573">
        <w:rPr>
          <w:sz w:val="20"/>
          <w:szCs w:val="20"/>
        </w:rPr>
        <w:t xml:space="preserve"> </w:t>
      </w:r>
      <w:r w:rsidRPr="00F3E573">
        <w:rPr>
          <w:i/>
          <w:iCs/>
          <w:sz w:val="20"/>
          <w:szCs w:val="20"/>
        </w:rPr>
        <w:t>See id.</w:t>
      </w:r>
    </w:p>
  </w:footnote>
  <w:footnote w:id="51">
    <w:p w14:paraId="358ED9AE" w14:textId="4DA6FAFB" w:rsidR="00A77A8C" w:rsidRDefault="00A77A8C" w:rsidP="00F3E573">
      <w:pPr>
        <w:rPr>
          <w:sz w:val="20"/>
          <w:szCs w:val="20"/>
        </w:rPr>
      </w:pPr>
      <w:r w:rsidRPr="00F3E573">
        <w:rPr>
          <w:rStyle w:val="FootnoteReference"/>
          <w:sz w:val="20"/>
          <w:szCs w:val="20"/>
        </w:rPr>
        <w:footnoteRef/>
      </w:r>
      <w:r w:rsidRPr="00F3E573">
        <w:rPr>
          <w:sz w:val="20"/>
          <w:szCs w:val="20"/>
        </w:rPr>
        <w:t xml:space="preserve"> </w:t>
      </w:r>
      <w:r w:rsidRPr="00F3E573">
        <w:rPr>
          <w:i/>
          <w:iCs/>
          <w:sz w:val="20"/>
          <w:szCs w:val="20"/>
        </w:rPr>
        <w:t>See id.</w:t>
      </w:r>
    </w:p>
  </w:footnote>
  <w:footnote w:id="52">
    <w:p w14:paraId="1A830D6C" w14:textId="6F9F4D5E" w:rsidR="00A77A8C" w:rsidRPr="00AC747B" w:rsidRDefault="00A77A8C" w:rsidP="004B34B3">
      <w:pPr>
        <w:pStyle w:val="FootnoteText"/>
      </w:pPr>
      <w:r w:rsidRPr="00AC747B">
        <w:rPr>
          <w:rStyle w:val="FootnoteReference"/>
        </w:rPr>
        <w:footnoteRef/>
      </w:r>
      <w:r w:rsidRPr="00AC747B">
        <w:t xml:space="preserve"> </w:t>
      </w:r>
      <w:r w:rsidRPr="7860631B">
        <w:rPr>
          <w:i/>
          <w:iCs/>
          <w:color w:val="000000" w:themeColor="text1"/>
        </w:rPr>
        <w:t xml:space="preserve">See </w:t>
      </w:r>
      <w:r w:rsidRPr="7860631B">
        <w:rPr>
          <w:i/>
          <w:iCs/>
        </w:rPr>
        <w:t xml:space="preserve">Coronavirus Emergency Response, supra </w:t>
      </w:r>
      <w:r w:rsidRPr="00AC747B">
        <w:t>note 50</w:t>
      </w:r>
      <w:r w:rsidRPr="7860631B">
        <w:rPr>
          <w:i/>
          <w:iCs/>
        </w:rPr>
        <w:t>.</w:t>
      </w:r>
    </w:p>
  </w:footnote>
  <w:footnote w:id="53">
    <w:p w14:paraId="30A6AE38" w14:textId="7009F930" w:rsidR="00A77A8C" w:rsidRPr="00AC747B" w:rsidRDefault="00A77A8C" w:rsidP="004B34B3">
      <w:pPr>
        <w:pStyle w:val="FootnoteText"/>
      </w:pPr>
      <w:r w:rsidRPr="00AC747B">
        <w:rPr>
          <w:rStyle w:val="FootnoteReference"/>
          <w:color w:val="000000" w:themeColor="text1"/>
        </w:rPr>
        <w:footnoteRef/>
      </w:r>
      <w:r w:rsidRPr="00AC747B">
        <w:rPr>
          <w:color w:val="000000" w:themeColor="text1"/>
        </w:rPr>
        <w:t xml:space="preserve"> </w:t>
      </w:r>
      <w:r w:rsidRPr="7860631B">
        <w:rPr>
          <w:i/>
          <w:iCs/>
          <w:color w:val="000000" w:themeColor="text1"/>
        </w:rPr>
        <w:t>See</w:t>
      </w:r>
      <w:r w:rsidRPr="7860631B">
        <w:rPr>
          <w:i/>
          <w:iCs/>
        </w:rPr>
        <w:t xml:space="preserve"> COVID-19 Stimulus Bill: What It Means for States, supra </w:t>
      </w:r>
      <w:r w:rsidRPr="00AC747B">
        <w:t>note 45</w:t>
      </w:r>
      <w:r w:rsidRPr="7860631B">
        <w:rPr>
          <w:i/>
          <w:iCs/>
        </w:rPr>
        <w:t xml:space="preserve">. </w:t>
      </w:r>
    </w:p>
  </w:footnote>
  <w:footnote w:id="54">
    <w:p w14:paraId="2A5457C5" w14:textId="77777777" w:rsidR="00A77A8C" w:rsidRPr="00A00B12" w:rsidRDefault="00A77A8C" w:rsidP="004B34B3">
      <w:pPr>
        <w:pStyle w:val="FootnoteText"/>
      </w:pPr>
      <w:r w:rsidRPr="00A00B12">
        <w:rPr>
          <w:rStyle w:val="FootnoteReference"/>
          <w:color w:val="000000" w:themeColor="text1"/>
        </w:rPr>
        <w:footnoteRef/>
      </w:r>
      <w:r w:rsidRPr="00A00B12">
        <w:rPr>
          <w:color w:val="000000" w:themeColor="text1"/>
        </w:rPr>
        <w:t xml:space="preserve"> </w:t>
      </w:r>
      <w:r w:rsidRPr="00A00B12">
        <w:rPr>
          <w:i/>
          <w:color w:val="000000" w:themeColor="text1"/>
        </w:rPr>
        <w:t>See id.</w:t>
      </w:r>
    </w:p>
  </w:footnote>
  <w:footnote w:id="55">
    <w:p w14:paraId="00B7D83E" w14:textId="77777777" w:rsidR="00A77A8C" w:rsidRDefault="00A77A8C" w:rsidP="004B34B3">
      <w:pPr>
        <w:pStyle w:val="FootnoteText"/>
      </w:pPr>
      <w:r w:rsidRPr="00A00B12">
        <w:rPr>
          <w:rStyle w:val="FootnoteReference"/>
          <w:color w:val="000000" w:themeColor="text1"/>
        </w:rPr>
        <w:footnoteRef/>
      </w:r>
      <w:r w:rsidRPr="00A00B12">
        <w:rPr>
          <w:color w:val="000000" w:themeColor="text1"/>
        </w:rPr>
        <w:t xml:space="preserve"> </w:t>
      </w:r>
      <w:r w:rsidRPr="00A00B12">
        <w:rPr>
          <w:i/>
          <w:color w:val="000000" w:themeColor="text1"/>
        </w:rPr>
        <w:t>See id.</w:t>
      </w:r>
    </w:p>
  </w:footnote>
  <w:footnote w:id="56">
    <w:p w14:paraId="27EF746D" w14:textId="77777777" w:rsidR="00A77A8C" w:rsidRPr="00960B1C" w:rsidRDefault="00A77A8C" w:rsidP="004B34B3">
      <w:pPr>
        <w:pStyle w:val="FootnoteText"/>
      </w:pPr>
      <w:r w:rsidRPr="00960B1C">
        <w:rPr>
          <w:rStyle w:val="FootnoteReference"/>
          <w:color w:val="000000" w:themeColor="text1"/>
        </w:rPr>
        <w:footnoteRef/>
      </w:r>
      <w:r w:rsidRPr="00960B1C">
        <w:rPr>
          <w:color w:val="000000" w:themeColor="text1"/>
        </w:rPr>
        <w:t xml:space="preserve"> </w:t>
      </w:r>
      <w:r w:rsidRPr="37E03600">
        <w:rPr>
          <w:i/>
          <w:iCs/>
          <w:color w:val="000000" w:themeColor="text1"/>
        </w:rPr>
        <w:t xml:space="preserve">See </w:t>
      </w:r>
      <w:r w:rsidRPr="37E03600">
        <w:rPr>
          <w:i/>
          <w:iCs/>
          <w:sz w:val="19"/>
          <w:szCs w:val="19"/>
        </w:rPr>
        <w:t>id.</w:t>
      </w:r>
    </w:p>
  </w:footnote>
  <w:footnote w:id="57">
    <w:p w14:paraId="28525264" w14:textId="77777777" w:rsidR="00A77A8C" w:rsidRPr="00960B1C" w:rsidRDefault="00A77A8C" w:rsidP="004B34B3">
      <w:pPr>
        <w:pStyle w:val="FootnoteText"/>
      </w:pPr>
      <w:r w:rsidRPr="00960B1C">
        <w:rPr>
          <w:rStyle w:val="FootnoteReference"/>
          <w:color w:val="000000" w:themeColor="text1"/>
        </w:rPr>
        <w:footnoteRef/>
      </w:r>
      <w:r w:rsidRPr="00960B1C">
        <w:rPr>
          <w:color w:val="000000" w:themeColor="text1"/>
        </w:rPr>
        <w:t xml:space="preserve"> </w:t>
      </w:r>
      <w:r w:rsidRPr="00960B1C">
        <w:rPr>
          <w:i/>
          <w:color w:val="000000" w:themeColor="text1"/>
        </w:rPr>
        <w:t>See id.</w:t>
      </w:r>
    </w:p>
  </w:footnote>
  <w:footnote w:id="58">
    <w:p w14:paraId="792F8EAB" w14:textId="77777777" w:rsidR="00A77A8C" w:rsidRPr="00960B1C" w:rsidRDefault="00A77A8C" w:rsidP="004B34B3">
      <w:pPr>
        <w:pStyle w:val="FootnoteText"/>
      </w:pPr>
      <w:r w:rsidRPr="00960B1C">
        <w:rPr>
          <w:rStyle w:val="FootnoteReference"/>
        </w:rPr>
        <w:footnoteRef/>
      </w:r>
      <w:r w:rsidRPr="00960B1C">
        <w:t xml:space="preserve"> </w:t>
      </w:r>
      <w:r w:rsidRPr="00960B1C">
        <w:rPr>
          <w:i/>
          <w:color w:val="000000" w:themeColor="text1"/>
        </w:rPr>
        <w:t xml:space="preserve">See </w:t>
      </w:r>
      <w:r w:rsidRPr="00960B1C">
        <w:rPr>
          <w:color w:val="000000" w:themeColor="text1"/>
        </w:rPr>
        <w:t>United States House Representative Sean Patrick Maloney for New York’s 18</w:t>
      </w:r>
      <w:r w:rsidRPr="00960B1C">
        <w:rPr>
          <w:color w:val="000000" w:themeColor="text1"/>
          <w:vertAlign w:val="superscript"/>
        </w:rPr>
        <w:t>th</w:t>
      </w:r>
      <w:r w:rsidRPr="00960B1C">
        <w:rPr>
          <w:color w:val="000000" w:themeColor="text1"/>
        </w:rPr>
        <w:t xml:space="preserve"> District, </w:t>
      </w:r>
      <w:r w:rsidRPr="00960B1C">
        <w:rPr>
          <w:i/>
          <w:color w:val="000000" w:themeColor="text1"/>
        </w:rPr>
        <w:t>CARES Act: New York Impact</w:t>
      </w:r>
      <w:r w:rsidRPr="00960B1C">
        <w:rPr>
          <w:color w:val="000000" w:themeColor="text1"/>
        </w:rPr>
        <w:t xml:space="preserve">, available at </w:t>
      </w:r>
      <w:hyperlink r:id="rId30" w:history="1">
        <w:r w:rsidRPr="00960B1C">
          <w:rPr>
            <w:rStyle w:val="Hyperlink"/>
          </w:rPr>
          <w:t>https://seanmaloney.house.gov/sites/seanmaloney.house.gov/files/CARES%20ACT-%20NEW%20YORK%20IMPACT.pdf</w:t>
        </w:r>
      </w:hyperlink>
      <w:r w:rsidRPr="00960B1C">
        <w:rPr>
          <w:rStyle w:val="Hyperlink"/>
        </w:rPr>
        <w:t xml:space="preserve"> (last accessed on June 9, 2020).</w:t>
      </w:r>
    </w:p>
  </w:footnote>
  <w:footnote w:id="59">
    <w:p w14:paraId="2E971CE7" w14:textId="77777777" w:rsidR="00A77A8C" w:rsidRDefault="00A77A8C" w:rsidP="004B34B3">
      <w:pPr>
        <w:pStyle w:val="FootnoteText"/>
        <w:rPr>
          <w:rFonts w:ascii="Times" w:hAnsi="Times" w:cs="Times"/>
          <w:i/>
          <w:iCs/>
        </w:rPr>
      </w:pPr>
      <w:r w:rsidRPr="24414274">
        <w:rPr>
          <w:rStyle w:val="FootnoteReference"/>
          <w:rFonts w:ascii="Times" w:hAnsi="Times" w:cs="Times"/>
        </w:rPr>
        <w:footnoteRef/>
      </w:r>
      <w:r w:rsidRPr="00B735D2">
        <w:rPr>
          <w:rFonts w:ascii="Times" w:hAnsi="Times" w:cs="Times"/>
        </w:rPr>
        <w:t xml:space="preserve"> </w:t>
      </w:r>
      <w:r w:rsidRPr="37E03600">
        <w:rPr>
          <w:rFonts w:ascii="Times" w:hAnsi="Times" w:cs="Times"/>
          <w:i/>
          <w:iCs/>
          <w:color w:val="000000" w:themeColor="text1"/>
        </w:rPr>
        <w:t xml:space="preserve">See </w:t>
      </w:r>
      <w:r w:rsidRPr="37E03600">
        <w:rPr>
          <w:rFonts w:ascii="Times" w:hAnsi="Times" w:cs="Times"/>
          <w:i/>
          <w:iCs/>
        </w:rPr>
        <w:t>id.</w:t>
      </w:r>
    </w:p>
  </w:footnote>
  <w:footnote w:id="60">
    <w:p w14:paraId="763C8CFA" w14:textId="2B6A1D85" w:rsidR="00A77A8C" w:rsidRDefault="00A77A8C" w:rsidP="004B34B3">
      <w:pPr>
        <w:pStyle w:val="FootnoteText"/>
      </w:pPr>
      <w:r w:rsidRPr="24414274">
        <w:rPr>
          <w:rStyle w:val="FootnoteReference"/>
          <w:rFonts w:ascii="Times" w:hAnsi="Times" w:cs="Times"/>
        </w:rPr>
        <w:footnoteRef/>
      </w:r>
      <w:r w:rsidRPr="00B735D2">
        <w:rPr>
          <w:rFonts w:ascii="Times" w:hAnsi="Times" w:cs="Times"/>
        </w:rPr>
        <w:t xml:space="preserve"> </w:t>
      </w:r>
      <w:r w:rsidRPr="00F3E573">
        <w:rPr>
          <w:i/>
          <w:iCs/>
          <w:color w:val="000000" w:themeColor="text1"/>
        </w:rPr>
        <w:t>See</w:t>
      </w:r>
      <w:r w:rsidRPr="24414274">
        <w:rPr>
          <w:color w:val="000000" w:themeColor="text1"/>
        </w:rPr>
        <w:t xml:space="preserve"> </w:t>
      </w:r>
      <w:r w:rsidRPr="00F3E573">
        <w:rPr>
          <w:i/>
          <w:iCs/>
          <w:color w:val="000000" w:themeColor="text1"/>
        </w:rPr>
        <w:t>CARES Act: New York Impact</w:t>
      </w:r>
      <w:r w:rsidRPr="24414274">
        <w:rPr>
          <w:color w:val="000000" w:themeColor="text1"/>
        </w:rPr>
        <w:t xml:space="preserve">, </w:t>
      </w:r>
      <w:r w:rsidRPr="00F3E573">
        <w:rPr>
          <w:i/>
          <w:iCs/>
          <w:color w:val="000000" w:themeColor="text1"/>
        </w:rPr>
        <w:t>supra</w:t>
      </w:r>
      <w:r>
        <w:rPr>
          <w:color w:val="000000" w:themeColor="text1"/>
        </w:rPr>
        <w:t xml:space="preserve"> note 60</w:t>
      </w:r>
      <w:r w:rsidRPr="24414274">
        <w:rPr>
          <w:color w:val="000000" w:themeColor="text1"/>
        </w:rPr>
        <w:t xml:space="preserve">. </w:t>
      </w:r>
    </w:p>
  </w:footnote>
  <w:footnote w:id="61">
    <w:p w14:paraId="2031828A" w14:textId="167A94A4" w:rsidR="00A77A8C" w:rsidRPr="00CB5AC5" w:rsidRDefault="00A77A8C" w:rsidP="004B34B3">
      <w:pPr>
        <w:pStyle w:val="FootnoteText"/>
      </w:pPr>
      <w:r w:rsidRPr="00CB5AC5">
        <w:rPr>
          <w:rStyle w:val="FootnoteReference"/>
        </w:rPr>
        <w:footnoteRef/>
      </w:r>
      <w:r w:rsidRPr="00CB5AC5">
        <w:rPr>
          <w:i/>
          <w:color w:val="000000" w:themeColor="text1"/>
        </w:rPr>
        <w:t xml:space="preserve"> See</w:t>
      </w:r>
      <w:r w:rsidRPr="00CB5AC5">
        <w:rPr>
          <w:color w:val="000000" w:themeColor="text1"/>
        </w:rPr>
        <w:t xml:space="preserve"> Paycheck Protection Program and Health Care Enhancement Act, Public Law No. 116-139, available at   </w:t>
      </w:r>
      <w:hyperlink r:id="rId31" w:history="1">
        <w:r>
          <w:rPr>
            <w:rStyle w:val="Hyperlink"/>
          </w:rPr>
          <w:t>https://www.congress.gov/bill/116th-congress/house-bill/266</w:t>
        </w:r>
      </w:hyperlink>
      <w:r w:rsidRPr="00CB5AC5">
        <w:t xml:space="preserve"> (last accessed on June 8, 2020). </w:t>
      </w:r>
    </w:p>
  </w:footnote>
  <w:footnote w:id="62">
    <w:p w14:paraId="66E59898" w14:textId="116D354A" w:rsidR="00A77A8C" w:rsidRDefault="00A77A8C" w:rsidP="004B34B3">
      <w:pPr>
        <w:rPr>
          <w:color w:val="333333"/>
          <w:sz w:val="20"/>
          <w:szCs w:val="20"/>
        </w:rPr>
      </w:pPr>
      <w:r w:rsidRPr="05297EFD">
        <w:rPr>
          <w:rStyle w:val="FootnoteReference"/>
          <w:sz w:val="20"/>
          <w:szCs w:val="20"/>
        </w:rPr>
        <w:footnoteRef/>
      </w:r>
      <w:r w:rsidRPr="05297EFD">
        <w:rPr>
          <w:sz w:val="20"/>
          <w:szCs w:val="20"/>
        </w:rPr>
        <w:t xml:space="preserve"> </w:t>
      </w:r>
      <w:r w:rsidRPr="0384AD66">
        <w:rPr>
          <w:i/>
          <w:sz w:val="20"/>
          <w:szCs w:val="20"/>
        </w:rPr>
        <w:t>See</w:t>
      </w:r>
      <w:r w:rsidRPr="05297EFD">
        <w:rPr>
          <w:sz w:val="20"/>
          <w:szCs w:val="20"/>
        </w:rPr>
        <w:t xml:space="preserve"> National Conference of State Legislatures, </w:t>
      </w:r>
      <w:r w:rsidRPr="0384AD66">
        <w:rPr>
          <w:sz w:val="20"/>
          <w:szCs w:val="20"/>
        </w:rPr>
        <w:t>Tres York and Haley Nicholson,</w:t>
      </w:r>
      <w:r w:rsidRPr="05297EFD">
        <w:rPr>
          <w:sz w:val="20"/>
          <w:szCs w:val="20"/>
        </w:rPr>
        <w:t xml:space="preserve"> </w:t>
      </w:r>
      <w:hyperlink r:id="rId32">
        <w:r w:rsidRPr="0384AD66">
          <w:rPr>
            <w:rStyle w:val="Hyperlink"/>
            <w:i/>
            <w:color w:val="333333"/>
            <w:sz w:val="20"/>
            <w:szCs w:val="20"/>
            <w:u w:val="none"/>
          </w:rPr>
          <w:t>A Quick Review of the Paycheck Protection Program and Health Care Enhancement Act</w:t>
        </w:r>
        <w:r w:rsidRPr="0384AD66">
          <w:rPr>
            <w:i/>
            <w:iCs/>
            <w:color w:val="333333"/>
            <w:sz w:val="20"/>
            <w:szCs w:val="20"/>
          </w:rPr>
          <w:t xml:space="preserve">, </w:t>
        </w:r>
        <w:r w:rsidRPr="0384AD66">
          <w:rPr>
            <w:color w:val="333333"/>
            <w:sz w:val="20"/>
            <w:szCs w:val="20"/>
          </w:rPr>
          <w:t xml:space="preserve">available at </w:t>
        </w:r>
      </w:hyperlink>
      <w:hyperlink r:id="rId33">
        <w:r w:rsidRPr="0384AD66">
          <w:rPr>
            <w:rStyle w:val="Hyperlink"/>
            <w:color w:val="333333"/>
            <w:sz w:val="20"/>
            <w:szCs w:val="20"/>
          </w:rPr>
          <w:t>https://www.ncsl.org/blog/2020/04/22/a-quick-review-of-the-paycheck-protection-program-and-health-care-enhancement-act.aspx</w:t>
        </w:r>
      </w:hyperlink>
      <w:r w:rsidRPr="0384AD66">
        <w:rPr>
          <w:color w:val="333333"/>
          <w:sz w:val="20"/>
          <w:szCs w:val="20"/>
        </w:rPr>
        <w:t xml:space="preserve"> (last accessed on June 8, 2020). </w:t>
      </w:r>
    </w:p>
  </w:footnote>
  <w:footnote w:id="63">
    <w:p w14:paraId="5F0B55B8" w14:textId="687203B3" w:rsidR="00A77A8C" w:rsidRDefault="00A77A8C" w:rsidP="004B34B3">
      <w:pPr>
        <w:rPr>
          <w:sz w:val="20"/>
          <w:szCs w:val="20"/>
        </w:rPr>
      </w:pPr>
      <w:r w:rsidRPr="625FC49F">
        <w:rPr>
          <w:rStyle w:val="FootnoteReference"/>
          <w:sz w:val="20"/>
          <w:szCs w:val="20"/>
        </w:rPr>
        <w:footnoteRef/>
      </w:r>
      <w:r w:rsidRPr="625FC49F">
        <w:rPr>
          <w:sz w:val="20"/>
          <w:szCs w:val="20"/>
        </w:rPr>
        <w:t xml:space="preserve"> </w:t>
      </w:r>
      <w:r w:rsidRPr="183A5279">
        <w:rPr>
          <w:i/>
          <w:sz w:val="20"/>
          <w:szCs w:val="20"/>
        </w:rPr>
        <w:t>See id.</w:t>
      </w:r>
    </w:p>
  </w:footnote>
  <w:footnote w:id="64">
    <w:p w14:paraId="7FBBFF1F" w14:textId="323779C5" w:rsidR="00A77A8C" w:rsidRPr="00276680" w:rsidRDefault="00A77A8C" w:rsidP="004B34B3">
      <w:pPr>
        <w:pStyle w:val="FootnoteText"/>
      </w:pPr>
      <w:r w:rsidRPr="00276680">
        <w:rPr>
          <w:rStyle w:val="FootnoteReference"/>
        </w:rPr>
        <w:footnoteRef/>
      </w:r>
      <w:r w:rsidRPr="00276680">
        <w:t xml:space="preserve"> </w:t>
      </w:r>
      <w:r w:rsidRPr="00276680">
        <w:rPr>
          <w:i/>
        </w:rPr>
        <w:t>See</w:t>
      </w:r>
      <w:r w:rsidRPr="00276680">
        <w:rPr>
          <w:lang w:val="en"/>
        </w:rPr>
        <w:t xml:space="preserve"> (</w:t>
      </w:r>
      <w:hyperlink r:id="rId34" w:history="1">
        <w:r w:rsidRPr="00276680">
          <w:rPr>
            <w:rStyle w:val="Hyperlink"/>
            <w:lang w:val="en"/>
          </w:rPr>
          <w:t>Pub.L. 111–5</w:t>
        </w:r>
      </w:hyperlink>
      <w:r w:rsidRPr="00276680">
        <w:rPr>
          <w:lang w:val="en"/>
        </w:rPr>
        <w:t>),</w:t>
      </w:r>
      <w:r w:rsidRPr="00276680">
        <w:t xml:space="preserve"> 123 Stat. 115 (Feb 17, 2009).</w:t>
      </w:r>
    </w:p>
  </w:footnote>
  <w:footnote w:id="65">
    <w:p w14:paraId="6A11BB33" w14:textId="77777777" w:rsidR="00A77A8C" w:rsidRPr="00276680" w:rsidRDefault="00A77A8C" w:rsidP="004B34B3">
      <w:pPr>
        <w:pStyle w:val="FootnoteText"/>
      </w:pPr>
      <w:r w:rsidRPr="00276680">
        <w:rPr>
          <w:rStyle w:val="FootnoteReference"/>
        </w:rPr>
        <w:footnoteRef/>
      </w:r>
      <w:r w:rsidRPr="00276680">
        <w:t xml:space="preserve"> </w:t>
      </w:r>
      <w:r w:rsidRPr="00276680">
        <w:rPr>
          <w:i/>
        </w:rPr>
        <w:t>See id</w:t>
      </w:r>
      <w:r w:rsidRPr="00276680">
        <w:t>. In 2011, the original expenditure estimate of $787 billion was increased to $840 billion to be in line with the President's 2012 budget and with scoring changes made by the Congressional Budget Office since the enactment</w:t>
      </w:r>
      <w:r w:rsidRPr="00276680">
        <w:rPr>
          <w:color w:val="4C4C4C"/>
        </w:rPr>
        <w:t xml:space="preserve"> </w:t>
      </w:r>
      <w:r w:rsidRPr="00276680">
        <w:t>of the Recovery Act. Since its enactment in February 2009, $803.1billion has been paid out</w:t>
      </w:r>
      <w:r w:rsidRPr="00276680">
        <w:rPr>
          <w:color w:val="4C4C4C"/>
        </w:rPr>
        <w:t>.</w:t>
      </w:r>
      <w:r w:rsidRPr="00276680">
        <w:t xml:space="preserve"> </w:t>
      </w:r>
      <w:r w:rsidRPr="00276680">
        <w:rPr>
          <w:i/>
        </w:rPr>
        <w:t>See</w:t>
      </w:r>
      <w:r w:rsidRPr="00276680">
        <w:t xml:space="preserve"> the Recovery.gov website, Home, available at </w:t>
      </w:r>
      <w:hyperlink r:id="rId35" w:history="1">
        <w:r w:rsidRPr="00276680">
          <w:rPr>
            <w:rStyle w:val="Hyperlink"/>
          </w:rPr>
          <w:t>http://www.recovery.gov/Pages/default.aspx</w:t>
        </w:r>
      </w:hyperlink>
    </w:p>
    <w:p w14:paraId="4547778E" w14:textId="77777777" w:rsidR="00A77A8C" w:rsidRPr="00276680" w:rsidRDefault="00A77A8C" w:rsidP="004B34B3">
      <w:pPr>
        <w:pStyle w:val="FootnoteText"/>
      </w:pPr>
      <w:r w:rsidRPr="00276680">
        <w:t>(last accessed November 11, 2013).</w:t>
      </w:r>
    </w:p>
  </w:footnote>
  <w:footnote w:id="66">
    <w:p w14:paraId="7B3212CE" w14:textId="5A71DBF6" w:rsidR="00A77A8C" w:rsidRPr="00276680" w:rsidRDefault="00A77A8C" w:rsidP="004B34B3">
      <w:pPr>
        <w:pStyle w:val="FootnoteText"/>
      </w:pPr>
      <w:r w:rsidRPr="00276680">
        <w:rPr>
          <w:rStyle w:val="FootnoteReference"/>
        </w:rPr>
        <w:footnoteRef/>
      </w:r>
      <w:r w:rsidRPr="00276680">
        <w:t xml:space="preserve"> See NYC Stat Stimulus Tracker, available at  </w:t>
      </w:r>
      <w:hyperlink r:id="rId36" w:history="1">
        <w:r w:rsidRPr="00276680">
          <w:rPr>
            <w:rStyle w:val="Hyperlink"/>
          </w:rPr>
          <w:t>http://www.nyc.gov/html/ops/nycstim/html/home/home.shtml</w:t>
        </w:r>
      </w:hyperlink>
      <w:r w:rsidRPr="00276680">
        <w:t xml:space="preserve"> (la</w:t>
      </w:r>
      <w:r>
        <w:t>st accessed November 11, 2013).</w:t>
      </w:r>
    </w:p>
  </w:footnote>
  <w:footnote w:id="67">
    <w:p w14:paraId="4B086A03" w14:textId="77777777" w:rsidR="00A77A8C" w:rsidRPr="00345793" w:rsidRDefault="00A77A8C" w:rsidP="004B34B3">
      <w:pPr>
        <w:pStyle w:val="FootnoteText"/>
      </w:pPr>
      <w:r w:rsidRPr="00276680">
        <w:rPr>
          <w:rStyle w:val="FootnoteReference"/>
        </w:rPr>
        <w:footnoteRef/>
      </w:r>
      <w:r w:rsidRPr="00276680">
        <w:t xml:space="preserve"> </w:t>
      </w:r>
      <w:r w:rsidRPr="00276680">
        <w:rPr>
          <w:i/>
        </w:rPr>
        <w:t>See id.</w:t>
      </w:r>
    </w:p>
  </w:footnote>
  <w:footnote w:id="68">
    <w:p w14:paraId="1CD7D4A0" w14:textId="77777777" w:rsidR="00A77A8C" w:rsidRPr="00345793" w:rsidRDefault="00A77A8C" w:rsidP="004B34B3">
      <w:pPr>
        <w:pStyle w:val="FootnoteText"/>
      </w:pPr>
      <w:r w:rsidRPr="00345793">
        <w:rPr>
          <w:rStyle w:val="FootnoteReference"/>
        </w:rPr>
        <w:footnoteRef/>
      </w:r>
      <w:r w:rsidRPr="00345793">
        <w:t xml:space="preserve"> </w:t>
      </w:r>
      <w:r w:rsidRPr="00345793">
        <w:rPr>
          <w:i/>
        </w:rPr>
        <w:t>See id.</w:t>
      </w:r>
    </w:p>
  </w:footnote>
  <w:footnote w:id="69">
    <w:p w14:paraId="1F04C84E" w14:textId="77777777" w:rsidR="00A77A8C" w:rsidRPr="00345793" w:rsidRDefault="00A77A8C" w:rsidP="004B34B3">
      <w:pPr>
        <w:pStyle w:val="FootnoteText"/>
      </w:pPr>
      <w:r w:rsidRPr="00345793">
        <w:rPr>
          <w:rStyle w:val="FootnoteReference"/>
        </w:rPr>
        <w:footnoteRef/>
      </w:r>
      <w:r w:rsidRPr="00345793">
        <w:t xml:space="preserve"> </w:t>
      </w:r>
      <w:r w:rsidRPr="00345793">
        <w:rPr>
          <w:i/>
        </w:rPr>
        <w:t>See id.</w:t>
      </w:r>
    </w:p>
  </w:footnote>
  <w:footnote w:id="70">
    <w:p w14:paraId="62CD26F9" w14:textId="2EA2EE8E" w:rsidR="00A77A8C" w:rsidRPr="00FF7B84" w:rsidRDefault="00A77A8C" w:rsidP="004B34B3">
      <w:pPr>
        <w:pStyle w:val="FootnoteText"/>
      </w:pPr>
      <w:r w:rsidRPr="00D06C43">
        <w:rPr>
          <w:rStyle w:val="FootnoteReference"/>
        </w:rPr>
        <w:footnoteRef/>
      </w:r>
      <w:r w:rsidRPr="00D06C43">
        <w:t xml:space="preserve"> </w:t>
      </w:r>
      <w:r w:rsidRPr="37E03600">
        <w:rPr>
          <w:i/>
          <w:iCs/>
        </w:rPr>
        <w:t xml:space="preserve">See </w:t>
      </w:r>
      <w:r w:rsidRPr="00D06C43">
        <w:t xml:space="preserve">The New York City Council Website, available at: </w:t>
      </w:r>
      <w:hyperlink r:id="rId37" w:history="1">
        <w:r w:rsidRPr="00D06C43">
          <w:rPr>
            <w:rStyle w:val="Hyperlink"/>
          </w:rPr>
          <w:t>https://legistar.council.nyc.gov/LegislationDetail.aspx?ID=1419832&amp;GUID=5902C0D5-CDF7-492C-AD73-DFA089487BCC&amp;Options=Advanced&amp;Search</w:t>
        </w:r>
      </w:hyperlink>
      <w:r w:rsidRPr="00FF7B84">
        <w:t>=</w:t>
      </w:r>
    </w:p>
  </w:footnote>
  <w:footnote w:id="71">
    <w:p w14:paraId="735D0B8D" w14:textId="58BF8FDC" w:rsidR="00A77A8C" w:rsidRPr="00FF7B84" w:rsidRDefault="00A77A8C" w:rsidP="004B34B3">
      <w:pPr>
        <w:pStyle w:val="FootnoteText"/>
        <w:rPr>
          <w:i/>
          <w:iCs/>
        </w:rPr>
      </w:pPr>
      <w:r w:rsidRPr="00FF7B84">
        <w:rPr>
          <w:rStyle w:val="FootnoteReference"/>
        </w:rPr>
        <w:footnoteRef/>
      </w:r>
      <w:r w:rsidRPr="00FF7B84">
        <w:t xml:space="preserve"> </w:t>
      </w:r>
      <w:r w:rsidRPr="127AF4F3">
        <w:rPr>
          <w:i/>
          <w:iCs/>
        </w:rPr>
        <w:t>See id.</w:t>
      </w:r>
    </w:p>
  </w:footnote>
  <w:footnote w:id="72">
    <w:p w14:paraId="53910C0B" w14:textId="51D9FACE" w:rsidR="00A77A8C" w:rsidRPr="00FF7B84" w:rsidRDefault="00A77A8C" w:rsidP="004B34B3">
      <w:pPr>
        <w:pStyle w:val="FootnoteText"/>
        <w:rPr>
          <w:i/>
          <w:iCs/>
        </w:rPr>
      </w:pPr>
      <w:r w:rsidRPr="00FF7B84">
        <w:rPr>
          <w:rStyle w:val="FootnoteReference"/>
        </w:rPr>
        <w:footnoteRef/>
      </w:r>
      <w:r w:rsidRPr="00FF7B84">
        <w:t xml:space="preserve"> </w:t>
      </w:r>
      <w:r w:rsidRPr="41401658">
        <w:rPr>
          <w:i/>
          <w:iCs/>
        </w:rPr>
        <w:t>See id.</w:t>
      </w:r>
    </w:p>
  </w:footnote>
  <w:footnote w:id="73">
    <w:p w14:paraId="7E87EA84" w14:textId="77777777" w:rsidR="00A77A8C" w:rsidRPr="00F764B6" w:rsidRDefault="00A77A8C" w:rsidP="004B34B3">
      <w:pPr>
        <w:rPr>
          <w:sz w:val="20"/>
          <w:szCs w:val="20"/>
        </w:rPr>
      </w:pPr>
      <w:r w:rsidRPr="00F764B6">
        <w:rPr>
          <w:rStyle w:val="FootnoteReference"/>
          <w:sz w:val="20"/>
          <w:szCs w:val="20"/>
        </w:rPr>
        <w:footnoteRef/>
      </w:r>
      <w:r w:rsidRPr="00F764B6">
        <w:rPr>
          <w:sz w:val="20"/>
          <w:szCs w:val="20"/>
        </w:rPr>
        <w:t xml:space="preserve"> </w:t>
      </w:r>
      <w:r w:rsidRPr="37E03600">
        <w:rPr>
          <w:i/>
          <w:iCs/>
          <w:sz w:val="20"/>
          <w:szCs w:val="20"/>
        </w:rPr>
        <w:t xml:space="preserve">See </w:t>
      </w:r>
      <w:r w:rsidRPr="00F764B6">
        <w:rPr>
          <w:sz w:val="20"/>
          <w:szCs w:val="20"/>
        </w:rPr>
        <w:t>Administrative Code §6-138(a)(1).</w:t>
      </w:r>
    </w:p>
  </w:footnote>
  <w:footnote w:id="74">
    <w:p w14:paraId="3F3CD911" w14:textId="77777777" w:rsidR="00A77A8C" w:rsidRPr="00F764B6" w:rsidRDefault="00A77A8C" w:rsidP="004B34B3">
      <w:pPr>
        <w:pStyle w:val="FootnoteText"/>
      </w:pPr>
      <w:r w:rsidRPr="00F764B6">
        <w:rPr>
          <w:rStyle w:val="FootnoteReference"/>
        </w:rPr>
        <w:footnoteRef/>
      </w:r>
      <w:r w:rsidRPr="00F764B6">
        <w:t xml:space="preserve"> </w:t>
      </w:r>
      <w:r w:rsidRPr="00F764B6">
        <w:rPr>
          <w:i/>
          <w:iCs/>
        </w:rPr>
        <w:t xml:space="preserve">See </w:t>
      </w:r>
      <w:r w:rsidRPr="00F764B6">
        <w:t>Administrative Code §6-138(b)(1).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A2C9" w14:textId="44005329" w:rsidR="00A77A8C" w:rsidRPr="001C70BA" w:rsidRDefault="00A77A8C" w:rsidP="001C70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D9F"/>
    <w:multiLevelType w:val="hybridMultilevel"/>
    <w:tmpl w:val="77044D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00D4D"/>
    <w:multiLevelType w:val="hybridMultilevel"/>
    <w:tmpl w:val="FDEC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07BA"/>
    <w:multiLevelType w:val="hybridMultilevel"/>
    <w:tmpl w:val="C69CF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668BC"/>
    <w:multiLevelType w:val="hybridMultilevel"/>
    <w:tmpl w:val="F67C9A40"/>
    <w:lvl w:ilvl="0" w:tplc="04090015">
      <w:start w:val="1"/>
      <w:numFmt w:val="upperLetter"/>
      <w:lvlText w:val="%1."/>
      <w:lvlJc w:val="left"/>
      <w:pPr>
        <w:ind w:left="65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26782"/>
    <w:multiLevelType w:val="hybridMultilevel"/>
    <w:tmpl w:val="68004184"/>
    <w:lvl w:ilvl="0" w:tplc="06E61B6A">
      <w:start w:val="500"/>
      <w:numFmt w:val="upperRoman"/>
      <w:lvlText w:val="%1."/>
      <w:lvlJc w:val="left"/>
      <w:pPr>
        <w:ind w:left="1080" w:hanging="72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F28CF"/>
    <w:multiLevelType w:val="hybridMultilevel"/>
    <w:tmpl w:val="FFFFFFFF"/>
    <w:lvl w:ilvl="0" w:tplc="73307838">
      <w:start w:val="1"/>
      <w:numFmt w:val="bullet"/>
      <w:lvlText w:val=""/>
      <w:lvlJc w:val="left"/>
      <w:pPr>
        <w:ind w:left="720" w:hanging="360"/>
      </w:pPr>
      <w:rPr>
        <w:rFonts w:ascii="Symbol" w:hAnsi="Symbol" w:hint="default"/>
      </w:rPr>
    </w:lvl>
    <w:lvl w:ilvl="1" w:tplc="5B949570">
      <w:start w:val="1"/>
      <w:numFmt w:val="bullet"/>
      <w:lvlText w:val=""/>
      <w:lvlJc w:val="left"/>
      <w:pPr>
        <w:ind w:left="1440" w:hanging="360"/>
      </w:pPr>
      <w:rPr>
        <w:rFonts w:ascii="Symbol" w:hAnsi="Symbol" w:hint="default"/>
      </w:rPr>
    </w:lvl>
    <w:lvl w:ilvl="2" w:tplc="7D5CD05C">
      <w:start w:val="1"/>
      <w:numFmt w:val="bullet"/>
      <w:lvlText w:val=""/>
      <w:lvlJc w:val="left"/>
      <w:pPr>
        <w:ind w:left="2160" w:hanging="360"/>
      </w:pPr>
      <w:rPr>
        <w:rFonts w:ascii="Wingdings" w:hAnsi="Wingdings" w:hint="default"/>
      </w:rPr>
    </w:lvl>
    <w:lvl w:ilvl="3" w:tplc="04FA6558">
      <w:start w:val="1"/>
      <w:numFmt w:val="bullet"/>
      <w:lvlText w:val=""/>
      <w:lvlJc w:val="left"/>
      <w:pPr>
        <w:ind w:left="2880" w:hanging="360"/>
      </w:pPr>
      <w:rPr>
        <w:rFonts w:ascii="Symbol" w:hAnsi="Symbol" w:hint="default"/>
      </w:rPr>
    </w:lvl>
    <w:lvl w:ilvl="4" w:tplc="4D8A299C">
      <w:start w:val="1"/>
      <w:numFmt w:val="bullet"/>
      <w:lvlText w:val="o"/>
      <w:lvlJc w:val="left"/>
      <w:pPr>
        <w:ind w:left="3600" w:hanging="360"/>
      </w:pPr>
      <w:rPr>
        <w:rFonts w:ascii="Courier New" w:hAnsi="Courier New" w:hint="default"/>
      </w:rPr>
    </w:lvl>
    <w:lvl w:ilvl="5" w:tplc="9642DFF0">
      <w:start w:val="1"/>
      <w:numFmt w:val="bullet"/>
      <w:lvlText w:val=""/>
      <w:lvlJc w:val="left"/>
      <w:pPr>
        <w:ind w:left="4320" w:hanging="360"/>
      </w:pPr>
      <w:rPr>
        <w:rFonts w:ascii="Wingdings" w:hAnsi="Wingdings" w:hint="default"/>
      </w:rPr>
    </w:lvl>
    <w:lvl w:ilvl="6" w:tplc="B652E260">
      <w:start w:val="1"/>
      <w:numFmt w:val="bullet"/>
      <w:lvlText w:val=""/>
      <w:lvlJc w:val="left"/>
      <w:pPr>
        <w:ind w:left="5040" w:hanging="360"/>
      </w:pPr>
      <w:rPr>
        <w:rFonts w:ascii="Symbol" w:hAnsi="Symbol" w:hint="default"/>
      </w:rPr>
    </w:lvl>
    <w:lvl w:ilvl="7" w:tplc="27C04662">
      <w:start w:val="1"/>
      <w:numFmt w:val="bullet"/>
      <w:lvlText w:val="o"/>
      <w:lvlJc w:val="left"/>
      <w:pPr>
        <w:ind w:left="5760" w:hanging="360"/>
      </w:pPr>
      <w:rPr>
        <w:rFonts w:ascii="Courier New" w:hAnsi="Courier New" w:hint="default"/>
      </w:rPr>
    </w:lvl>
    <w:lvl w:ilvl="8" w:tplc="7FF8F642">
      <w:start w:val="1"/>
      <w:numFmt w:val="bullet"/>
      <w:lvlText w:val=""/>
      <w:lvlJc w:val="left"/>
      <w:pPr>
        <w:ind w:left="6480" w:hanging="360"/>
      </w:pPr>
      <w:rPr>
        <w:rFonts w:ascii="Wingdings" w:hAnsi="Wingdings" w:hint="default"/>
      </w:rPr>
    </w:lvl>
  </w:abstractNum>
  <w:abstractNum w:abstractNumId="6" w15:restartNumberingAfterBreak="0">
    <w:nsid w:val="164D2B83"/>
    <w:multiLevelType w:val="hybridMultilevel"/>
    <w:tmpl w:val="1A4A05C6"/>
    <w:lvl w:ilvl="0" w:tplc="EB2A2BA8">
      <w:start w:val="1"/>
      <w:numFmt w:val="upperRoman"/>
      <w:lvlText w:val="%1."/>
      <w:lvlJc w:val="left"/>
      <w:pPr>
        <w:ind w:left="720" w:hanging="360"/>
      </w:pPr>
    </w:lvl>
    <w:lvl w:ilvl="1" w:tplc="336E8B9E">
      <w:start w:val="1"/>
      <w:numFmt w:val="lowerLetter"/>
      <w:lvlText w:val="%2."/>
      <w:lvlJc w:val="left"/>
      <w:pPr>
        <w:ind w:left="1440" w:hanging="360"/>
      </w:pPr>
    </w:lvl>
    <w:lvl w:ilvl="2" w:tplc="AD50692A">
      <w:start w:val="1"/>
      <w:numFmt w:val="lowerRoman"/>
      <w:lvlText w:val="%3."/>
      <w:lvlJc w:val="right"/>
      <w:pPr>
        <w:ind w:left="2160" w:hanging="180"/>
      </w:pPr>
    </w:lvl>
    <w:lvl w:ilvl="3" w:tplc="10F610DA">
      <w:start w:val="1"/>
      <w:numFmt w:val="decimal"/>
      <w:lvlText w:val="%4."/>
      <w:lvlJc w:val="left"/>
      <w:pPr>
        <w:ind w:left="2880" w:hanging="360"/>
      </w:pPr>
    </w:lvl>
    <w:lvl w:ilvl="4" w:tplc="BBB6DA34">
      <w:start w:val="1"/>
      <w:numFmt w:val="lowerLetter"/>
      <w:lvlText w:val="%5."/>
      <w:lvlJc w:val="left"/>
      <w:pPr>
        <w:ind w:left="3600" w:hanging="360"/>
      </w:pPr>
    </w:lvl>
    <w:lvl w:ilvl="5" w:tplc="754EA17A">
      <w:start w:val="1"/>
      <w:numFmt w:val="lowerRoman"/>
      <w:lvlText w:val="%6."/>
      <w:lvlJc w:val="right"/>
      <w:pPr>
        <w:ind w:left="4320" w:hanging="180"/>
      </w:pPr>
    </w:lvl>
    <w:lvl w:ilvl="6" w:tplc="5FDCE582">
      <w:start w:val="1"/>
      <w:numFmt w:val="decimal"/>
      <w:lvlText w:val="%7."/>
      <w:lvlJc w:val="left"/>
      <w:pPr>
        <w:ind w:left="5040" w:hanging="360"/>
      </w:pPr>
    </w:lvl>
    <w:lvl w:ilvl="7" w:tplc="4E9AC1D8">
      <w:start w:val="1"/>
      <w:numFmt w:val="lowerLetter"/>
      <w:lvlText w:val="%8."/>
      <w:lvlJc w:val="left"/>
      <w:pPr>
        <w:ind w:left="5760" w:hanging="360"/>
      </w:pPr>
    </w:lvl>
    <w:lvl w:ilvl="8" w:tplc="1DAA612C">
      <w:start w:val="1"/>
      <w:numFmt w:val="lowerRoman"/>
      <w:lvlText w:val="%9."/>
      <w:lvlJc w:val="right"/>
      <w:pPr>
        <w:ind w:left="6480" w:hanging="180"/>
      </w:pPr>
    </w:lvl>
  </w:abstractNum>
  <w:abstractNum w:abstractNumId="7" w15:restartNumberingAfterBreak="0">
    <w:nsid w:val="172D3CA3"/>
    <w:multiLevelType w:val="multilevel"/>
    <w:tmpl w:val="E53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E6B63"/>
    <w:multiLevelType w:val="hybridMultilevel"/>
    <w:tmpl w:val="09348BDE"/>
    <w:lvl w:ilvl="0" w:tplc="3878CEB8">
      <w:start w:val="1"/>
      <w:numFmt w:val="decimal"/>
      <w:lvlText w:val="%1."/>
      <w:lvlJc w:val="left"/>
      <w:pPr>
        <w:ind w:left="720" w:hanging="360"/>
      </w:pPr>
    </w:lvl>
    <w:lvl w:ilvl="1" w:tplc="09F0AEB0">
      <w:start w:val="1"/>
      <w:numFmt w:val="upperRoman"/>
      <w:lvlText w:val="%2."/>
      <w:lvlJc w:val="left"/>
      <w:pPr>
        <w:ind w:left="1440" w:hanging="360"/>
      </w:pPr>
    </w:lvl>
    <w:lvl w:ilvl="2" w:tplc="2236CE6C">
      <w:start w:val="1"/>
      <w:numFmt w:val="lowerRoman"/>
      <w:lvlText w:val="%3."/>
      <w:lvlJc w:val="right"/>
      <w:pPr>
        <w:ind w:left="2160" w:hanging="180"/>
      </w:pPr>
    </w:lvl>
    <w:lvl w:ilvl="3" w:tplc="92B251C8">
      <w:start w:val="1"/>
      <w:numFmt w:val="decimal"/>
      <w:lvlText w:val="%4."/>
      <w:lvlJc w:val="left"/>
      <w:pPr>
        <w:ind w:left="2880" w:hanging="360"/>
      </w:pPr>
    </w:lvl>
    <w:lvl w:ilvl="4" w:tplc="F2E273D6">
      <w:start w:val="1"/>
      <w:numFmt w:val="lowerLetter"/>
      <w:lvlText w:val="%5."/>
      <w:lvlJc w:val="left"/>
      <w:pPr>
        <w:ind w:left="3600" w:hanging="360"/>
      </w:pPr>
    </w:lvl>
    <w:lvl w:ilvl="5" w:tplc="71F2C618">
      <w:start w:val="1"/>
      <w:numFmt w:val="lowerRoman"/>
      <w:lvlText w:val="%6."/>
      <w:lvlJc w:val="right"/>
      <w:pPr>
        <w:ind w:left="4320" w:hanging="180"/>
      </w:pPr>
    </w:lvl>
    <w:lvl w:ilvl="6" w:tplc="185CF078">
      <w:start w:val="1"/>
      <w:numFmt w:val="decimal"/>
      <w:lvlText w:val="%7."/>
      <w:lvlJc w:val="left"/>
      <w:pPr>
        <w:ind w:left="5040" w:hanging="360"/>
      </w:pPr>
    </w:lvl>
    <w:lvl w:ilvl="7" w:tplc="EF3435C8">
      <w:start w:val="1"/>
      <w:numFmt w:val="lowerLetter"/>
      <w:lvlText w:val="%8."/>
      <w:lvlJc w:val="left"/>
      <w:pPr>
        <w:ind w:left="5760" w:hanging="360"/>
      </w:pPr>
    </w:lvl>
    <w:lvl w:ilvl="8" w:tplc="7FE047DA">
      <w:start w:val="1"/>
      <w:numFmt w:val="lowerRoman"/>
      <w:lvlText w:val="%9."/>
      <w:lvlJc w:val="right"/>
      <w:pPr>
        <w:ind w:left="6480" w:hanging="180"/>
      </w:pPr>
    </w:lvl>
  </w:abstractNum>
  <w:abstractNum w:abstractNumId="9" w15:restartNumberingAfterBreak="0">
    <w:nsid w:val="17553E91"/>
    <w:multiLevelType w:val="hybridMultilevel"/>
    <w:tmpl w:val="EF1E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03C83"/>
    <w:multiLevelType w:val="hybridMultilevel"/>
    <w:tmpl w:val="FFFFFFFF"/>
    <w:lvl w:ilvl="0" w:tplc="3962B4A2">
      <w:start w:val="1"/>
      <w:numFmt w:val="bullet"/>
      <w:lvlText w:val=""/>
      <w:lvlJc w:val="left"/>
      <w:pPr>
        <w:ind w:left="720" w:hanging="360"/>
      </w:pPr>
      <w:rPr>
        <w:rFonts w:ascii="Symbol" w:hAnsi="Symbol" w:hint="default"/>
      </w:rPr>
    </w:lvl>
    <w:lvl w:ilvl="1" w:tplc="40820542">
      <w:start w:val="1"/>
      <w:numFmt w:val="bullet"/>
      <w:lvlText w:val=""/>
      <w:lvlJc w:val="left"/>
      <w:pPr>
        <w:ind w:left="1440" w:hanging="360"/>
      </w:pPr>
      <w:rPr>
        <w:rFonts w:ascii="Symbol" w:hAnsi="Symbol" w:hint="default"/>
      </w:rPr>
    </w:lvl>
    <w:lvl w:ilvl="2" w:tplc="39003594">
      <w:start w:val="1"/>
      <w:numFmt w:val="bullet"/>
      <w:lvlText w:val=""/>
      <w:lvlJc w:val="left"/>
      <w:pPr>
        <w:ind w:left="2160" w:hanging="360"/>
      </w:pPr>
      <w:rPr>
        <w:rFonts w:ascii="Wingdings" w:hAnsi="Wingdings" w:hint="default"/>
      </w:rPr>
    </w:lvl>
    <w:lvl w:ilvl="3" w:tplc="FA06746E">
      <w:start w:val="1"/>
      <w:numFmt w:val="bullet"/>
      <w:lvlText w:val=""/>
      <w:lvlJc w:val="left"/>
      <w:pPr>
        <w:ind w:left="2880" w:hanging="360"/>
      </w:pPr>
      <w:rPr>
        <w:rFonts w:ascii="Symbol" w:hAnsi="Symbol" w:hint="default"/>
      </w:rPr>
    </w:lvl>
    <w:lvl w:ilvl="4" w:tplc="18E455DA">
      <w:start w:val="1"/>
      <w:numFmt w:val="bullet"/>
      <w:lvlText w:val="o"/>
      <w:lvlJc w:val="left"/>
      <w:pPr>
        <w:ind w:left="3600" w:hanging="360"/>
      </w:pPr>
      <w:rPr>
        <w:rFonts w:ascii="Courier New" w:hAnsi="Courier New" w:hint="default"/>
      </w:rPr>
    </w:lvl>
    <w:lvl w:ilvl="5" w:tplc="2834CCCC">
      <w:start w:val="1"/>
      <w:numFmt w:val="bullet"/>
      <w:lvlText w:val=""/>
      <w:lvlJc w:val="left"/>
      <w:pPr>
        <w:ind w:left="4320" w:hanging="360"/>
      </w:pPr>
      <w:rPr>
        <w:rFonts w:ascii="Wingdings" w:hAnsi="Wingdings" w:hint="default"/>
      </w:rPr>
    </w:lvl>
    <w:lvl w:ilvl="6" w:tplc="409E8310">
      <w:start w:val="1"/>
      <w:numFmt w:val="bullet"/>
      <w:lvlText w:val=""/>
      <w:lvlJc w:val="left"/>
      <w:pPr>
        <w:ind w:left="5040" w:hanging="360"/>
      </w:pPr>
      <w:rPr>
        <w:rFonts w:ascii="Symbol" w:hAnsi="Symbol" w:hint="default"/>
      </w:rPr>
    </w:lvl>
    <w:lvl w:ilvl="7" w:tplc="8A681F5C">
      <w:start w:val="1"/>
      <w:numFmt w:val="bullet"/>
      <w:lvlText w:val="o"/>
      <w:lvlJc w:val="left"/>
      <w:pPr>
        <w:ind w:left="5760" w:hanging="360"/>
      </w:pPr>
      <w:rPr>
        <w:rFonts w:ascii="Courier New" w:hAnsi="Courier New" w:hint="default"/>
      </w:rPr>
    </w:lvl>
    <w:lvl w:ilvl="8" w:tplc="6EE257CE">
      <w:start w:val="1"/>
      <w:numFmt w:val="bullet"/>
      <w:lvlText w:val=""/>
      <w:lvlJc w:val="left"/>
      <w:pPr>
        <w:ind w:left="6480" w:hanging="360"/>
      </w:pPr>
      <w:rPr>
        <w:rFonts w:ascii="Wingdings" w:hAnsi="Wingdings" w:hint="default"/>
      </w:rPr>
    </w:lvl>
  </w:abstractNum>
  <w:abstractNum w:abstractNumId="11" w15:restartNumberingAfterBreak="0">
    <w:nsid w:val="1A0430C0"/>
    <w:multiLevelType w:val="hybridMultilevel"/>
    <w:tmpl w:val="F9BEAAA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16228"/>
    <w:multiLevelType w:val="hybridMultilevel"/>
    <w:tmpl w:val="E73C7932"/>
    <w:lvl w:ilvl="0" w:tplc="E9BA1960">
      <w:start w:val="1"/>
      <w:numFmt w:val="bullet"/>
      <w:lvlText w:val=""/>
      <w:lvlJc w:val="left"/>
      <w:pPr>
        <w:ind w:left="720" w:hanging="360"/>
      </w:pPr>
      <w:rPr>
        <w:rFonts w:ascii="Symbol" w:hAnsi="Symbol" w:hint="default"/>
      </w:rPr>
    </w:lvl>
    <w:lvl w:ilvl="1" w:tplc="C49C27E8">
      <w:start w:val="1"/>
      <w:numFmt w:val="bullet"/>
      <w:lvlText w:val=""/>
      <w:lvlJc w:val="left"/>
      <w:pPr>
        <w:ind w:left="1440" w:hanging="360"/>
      </w:pPr>
      <w:rPr>
        <w:rFonts w:ascii="Symbol" w:hAnsi="Symbol" w:hint="default"/>
      </w:rPr>
    </w:lvl>
    <w:lvl w:ilvl="2" w:tplc="6378624E">
      <w:start w:val="1"/>
      <w:numFmt w:val="bullet"/>
      <w:lvlText w:val=""/>
      <w:lvlJc w:val="left"/>
      <w:pPr>
        <w:ind w:left="2160" w:hanging="360"/>
      </w:pPr>
      <w:rPr>
        <w:rFonts w:ascii="Wingdings" w:hAnsi="Wingdings" w:hint="default"/>
      </w:rPr>
    </w:lvl>
    <w:lvl w:ilvl="3" w:tplc="D3724948">
      <w:start w:val="1"/>
      <w:numFmt w:val="bullet"/>
      <w:lvlText w:val=""/>
      <w:lvlJc w:val="left"/>
      <w:pPr>
        <w:ind w:left="2880" w:hanging="360"/>
      </w:pPr>
      <w:rPr>
        <w:rFonts w:ascii="Symbol" w:hAnsi="Symbol" w:hint="default"/>
      </w:rPr>
    </w:lvl>
    <w:lvl w:ilvl="4" w:tplc="CEF41D52">
      <w:start w:val="1"/>
      <w:numFmt w:val="bullet"/>
      <w:lvlText w:val="o"/>
      <w:lvlJc w:val="left"/>
      <w:pPr>
        <w:ind w:left="3600" w:hanging="360"/>
      </w:pPr>
      <w:rPr>
        <w:rFonts w:ascii="Courier New" w:hAnsi="Courier New" w:hint="default"/>
      </w:rPr>
    </w:lvl>
    <w:lvl w:ilvl="5" w:tplc="14E8545E">
      <w:start w:val="1"/>
      <w:numFmt w:val="bullet"/>
      <w:lvlText w:val=""/>
      <w:lvlJc w:val="left"/>
      <w:pPr>
        <w:ind w:left="4320" w:hanging="360"/>
      </w:pPr>
      <w:rPr>
        <w:rFonts w:ascii="Wingdings" w:hAnsi="Wingdings" w:hint="default"/>
      </w:rPr>
    </w:lvl>
    <w:lvl w:ilvl="6" w:tplc="1FD6D74C">
      <w:start w:val="1"/>
      <w:numFmt w:val="bullet"/>
      <w:lvlText w:val=""/>
      <w:lvlJc w:val="left"/>
      <w:pPr>
        <w:ind w:left="5040" w:hanging="360"/>
      </w:pPr>
      <w:rPr>
        <w:rFonts w:ascii="Symbol" w:hAnsi="Symbol" w:hint="default"/>
      </w:rPr>
    </w:lvl>
    <w:lvl w:ilvl="7" w:tplc="2250AE50">
      <w:start w:val="1"/>
      <w:numFmt w:val="bullet"/>
      <w:lvlText w:val="o"/>
      <w:lvlJc w:val="left"/>
      <w:pPr>
        <w:ind w:left="5760" w:hanging="360"/>
      </w:pPr>
      <w:rPr>
        <w:rFonts w:ascii="Courier New" w:hAnsi="Courier New" w:hint="default"/>
      </w:rPr>
    </w:lvl>
    <w:lvl w:ilvl="8" w:tplc="AC9A21EC">
      <w:start w:val="1"/>
      <w:numFmt w:val="bullet"/>
      <w:lvlText w:val=""/>
      <w:lvlJc w:val="left"/>
      <w:pPr>
        <w:ind w:left="6480" w:hanging="360"/>
      </w:pPr>
      <w:rPr>
        <w:rFonts w:ascii="Wingdings" w:hAnsi="Wingdings" w:hint="default"/>
      </w:rPr>
    </w:lvl>
  </w:abstractNum>
  <w:abstractNum w:abstractNumId="13" w15:restartNumberingAfterBreak="0">
    <w:nsid w:val="1ED51ABB"/>
    <w:multiLevelType w:val="hybridMultilevel"/>
    <w:tmpl w:val="054EEF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73775"/>
    <w:multiLevelType w:val="hybridMultilevel"/>
    <w:tmpl w:val="06E4CD2A"/>
    <w:lvl w:ilvl="0" w:tplc="06E61B6A">
      <w:start w:val="500"/>
      <w:numFmt w:val="upperRoman"/>
      <w:lvlText w:val="%1."/>
      <w:lvlJc w:val="left"/>
      <w:pPr>
        <w:ind w:left="1080" w:hanging="72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66FCC"/>
    <w:multiLevelType w:val="hybridMultilevel"/>
    <w:tmpl w:val="6A2235A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5742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C5D1F18"/>
    <w:multiLevelType w:val="multilevel"/>
    <w:tmpl w:val="3C9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67591"/>
    <w:multiLevelType w:val="hybridMultilevel"/>
    <w:tmpl w:val="112C0B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284F4D"/>
    <w:multiLevelType w:val="hybridMultilevel"/>
    <w:tmpl w:val="FFFFFFFF"/>
    <w:lvl w:ilvl="0" w:tplc="06123F66">
      <w:start w:val="1"/>
      <w:numFmt w:val="bullet"/>
      <w:lvlText w:val=""/>
      <w:lvlJc w:val="left"/>
      <w:pPr>
        <w:ind w:left="720" w:hanging="360"/>
      </w:pPr>
      <w:rPr>
        <w:rFonts w:ascii="Symbol" w:hAnsi="Symbol" w:hint="default"/>
      </w:rPr>
    </w:lvl>
    <w:lvl w:ilvl="1" w:tplc="A62A0DEA">
      <w:start w:val="1"/>
      <w:numFmt w:val="bullet"/>
      <w:lvlText w:val=""/>
      <w:lvlJc w:val="left"/>
      <w:pPr>
        <w:ind w:left="1440" w:hanging="360"/>
      </w:pPr>
      <w:rPr>
        <w:rFonts w:ascii="Symbol" w:hAnsi="Symbol" w:hint="default"/>
      </w:rPr>
    </w:lvl>
    <w:lvl w:ilvl="2" w:tplc="1D5CB196">
      <w:start w:val="1"/>
      <w:numFmt w:val="bullet"/>
      <w:lvlText w:val=""/>
      <w:lvlJc w:val="left"/>
      <w:pPr>
        <w:ind w:left="2160" w:hanging="360"/>
      </w:pPr>
      <w:rPr>
        <w:rFonts w:ascii="Wingdings" w:hAnsi="Wingdings" w:hint="default"/>
      </w:rPr>
    </w:lvl>
    <w:lvl w:ilvl="3" w:tplc="624A2B5C">
      <w:start w:val="1"/>
      <w:numFmt w:val="bullet"/>
      <w:lvlText w:val=""/>
      <w:lvlJc w:val="left"/>
      <w:pPr>
        <w:ind w:left="2880" w:hanging="360"/>
      </w:pPr>
      <w:rPr>
        <w:rFonts w:ascii="Symbol" w:hAnsi="Symbol" w:hint="default"/>
      </w:rPr>
    </w:lvl>
    <w:lvl w:ilvl="4" w:tplc="AF7A804E">
      <w:start w:val="1"/>
      <w:numFmt w:val="bullet"/>
      <w:lvlText w:val="o"/>
      <w:lvlJc w:val="left"/>
      <w:pPr>
        <w:ind w:left="3600" w:hanging="360"/>
      </w:pPr>
      <w:rPr>
        <w:rFonts w:ascii="Courier New" w:hAnsi="Courier New" w:hint="default"/>
      </w:rPr>
    </w:lvl>
    <w:lvl w:ilvl="5" w:tplc="AFFA7BE8">
      <w:start w:val="1"/>
      <w:numFmt w:val="bullet"/>
      <w:lvlText w:val=""/>
      <w:lvlJc w:val="left"/>
      <w:pPr>
        <w:ind w:left="4320" w:hanging="360"/>
      </w:pPr>
      <w:rPr>
        <w:rFonts w:ascii="Wingdings" w:hAnsi="Wingdings" w:hint="default"/>
      </w:rPr>
    </w:lvl>
    <w:lvl w:ilvl="6" w:tplc="1A1E4E1C">
      <w:start w:val="1"/>
      <w:numFmt w:val="bullet"/>
      <w:lvlText w:val=""/>
      <w:lvlJc w:val="left"/>
      <w:pPr>
        <w:ind w:left="5040" w:hanging="360"/>
      </w:pPr>
      <w:rPr>
        <w:rFonts w:ascii="Symbol" w:hAnsi="Symbol" w:hint="default"/>
      </w:rPr>
    </w:lvl>
    <w:lvl w:ilvl="7" w:tplc="DAB4AF68">
      <w:start w:val="1"/>
      <w:numFmt w:val="bullet"/>
      <w:lvlText w:val="o"/>
      <w:lvlJc w:val="left"/>
      <w:pPr>
        <w:ind w:left="5760" w:hanging="360"/>
      </w:pPr>
      <w:rPr>
        <w:rFonts w:ascii="Courier New" w:hAnsi="Courier New" w:hint="default"/>
      </w:rPr>
    </w:lvl>
    <w:lvl w:ilvl="8" w:tplc="CF2076DE">
      <w:start w:val="1"/>
      <w:numFmt w:val="bullet"/>
      <w:lvlText w:val=""/>
      <w:lvlJc w:val="left"/>
      <w:pPr>
        <w:ind w:left="6480" w:hanging="360"/>
      </w:pPr>
      <w:rPr>
        <w:rFonts w:ascii="Wingdings" w:hAnsi="Wingdings" w:hint="default"/>
      </w:rPr>
    </w:lvl>
  </w:abstractNum>
  <w:abstractNum w:abstractNumId="20" w15:restartNumberingAfterBreak="0">
    <w:nsid w:val="38246D75"/>
    <w:multiLevelType w:val="hybridMultilevel"/>
    <w:tmpl w:val="F7D2BC14"/>
    <w:lvl w:ilvl="0" w:tplc="0486F6A4">
      <w:start w:val="1"/>
      <w:numFmt w:val="upperRoman"/>
      <w:lvlText w:val="%1."/>
      <w:lvlJc w:val="left"/>
      <w:pPr>
        <w:ind w:left="720" w:hanging="360"/>
      </w:pPr>
    </w:lvl>
    <w:lvl w:ilvl="1" w:tplc="B55AF500">
      <w:start w:val="1"/>
      <w:numFmt w:val="lowerLetter"/>
      <w:lvlText w:val="%2."/>
      <w:lvlJc w:val="left"/>
      <w:pPr>
        <w:ind w:left="1440" w:hanging="360"/>
      </w:pPr>
    </w:lvl>
    <w:lvl w:ilvl="2" w:tplc="C4CC68BE">
      <w:start w:val="1"/>
      <w:numFmt w:val="lowerRoman"/>
      <w:lvlText w:val="%3."/>
      <w:lvlJc w:val="right"/>
      <w:pPr>
        <w:ind w:left="2160" w:hanging="180"/>
      </w:pPr>
    </w:lvl>
    <w:lvl w:ilvl="3" w:tplc="BDB0B1FE">
      <w:start w:val="1"/>
      <w:numFmt w:val="decimal"/>
      <w:lvlText w:val="%4."/>
      <w:lvlJc w:val="left"/>
      <w:pPr>
        <w:ind w:left="2880" w:hanging="360"/>
      </w:pPr>
    </w:lvl>
    <w:lvl w:ilvl="4" w:tplc="038C71B8">
      <w:start w:val="1"/>
      <w:numFmt w:val="lowerLetter"/>
      <w:lvlText w:val="%5."/>
      <w:lvlJc w:val="left"/>
      <w:pPr>
        <w:ind w:left="3600" w:hanging="360"/>
      </w:pPr>
    </w:lvl>
    <w:lvl w:ilvl="5" w:tplc="32985418">
      <w:start w:val="1"/>
      <w:numFmt w:val="lowerRoman"/>
      <w:lvlText w:val="%6."/>
      <w:lvlJc w:val="right"/>
      <w:pPr>
        <w:ind w:left="4320" w:hanging="180"/>
      </w:pPr>
    </w:lvl>
    <w:lvl w:ilvl="6" w:tplc="B218F894">
      <w:start w:val="1"/>
      <w:numFmt w:val="decimal"/>
      <w:lvlText w:val="%7."/>
      <w:lvlJc w:val="left"/>
      <w:pPr>
        <w:ind w:left="5040" w:hanging="360"/>
      </w:pPr>
    </w:lvl>
    <w:lvl w:ilvl="7" w:tplc="D9EA62BE">
      <w:start w:val="1"/>
      <w:numFmt w:val="lowerLetter"/>
      <w:lvlText w:val="%8."/>
      <w:lvlJc w:val="left"/>
      <w:pPr>
        <w:ind w:left="5760" w:hanging="360"/>
      </w:pPr>
    </w:lvl>
    <w:lvl w:ilvl="8" w:tplc="A8729FDC">
      <w:start w:val="1"/>
      <w:numFmt w:val="lowerRoman"/>
      <w:lvlText w:val="%9."/>
      <w:lvlJc w:val="right"/>
      <w:pPr>
        <w:ind w:left="6480" w:hanging="180"/>
      </w:pPr>
    </w:lvl>
  </w:abstractNum>
  <w:abstractNum w:abstractNumId="21" w15:restartNumberingAfterBreak="0">
    <w:nsid w:val="38932639"/>
    <w:multiLevelType w:val="hybridMultilevel"/>
    <w:tmpl w:val="2DEE7332"/>
    <w:lvl w:ilvl="0" w:tplc="CB785B6A">
      <w:start w:val="1"/>
      <w:numFmt w:val="upperRoman"/>
      <w:lvlText w:val="%1."/>
      <w:lvlJc w:val="left"/>
      <w:pPr>
        <w:ind w:left="720" w:hanging="360"/>
      </w:pPr>
    </w:lvl>
    <w:lvl w:ilvl="1" w:tplc="75CC835A">
      <w:start w:val="1"/>
      <w:numFmt w:val="lowerLetter"/>
      <w:lvlText w:val="%2."/>
      <w:lvlJc w:val="left"/>
      <w:pPr>
        <w:ind w:left="1440" w:hanging="360"/>
      </w:pPr>
    </w:lvl>
    <w:lvl w:ilvl="2" w:tplc="A3744174">
      <w:start w:val="1"/>
      <w:numFmt w:val="lowerRoman"/>
      <w:lvlText w:val="%3."/>
      <w:lvlJc w:val="right"/>
      <w:pPr>
        <w:ind w:left="2160" w:hanging="180"/>
      </w:pPr>
    </w:lvl>
    <w:lvl w:ilvl="3" w:tplc="7A00E744">
      <w:start w:val="1"/>
      <w:numFmt w:val="decimal"/>
      <w:lvlText w:val="%4."/>
      <w:lvlJc w:val="left"/>
      <w:pPr>
        <w:ind w:left="2880" w:hanging="360"/>
      </w:pPr>
    </w:lvl>
    <w:lvl w:ilvl="4" w:tplc="A720270C">
      <w:start w:val="1"/>
      <w:numFmt w:val="lowerLetter"/>
      <w:lvlText w:val="%5."/>
      <w:lvlJc w:val="left"/>
      <w:pPr>
        <w:ind w:left="3600" w:hanging="360"/>
      </w:pPr>
    </w:lvl>
    <w:lvl w:ilvl="5" w:tplc="850458E8">
      <w:start w:val="1"/>
      <w:numFmt w:val="lowerRoman"/>
      <w:lvlText w:val="%6."/>
      <w:lvlJc w:val="right"/>
      <w:pPr>
        <w:ind w:left="4320" w:hanging="180"/>
      </w:pPr>
    </w:lvl>
    <w:lvl w:ilvl="6" w:tplc="2B34C4D8">
      <w:start w:val="1"/>
      <w:numFmt w:val="decimal"/>
      <w:lvlText w:val="%7."/>
      <w:lvlJc w:val="left"/>
      <w:pPr>
        <w:ind w:left="5040" w:hanging="360"/>
      </w:pPr>
    </w:lvl>
    <w:lvl w:ilvl="7" w:tplc="14E4E822">
      <w:start w:val="1"/>
      <w:numFmt w:val="lowerLetter"/>
      <w:lvlText w:val="%8."/>
      <w:lvlJc w:val="left"/>
      <w:pPr>
        <w:ind w:left="5760" w:hanging="360"/>
      </w:pPr>
    </w:lvl>
    <w:lvl w:ilvl="8" w:tplc="E176FB3E">
      <w:start w:val="1"/>
      <w:numFmt w:val="lowerRoman"/>
      <w:lvlText w:val="%9."/>
      <w:lvlJc w:val="right"/>
      <w:pPr>
        <w:ind w:left="6480" w:hanging="180"/>
      </w:pPr>
    </w:lvl>
  </w:abstractNum>
  <w:abstractNum w:abstractNumId="22" w15:restartNumberingAfterBreak="0">
    <w:nsid w:val="3E766B61"/>
    <w:multiLevelType w:val="hybridMultilevel"/>
    <w:tmpl w:val="FFFFFFFF"/>
    <w:lvl w:ilvl="0" w:tplc="6FB28C26">
      <w:start w:val="1"/>
      <w:numFmt w:val="decimal"/>
      <w:lvlText w:val="%1."/>
      <w:lvlJc w:val="left"/>
      <w:pPr>
        <w:ind w:left="720" w:hanging="360"/>
      </w:pPr>
    </w:lvl>
    <w:lvl w:ilvl="1" w:tplc="1C5A0874">
      <w:start w:val="1"/>
      <w:numFmt w:val="lowerLetter"/>
      <w:lvlText w:val="%2."/>
      <w:lvlJc w:val="left"/>
      <w:pPr>
        <w:ind w:left="1440" w:hanging="360"/>
      </w:pPr>
    </w:lvl>
    <w:lvl w:ilvl="2" w:tplc="AB06B95A">
      <w:start w:val="1"/>
      <w:numFmt w:val="lowerRoman"/>
      <w:lvlText w:val="%3."/>
      <w:lvlJc w:val="right"/>
      <w:pPr>
        <w:ind w:left="2160" w:hanging="180"/>
      </w:pPr>
    </w:lvl>
    <w:lvl w:ilvl="3" w:tplc="291EC0E4">
      <w:start w:val="1"/>
      <w:numFmt w:val="decimal"/>
      <w:lvlText w:val="%4."/>
      <w:lvlJc w:val="left"/>
      <w:pPr>
        <w:ind w:left="2880" w:hanging="360"/>
      </w:pPr>
    </w:lvl>
    <w:lvl w:ilvl="4" w:tplc="72B64786">
      <w:start w:val="1"/>
      <w:numFmt w:val="lowerLetter"/>
      <w:lvlText w:val="%5."/>
      <w:lvlJc w:val="left"/>
      <w:pPr>
        <w:ind w:left="3600" w:hanging="360"/>
      </w:pPr>
    </w:lvl>
    <w:lvl w:ilvl="5" w:tplc="5572856C">
      <w:start w:val="1"/>
      <w:numFmt w:val="lowerRoman"/>
      <w:lvlText w:val="%6."/>
      <w:lvlJc w:val="right"/>
      <w:pPr>
        <w:ind w:left="4320" w:hanging="180"/>
      </w:pPr>
    </w:lvl>
    <w:lvl w:ilvl="6" w:tplc="1E0E57EE">
      <w:start w:val="1"/>
      <w:numFmt w:val="decimal"/>
      <w:lvlText w:val="%7."/>
      <w:lvlJc w:val="left"/>
      <w:pPr>
        <w:ind w:left="5040" w:hanging="360"/>
      </w:pPr>
    </w:lvl>
    <w:lvl w:ilvl="7" w:tplc="D334EC46">
      <w:start w:val="1"/>
      <w:numFmt w:val="lowerLetter"/>
      <w:lvlText w:val="%8."/>
      <w:lvlJc w:val="left"/>
      <w:pPr>
        <w:ind w:left="5760" w:hanging="360"/>
      </w:pPr>
    </w:lvl>
    <w:lvl w:ilvl="8" w:tplc="CE5EAAD4">
      <w:start w:val="1"/>
      <w:numFmt w:val="lowerRoman"/>
      <w:lvlText w:val="%9."/>
      <w:lvlJc w:val="right"/>
      <w:pPr>
        <w:ind w:left="6480" w:hanging="180"/>
      </w:pPr>
    </w:lvl>
  </w:abstractNum>
  <w:abstractNum w:abstractNumId="23" w15:restartNumberingAfterBreak="0">
    <w:nsid w:val="3EA205BF"/>
    <w:multiLevelType w:val="hybridMultilevel"/>
    <w:tmpl w:val="FFFFFFFF"/>
    <w:lvl w:ilvl="0" w:tplc="5B28AB02">
      <w:start w:val="1"/>
      <w:numFmt w:val="decimal"/>
      <w:lvlText w:val="%1."/>
      <w:lvlJc w:val="left"/>
      <w:pPr>
        <w:ind w:left="720" w:hanging="360"/>
      </w:pPr>
    </w:lvl>
    <w:lvl w:ilvl="1" w:tplc="F5508018">
      <w:start w:val="1"/>
      <w:numFmt w:val="lowerLetter"/>
      <w:lvlText w:val="%2."/>
      <w:lvlJc w:val="left"/>
      <w:pPr>
        <w:ind w:left="1440" w:hanging="360"/>
      </w:pPr>
    </w:lvl>
    <w:lvl w:ilvl="2" w:tplc="82207FA2">
      <w:start w:val="1"/>
      <w:numFmt w:val="lowerRoman"/>
      <w:lvlText w:val="%3."/>
      <w:lvlJc w:val="right"/>
      <w:pPr>
        <w:ind w:left="2160" w:hanging="180"/>
      </w:pPr>
    </w:lvl>
    <w:lvl w:ilvl="3" w:tplc="EAAA34BA">
      <w:start w:val="1"/>
      <w:numFmt w:val="decimal"/>
      <w:lvlText w:val="%4."/>
      <w:lvlJc w:val="left"/>
      <w:pPr>
        <w:ind w:left="2880" w:hanging="360"/>
      </w:pPr>
    </w:lvl>
    <w:lvl w:ilvl="4" w:tplc="0AFCE496">
      <w:start w:val="1"/>
      <w:numFmt w:val="lowerLetter"/>
      <w:lvlText w:val="%5."/>
      <w:lvlJc w:val="left"/>
      <w:pPr>
        <w:ind w:left="3600" w:hanging="360"/>
      </w:pPr>
    </w:lvl>
    <w:lvl w:ilvl="5" w:tplc="DE12F4E0">
      <w:start w:val="1"/>
      <w:numFmt w:val="lowerRoman"/>
      <w:lvlText w:val="%6."/>
      <w:lvlJc w:val="right"/>
      <w:pPr>
        <w:ind w:left="4320" w:hanging="180"/>
      </w:pPr>
    </w:lvl>
    <w:lvl w:ilvl="6" w:tplc="CA84C7A6">
      <w:start w:val="1"/>
      <w:numFmt w:val="decimal"/>
      <w:lvlText w:val="%7."/>
      <w:lvlJc w:val="left"/>
      <w:pPr>
        <w:ind w:left="5040" w:hanging="360"/>
      </w:pPr>
    </w:lvl>
    <w:lvl w:ilvl="7" w:tplc="C51C4002">
      <w:start w:val="1"/>
      <w:numFmt w:val="lowerLetter"/>
      <w:lvlText w:val="%8."/>
      <w:lvlJc w:val="left"/>
      <w:pPr>
        <w:ind w:left="5760" w:hanging="360"/>
      </w:pPr>
    </w:lvl>
    <w:lvl w:ilvl="8" w:tplc="FBEE6910">
      <w:start w:val="1"/>
      <w:numFmt w:val="lowerRoman"/>
      <w:lvlText w:val="%9."/>
      <w:lvlJc w:val="right"/>
      <w:pPr>
        <w:ind w:left="6480" w:hanging="180"/>
      </w:pPr>
    </w:lvl>
  </w:abstractNum>
  <w:abstractNum w:abstractNumId="24" w15:restartNumberingAfterBreak="0">
    <w:nsid w:val="420A32C6"/>
    <w:multiLevelType w:val="hybridMultilevel"/>
    <w:tmpl w:val="FFFFFFFF"/>
    <w:lvl w:ilvl="0" w:tplc="0BBC67A0">
      <w:start w:val="1"/>
      <w:numFmt w:val="lowerRoman"/>
      <w:lvlText w:val="(%1)"/>
      <w:lvlJc w:val="right"/>
      <w:pPr>
        <w:ind w:left="720" w:hanging="360"/>
      </w:pPr>
    </w:lvl>
    <w:lvl w:ilvl="1" w:tplc="FFFFFFFF">
      <w:start w:val="1"/>
      <w:numFmt w:val="lowerLetter"/>
      <w:lvlText w:val="%2."/>
      <w:lvlJc w:val="left"/>
      <w:pPr>
        <w:ind w:left="1440" w:hanging="360"/>
      </w:pPr>
    </w:lvl>
    <w:lvl w:ilvl="2" w:tplc="C890E3AA">
      <w:start w:val="1"/>
      <w:numFmt w:val="lowerRoman"/>
      <w:lvlText w:val="%3."/>
      <w:lvlJc w:val="right"/>
      <w:pPr>
        <w:ind w:left="2160" w:hanging="180"/>
      </w:pPr>
    </w:lvl>
    <w:lvl w:ilvl="3" w:tplc="AD701F50">
      <w:start w:val="1"/>
      <w:numFmt w:val="decimal"/>
      <w:lvlText w:val="%4."/>
      <w:lvlJc w:val="left"/>
      <w:pPr>
        <w:ind w:left="2880" w:hanging="360"/>
      </w:pPr>
    </w:lvl>
    <w:lvl w:ilvl="4" w:tplc="9D321CFA">
      <w:start w:val="1"/>
      <w:numFmt w:val="lowerLetter"/>
      <w:lvlText w:val="%5."/>
      <w:lvlJc w:val="left"/>
      <w:pPr>
        <w:ind w:left="3600" w:hanging="360"/>
      </w:pPr>
    </w:lvl>
    <w:lvl w:ilvl="5" w:tplc="26920778">
      <w:start w:val="1"/>
      <w:numFmt w:val="lowerRoman"/>
      <w:lvlText w:val="%6."/>
      <w:lvlJc w:val="right"/>
      <w:pPr>
        <w:ind w:left="4320" w:hanging="180"/>
      </w:pPr>
    </w:lvl>
    <w:lvl w:ilvl="6" w:tplc="E6BE94D8">
      <w:start w:val="1"/>
      <w:numFmt w:val="decimal"/>
      <w:lvlText w:val="%7."/>
      <w:lvlJc w:val="left"/>
      <w:pPr>
        <w:ind w:left="5040" w:hanging="360"/>
      </w:pPr>
    </w:lvl>
    <w:lvl w:ilvl="7" w:tplc="C8666A0E">
      <w:start w:val="1"/>
      <w:numFmt w:val="lowerLetter"/>
      <w:lvlText w:val="%8."/>
      <w:lvlJc w:val="left"/>
      <w:pPr>
        <w:ind w:left="5760" w:hanging="360"/>
      </w:pPr>
    </w:lvl>
    <w:lvl w:ilvl="8" w:tplc="1AE89CD4">
      <w:start w:val="1"/>
      <w:numFmt w:val="lowerRoman"/>
      <w:lvlText w:val="%9."/>
      <w:lvlJc w:val="right"/>
      <w:pPr>
        <w:ind w:left="6480" w:hanging="180"/>
      </w:pPr>
    </w:lvl>
  </w:abstractNum>
  <w:abstractNum w:abstractNumId="25" w15:restartNumberingAfterBreak="0">
    <w:nsid w:val="43D21EC1"/>
    <w:multiLevelType w:val="hybridMultilevel"/>
    <w:tmpl w:val="B80E9674"/>
    <w:lvl w:ilvl="0" w:tplc="FFFFFFFF">
      <w:start w:val="1"/>
      <w:numFmt w:val="lowerLetter"/>
      <w:lvlText w:val="%1."/>
      <w:lvlJc w:val="left"/>
      <w:pPr>
        <w:ind w:left="-900" w:hanging="360"/>
      </w:pPr>
      <w:rPr>
        <w:u w:val="none"/>
      </w:rPr>
    </w:lvl>
    <w:lvl w:ilvl="1" w:tplc="FFFFFFFF">
      <w:start w:val="1"/>
      <w:numFmt w:val="lowerLetter"/>
      <w:lvlText w:val="%2."/>
      <w:lvlJc w:val="left"/>
      <w:pPr>
        <w:ind w:left="-180" w:hanging="360"/>
      </w:pPr>
    </w:lvl>
    <w:lvl w:ilvl="2" w:tplc="C5EED86C">
      <w:start w:val="4"/>
      <w:numFmt w:val="lowerRoman"/>
      <w:lvlText w:val="%3."/>
      <w:lvlJc w:val="left"/>
      <w:pPr>
        <w:ind w:left="1080" w:hanging="720"/>
      </w:pPr>
      <w:rPr>
        <w:rFonts w:hint="default"/>
      </w:r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48A11BF9"/>
    <w:multiLevelType w:val="hybridMultilevel"/>
    <w:tmpl w:val="D4AA2C42"/>
    <w:lvl w:ilvl="0" w:tplc="B90A5992">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CAC1C3E">
      <w:start w:val="1"/>
      <w:numFmt w:val="decimal"/>
      <w:lvlText w:val="%4."/>
      <w:lvlJc w:val="left"/>
      <w:pPr>
        <w:ind w:left="2880" w:hanging="360"/>
      </w:pPr>
    </w:lvl>
    <w:lvl w:ilvl="4" w:tplc="D8F6E570">
      <w:start w:val="1"/>
      <w:numFmt w:val="lowerLetter"/>
      <w:lvlText w:val="%5."/>
      <w:lvlJc w:val="left"/>
      <w:pPr>
        <w:ind w:left="3600" w:hanging="360"/>
      </w:pPr>
    </w:lvl>
    <w:lvl w:ilvl="5" w:tplc="8B1E6D46">
      <w:start w:val="1"/>
      <w:numFmt w:val="lowerRoman"/>
      <w:lvlText w:val="%6."/>
      <w:lvlJc w:val="right"/>
      <w:pPr>
        <w:ind w:left="4320" w:hanging="180"/>
      </w:pPr>
    </w:lvl>
    <w:lvl w:ilvl="6" w:tplc="816C877A">
      <w:start w:val="1"/>
      <w:numFmt w:val="decimal"/>
      <w:lvlText w:val="%7."/>
      <w:lvlJc w:val="left"/>
      <w:pPr>
        <w:ind w:left="5040" w:hanging="360"/>
      </w:pPr>
    </w:lvl>
    <w:lvl w:ilvl="7" w:tplc="F83490D4">
      <w:start w:val="1"/>
      <w:numFmt w:val="lowerLetter"/>
      <w:lvlText w:val="%8."/>
      <w:lvlJc w:val="left"/>
      <w:pPr>
        <w:ind w:left="5760" w:hanging="360"/>
      </w:pPr>
    </w:lvl>
    <w:lvl w:ilvl="8" w:tplc="B8B222CA">
      <w:start w:val="1"/>
      <w:numFmt w:val="lowerRoman"/>
      <w:lvlText w:val="%9."/>
      <w:lvlJc w:val="right"/>
      <w:pPr>
        <w:ind w:left="6480" w:hanging="180"/>
      </w:pPr>
    </w:lvl>
  </w:abstractNum>
  <w:abstractNum w:abstractNumId="27" w15:restartNumberingAfterBreak="0">
    <w:nsid w:val="490B7923"/>
    <w:multiLevelType w:val="hybridMultilevel"/>
    <w:tmpl w:val="238CF5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E0EC2"/>
    <w:multiLevelType w:val="hybridMultilevel"/>
    <w:tmpl w:val="BA3E50A0"/>
    <w:lvl w:ilvl="0" w:tplc="8CB0E690">
      <w:start w:val="1"/>
      <w:numFmt w:val="upperRoman"/>
      <w:lvlText w:val="%1."/>
      <w:lvlJc w:val="left"/>
      <w:pPr>
        <w:ind w:left="720" w:hanging="360"/>
      </w:pPr>
    </w:lvl>
    <w:lvl w:ilvl="1" w:tplc="9F68C254">
      <w:start w:val="1"/>
      <w:numFmt w:val="lowerLetter"/>
      <w:lvlText w:val="%2."/>
      <w:lvlJc w:val="left"/>
      <w:pPr>
        <w:ind w:left="1440" w:hanging="360"/>
      </w:pPr>
    </w:lvl>
    <w:lvl w:ilvl="2" w:tplc="AD227DF2">
      <w:start w:val="1"/>
      <w:numFmt w:val="lowerRoman"/>
      <w:lvlText w:val="%3."/>
      <w:lvlJc w:val="right"/>
      <w:pPr>
        <w:ind w:left="2160" w:hanging="180"/>
      </w:pPr>
    </w:lvl>
    <w:lvl w:ilvl="3" w:tplc="45543662">
      <w:start w:val="1"/>
      <w:numFmt w:val="decimal"/>
      <w:lvlText w:val="%4."/>
      <w:lvlJc w:val="left"/>
      <w:pPr>
        <w:ind w:left="2880" w:hanging="360"/>
      </w:pPr>
    </w:lvl>
    <w:lvl w:ilvl="4" w:tplc="AF1E8B4E">
      <w:start w:val="1"/>
      <w:numFmt w:val="lowerLetter"/>
      <w:lvlText w:val="%5."/>
      <w:lvlJc w:val="left"/>
      <w:pPr>
        <w:ind w:left="3600" w:hanging="360"/>
      </w:pPr>
    </w:lvl>
    <w:lvl w:ilvl="5" w:tplc="CE5C4CA6">
      <w:start w:val="1"/>
      <w:numFmt w:val="lowerRoman"/>
      <w:lvlText w:val="%6."/>
      <w:lvlJc w:val="right"/>
      <w:pPr>
        <w:ind w:left="4320" w:hanging="180"/>
      </w:pPr>
    </w:lvl>
    <w:lvl w:ilvl="6" w:tplc="0DC6A13C">
      <w:start w:val="1"/>
      <w:numFmt w:val="decimal"/>
      <w:lvlText w:val="%7."/>
      <w:lvlJc w:val="left"/>
      <w:pPr>
        <w:ind w:left="5040" w:hanging="360"/>
      </w:pPr>
    </w:lvl>
    <w:lvl w:ilvl="7" w:tplc="03FC3B1C">
      <w:start w:val="1"/>
      <w:numFmt w:val="lowerLetter"/>
      <w:lvlText w:val="%8."/>
      <w:lvlJc w:val="left"/>
      <w:pPr>
        <w:ind w:left="5760" w:hanging="360"/>
      </w:pPr>
    </w:lvl>
    <w:lvl w:ilvl="8" w:tplc="0330BF02">
      <w:start w:val="1"/>
      <w:numFmt w:val="lowerRoman"/>
      <w:lvlText w:val="%9."/>
      <w:lvlJc w:val="right"/>
      <w:pPr>
        <w:ind w:left="6480" w:hanging="180"/>
      </w:pPr>
    </w:lvl>
  </w:abstractNum>
  <w:abstractNum w:abstractNumId="29" w15:restartNumberingAfterBreak="0">
    <w:nsid w:val="4D9230DA"/>
    <w:multiLevelType w:val="hybridMultilevel"/>
    <w:tmpl w:val="FFFFFFFF"/>
    <w:lvl w:ilvl="0" w:tplc="991645AE">
      <w:start w:val="1"/>
      <w:numFmt w:val="decimal"/>
      <w:lvlText w:val="%1."/>
      <w:lvlJc w:val="left"/>
      <w:pPr>
        <w:ind w:left="720" w:hanging="360"/>
      </w:pPr>
    </w:lvl>
    <w:lvl w:ilvl="1" w:tplc="B706F0D0">
      <w:start w:val="1"/>
      <w:numFmt w:val="lowerLetter"/>
      <w:lvlText w:val="%2."/>
      <w:lvlJc w:val="left"/>
      <w:pPr>
        <w:ind w:left="1440" w:hanging="360"/>
      </w:pPr>
    </w:lvl>
    <w:lvl w:ilvl="2" w:tplc="0B7021A0">
      <w:start w:val="1"/>
      <w:numFmt w:val="lowerRoman"/>
      <w:lvlText w:val="%3."/>
      <w:lvlJc w:val="right"/>
      <w:pPr>
        <w:ind w:left="2160" w:hanging="180"/>
      </w:pPr>
    </w:lvl>
    <w:lvl w:ilvl="3" w:tplc="6DEA2E24">
      <w:start w:val="1"/>
      <w:numFmt w:val="decimal"/>
      <w:lvlText w:val="%4."/>
      <w:lvlJc w:val="left"/>
      <w:pPr>
        <w:ind w:left="2880" w:hanging="360"/>
      </w:pPr>
    </w:lvl>
    <w:lvl w:ilvl="4" w:tplc="63B0C324">
      <w:start w:val="1"/>
      <w:numFmt w:val="lowerLetter"/>
      <w:lvlText w:val="%5."/>
      <w:lvlJc w:val="left"/>
      <w:pPr>
        <w:ind w:left="3600" w:hanging="360"/>
      </w:pPr>
    </w:lvl>
    <w:lvl w:ilvl="5" w:tplc="B64ABC88">
      <w:start w:val="1"/>
      <w:numFmt w:val="lowerRoman"/>
      <w:lvlText w:val="%6."/>
      <w:lvlJc w:val="right"/>
      <w:pPr>
        <w:ind w:left="4320" w:hanging="180"/>
      </w:pPr>
    </w:lvl>
    <w:lvl w:ilvl="6" w:tplc="641871EC">
      <w:start w:val="1"/>
      <w:numFmt w:val="decimal"/>
      <w:lvlText w:val="%7."/>
      <w:lvlJc w:val="left"/>
      <w:pPr>
        <w:ind w:left="5040" w:hanging="360"/>
      </w:pPr>
    </w:lvl>
    <w:lvl w:ilvl="7" w:tplc="CB24A3B6">
      <w:start w:val="1"/>
      <w:numFmt w:val="lowerLetter"/>
      <w:lvlText w:val="%8."/>
      <w:lvlJc w:val="left"/>
      <w:pPr>
        <w:ind w:left="5760" w:hanging="360"/>
      </w:pPr>
    </w:lvl>
    <w:lvl w:ilvl="8" w:tplc="1868D206">
      <w:start w:val="1"/>
      <w:numFmt w:val="lowerRoman"/>
      <w:lvlText w:val="%9."/>
      <w:lvlJc w:val="right"/>
      <w:pPr>
        <w:ind w:left="6480" w:hanging="180"/>
      </w:pPr>
    </w:lvl>
  </w:abstractNum>
  <w:abstractNum w:abstractNumId="30" w15:restartNumberingAfterBreak="0">
    <w:nsid w:val="510B4E16"/>
    <w:multiLevelType w:val="hybridMultilevel"/>
    <w:tmpl w:val="38428C16"/>
    <w:lvl w:ilvl="0" w:tplc="04090015">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1E055C"/>
    <w:multiLevelType w:val="hybridMultilevel"/>
    <w:tmpl w:val="76CAC3D8"/>
    <w:lvl w:ilvl="0" w:tplc="04090019">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432F0"/>
    <w:multiLevelType w:val="hybridMultilevel"/>
    <w:tmpl w:val="D42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B72EE"/>
    <w:multiLevelType w:val="hybridMultilevel"/>
    <w:tmpl w:val="B866BDF2"/>
    <w:lvl w:ilvl="0" w:tplc="F384C3F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E075B"/>
    <w:multiLevelType w:val="hybridMultilevel"/>
    <w:tmpl w:val="D8EC9536"/>
    <w:lvl w:ilvl="0" w:tplc="C5EED86C">
      <w:start w:val="4"/>
      <w:numFmt w:val="lowerRoman"/>
      <w:lvlText w:val="%1."/>
      <w:lvlJc w:val="left"/>
      <w:pPr>
        <w:ind w:left="288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36F71A0"/>
    <w:multiLevelType w:val="hybridMultilevel"/>
    <w:tmpl w:val="AFE09122"/>
    <w:lvl w:ilvl="0" w:tplc="F384C3F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40428"/>
    <w:multiLevelType w:val="hybridMultilevel"/>
    <w:tmpl w:val="569646B2"/>
    <w:lvl w:ilvl="0" w:tplc="90DCE742">
      <w:start w:val="1"/>
      <w:numFmt w:val="bullet"/>
      <w:lvlText w:val=""/>
      <w:lvlJc w:val="left"/>
      <w:pPr>
        <w:ind w:left="720" w:hanging="360"/>
      </w:pPr>
      <w:rPr>
        <w:rFonts w:ascii="Symbol" w:hAnsi="Symbol" w:hint="default"/>
      </w:rPr>
    </w:lvl>
    <w:lvl w:ilvl="1" w:tplc="5602F190">
      <w:start w:val="1"/>
      <w:numFmt w:val="bullet"/>
      <w:lvlText w:val="o"/>
      <w:lvlJc w:val="left"/>
      <w:pPr>
        <w:ind w:left="1440" w:hanging="360"/>
      </w:pPr>
      <w:rPr>
        <w:rFonts w:ascii="Courier New" w:hAnsi="Courier New" w:hint="default"/>
      </w:rPr>
    </w:lvl>
    <w:lvl w:ilvl="2" w:tplc="CED20458">
      <w:start w:val="1"/>
      <w:numFmt w:val="bullet"/>
      <w:lvlText w:val=""/>
      <w:lvlJc w:val="left"/>
      <w:pPr>
        <w:ind w:left="2160" w:hanging="360"/>
      </w:pPr>
      <w:rPr>
        <w:rFonts w:ascii="Wingdings" w:hAnsi="Wingdings" w:hint="default"/>
      </w:rPr>
    </w:lvl>
    <w:lvl w:ilvl="3" w:tplc="136C96DA">
      <w:start w:val="1"/>
      <w:numFmt w:val="bullet"/>
      <w:lvlText w:val=""/>
      <w:lvlJc w:val="left"/>
      <w:pPr>
        <w:ind w:left="2880" w:hanging="360"/>
      </w:pPr>
      <w:rPr>
        <w:rFonts w:ascii="Symbol" w:hAnsi="Symbol" w:hint="default"/>
      </w:rPr>
    </w:lvl>
    <w:lvl w:ilvl="4" w:tplc="AE4E7346">
      <w:start w:val="1"/>
      <w:numFmt w:val="bullet"/>
      <w:lvlText w:val="o"/>
      <w:lvlJc w:val="left"/>
      <w:pPr>
        <w:ind w:left="3600" w:hanging="360"/>
      </w:pPr>
      <w:rPr>
        <w:rFonts w:ascii="Courier New" w:hAnsi="Courier New" w:hint="default"/>
      </w:rPr>
    </w:lvl>
    <w:lvl w:ilvl="5" w:tplc="DEF85604">
      <w:start w:val="1"/>
      <w:numFmt w:val="bullet"/>
      <w:lvlText w:val=""/>
      <w:lvlJc w:val="left"/>
      <w:pPr>
        <w:ind w:left="4320" w:hanging="360"/>
      </w:pPr>
      <w:rPr>
        <w:rFonts w:ascii="Wingdings" w:hAnsi="Wingdings" w:hint="default"/>
      </w:rPr>
    </w:lvl>
    <w:lvl w:ilvl="6" w:tplc="411078F8">
      <w:start w:val="1"/>
      <w:numFmt w:val="bullet"/>
      <w:lvlText w:val=""/>
      <w:lvlJc w:val="left"/>
      <w:pPr>
        <w:ind w:left="5040" w:hanging="360"/>
      </w:pPr>
      <w:rPr>
        <w:rFonts w:ascii="Symbol" w:hAnsi="Symbol" w:hint="default"/>
      </w:rPr>
    </w:lvl>
    <w:lvl w:ilvl="7" w:tplc="2CBA4146">
      <w:start w:val="1"/>
      <w:numFmt w:val="bullet"/>
      <w:lvlText w:val="o"/>
      <w:lvlJc w:val="left"/>
      <w:pPr>
        <w:ind w:left="5760" w:hanging="360"/>
      </w:pPr>
      <w:rPr>
        <w:rFonts w:ascii="Courier New" w:hAnsi="Courier New" w:hint="default"/>
      </w:rPr>
    </w:lvl>
    <w:lvl w:ilvl="8" w:tplc="8630789A">
      <w:start w:val="1"/>
      <w:numFmt w:val="bullet"/>
      <w:lvlText w:val=""/>
      <w:lvlJc w:val="left"/>
      <w:pPr>
        <w:ind w:left="6480" w:hanging="360"/>
      </w:pPr>
      <w:rPr>
        <w:rFonts w:ascii="Wingdings" w:hAnsi="Wingdings" w:hint="default"/>
      </w:rPr>
    </w:lvl>
  </w:abstractNum>
  <w:abstractNum w:abstractNumId="37" w15:restartNumberingAfterBreak="0">
    <w:nsid w:val="6888670E"/>
    <w:multiLevelType w:val="hybridMultilevel"/>
    <w:tmpl w:val="FFFFFFFF"/>
    <w:lvl w:ilvl="0" w:tplc="A56C8858">
      <w:start w:val="1"/>
      <w:numFmt w:val="bullet"/>
      <w:lvlText w:val=""/>
      <w:lvlJc w:val="left"/>
      <w:pPr>
        <w:ind w:left="720" w:hanging="360"/>
      </w:pPr>
      <w:rPr>
        <w:rFonts w:ascii="Symbol" w:hAnsi="Symbol" w:hint="default"/>
      </w:rPr>
    </w:lvl>
    <w:lvl w:ilvl="1" w:tplc="318C268C">
      <w:start w:val="1"/>
      <w:numFmt w:val="bullet"/>
      <w:lvlText w:val="o"/>
      <w:lvlJc w:val="left"/>
      <w:pPr>
        <w:ind w:left="1440" w:hanging="360"/>
      </w:pPr>
      <w:rPr>
        <w:rFonts w:ascii="Courier New" w:hAnsi="Courier New" w:hint="default"/>
      </w:rPr>
    </w:lvl>
    <w:lvl w:ilvl="2" w:tplc="2384C7D6">
      <w:start w:val="1"/>
      <w:numFmt w:val="bullet"/>
      <w:lvlText w:val=""/>
      <w:lvlJc w:val="left"/>
      <w:pPr>
        <w:ind w:left="2160" w:hanging="360"/>
      </w:pPr>
      <w:rPr>
        <w:rFonts w:ascii="Wingdings" w:hAnsi="Wingdings" w:hint="default"/>
      </w:rPr>
    </w:lvl>
    <w:lvl w:ilvl="3" w:tplc="D69831EC">
      <w:start w:val="1"/>
      <w:numFmt w:val="bullet"/>
      <w:lvlText w:val=""/>
      <w:lvlJc w:val="left"/>
      <w:pPr>
        <w:ind w:left="2880" w:hanging="360"/>
      </w:pPr>
      <w:rPr>
        <w:rFonts w:ascii="Symbol" w:hAnsi="Symbol" w:hint="default"/>
      </w:rPr>
    </w:lvl>
    <w:lvl w:ilvl="4" w:tplc="864EDC30">
      <w:start w:val="1"/>
      <w:numFmt w:val="bullet"/>
      <w:lvlText w:val="o"/>
      <w:lvlJc w:val="left"/>
      <w:pPr>
        <w:ind w:left="3600" w:hanging="360"/>
      </w:pPr>
      <w:rPr>
        <w:rFonts w:ascii="Courier New" w:hAnsi="Courier New" w:hint="default"/>
      </w:rPr>
    </w:lvl>
    <w:lvl w:ilvl="5" w:tplc="A9DCCCF0">
      <w:start w:val="1"/>
      <w:numFmt w:val="bullet"/>
      <w:lvlText w:val=""/>
      <w:lvlJc w:val="left"/>
      <w:pPr>
        <w:ind w:left="4320" w:hanging="360"/>
      </w:pPr>
      <w:rPr>
        <w:rFonts w:ascii="Wingdings" w:hAnsi="Wingdings" w:hint="default"/>
      </w:rPr>
    </w:lvl>
    <w:lvl w:ilvl="6" w:tplc="BF468258">
      <w:start w:val="1"/>
      <w:numFmt w:val="bullet"/>
      <w:lvlText w:val=""/>
      <w:lvlJc w:val="left"/>
      <w:pPr>
        <w:ind w:left="5040" w:hanging="360"/>
      </w:pPr>
      <w:rPr>
        <w:rFonts w:ascii="Symbol" w:hAnsi="Symbol" w:hint="default"/>
      </w:rPr>
    </w:lvl>
    <w:lvl w:ilvl="7" w:tplc="F3046428">
      <w:start w:val="1"/>
      <w:numFmt w:val="bullet"/>
      <w:lvlText w:val="o"/>
      <w:lvlJc w:val="left"/>
      <w:pPr>
        <w:ind w:left="5760" w:hanging="360"/>
      </w:pPr>
      <w:rPr>
        <w:rFonts w:ascii="Courier New" w:hAnsi="Courier New" w:hint="default"/>
      </w:rPr>
    </w:lvl>
    <w:lvl w:ilvl="8" w:tplc="B6A68262">
      <w:start w:val="1"/>
      <w:numFmt w:val="bullet"/>
      <w:lvlText w:val=""/>
      <w:lvlJc w:val="left"/>
      <w:pPr>
        <w:ind w:left="6480" w:hanging="360"/>
      </w:pPr>
      <w:rPr>
        <w:rFonts w:ascii="Wingdings" w:hAnsi="Wingdings" w:hint="default"/>
      </w:rPr>
    </w:lvl>
  </w:abstractNum>
  <w:abstractNum w:abstractNumId="38" w15:restartNumberingAfterBreak="0">
    <w:nsid w:val="697745ED"/>
    <w:multiLevelType w:val="hybridMultilevel"/>
    <w:tmpl w:val="FFFFFFFF"/>
    <w:lvl w:ilvl="0" w:tplc="90B28592">
      <w:start w:val="1"/>
      <w:numFmt w:val="decimal"/>
      <w:lvlText w:val="%1."/>
      <w:lvlJc w:val="left"/>
      <w:pPr>
        <w:ind w:left="720" w:hanging="360"/>
      </w:pPr>
    </w:lvl>
    <w:lvl w:ilvl="1" w:tplc="9E8A7F26">
      <w:start w:val="1"/>
      <w:numFmt w:val="lowerLetter"/>
      <w:lvlText w:val="%2."/>
      <w:lvlJc w:val="left"/>
      <w:pPr>
        <w:ind w:left="1440" w:hanging="360"/>
      </w:pPr>
    </w:lvl>
    <w:lvl w:ilvl="2" w:tplc="366AD0E8">
      <w:start w:val="1"/>
      <w:numFmt w:val="lowerRoman"/>
      <w:lvlText w:val="%3."/>
      <w:lvlJc w:val="right"/>
      <w:pPr>
        <w:ind w:left="2160" w:hanging="180"/>
      </w:pPr>
    </w:lvl>
    <w:lvl w:ilvl="3" w:tplc="D384E982">
      <w:start w:val="1"/>
      <w:numFmt w:val="decimal"/>
      <w:lvlText w:val="%4."/>
      <w:lvlJc w:val="left"/>
      <w:pPr>
        <w:ind w:left="2880" w:hanging="360"/>
      </w:pPr>
    </w:lvl>
    <w:lvl w:ilvl="4" w:tplc="DEEE0C5A">
      <w:start w:val="1"/>
      <w:numFmt w:val="lowerLetter"/>
      <w:lvlText w:val="%5."/>
      <w:lvlJc w:val="left"/>
      <w:pPr>
        <w:ind w:left="3600" w:hanging="360"/>
      </w:pPr>
    </w:lvl>
    <w:lvl w:ilvl="5" w:tplc="1494E640">
      <w:start w:val="1"/>
      <w:numFmt w:val="lowerRoman"/>
      <w:lvlText w:val="%6."/>
      <w:lvlJc w:val="right"/>
      <w:pPr>
        <w:ind w:left="4320" w:hanging="180"/>
      </w:pPr>
    </w:lvl>
    <w:lvl w:ilvl="6" w:tplc="CC58D840">
      <w:start w:val="1"/>
      <w:numFmt w:val="decimal"/>
      <w:lvlText w:val="%7."/>
      <w:lvlJc w:val="left"/>
      <w:pPr>
        <w:ind w:left="5040" w:hanging="360"/>
      </w:pPr>
    </w:lvl>
    <w:lvl w:ilvl="7" w:tplc="86E0E384">
      <w:start w:val="1"/>
      <w:numFmt w:val="lowerLetter"/>
      <w:lvlText w:val="%8."/>
      <w:lvlJc w:val="left"/>
      <w:pPr>
        <w:ind w:left="5760" w:hanging="360"/>
      </w:pPr>
    </w:lvl>
    <w:lvl w:ilvl="8" w:tplc="EF008D7A">
      <w:start w:val="1"/>
      <w:numFmt w:val="lowerRoman"/>
      <w:lvlText w:val="%9."/>
      <w:lvlJc w:val="right"/>
      <w:pPr>
        <w:ind w:left="6480" w:hanging="180"/>
      </w:pPr>
    </w:lvl>
  </w:abstractNum>
  <w:abstractNum w:abstractNumId="39" w15:restartNumberingAfterBreak="0">
    <w:nsid w:val="6A5B7CE6"/>
    <w:multiLevelType w:val="hybridMultilevel"/>
    <w:tmpl w:val="C69CF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A162C2"/>
    <w:multiLevelType w:val="hybridMultilevel"/>
    <w:tmpl w:val="DF3482AE"/>
    <w:lvl w:ilvl="0" w:tplc="D21863A8">
      <w:start w:val="1"/>
      <w:numFmt w:val="decimal"/>
      <w:lvlText w:val="%1."/>
      <w:lvlJc w:val="left"/>
      <w:pPr>
        <w:ind w:left="720" w:hanging="360"/>
      </w:pPr>
    </w:lvl>
    <w:lvl w:ilvl="1" w:tplc="A6465ECE">
      <w:start w:val="1"/>
      <w:numFmt w:val="upperRoman"/>
      <w:lvlText w:val="%2."/>
      <w:lvlJc w:val="left"/>
      <w:pPr>
        <w:ind w:left="1440" w:hanging="360"/>
      </w:pPr>
    </w:lvl>
    <w:lvl w:ilvl="2" w:tplc="71BA76D8">
      <w:start w:val="1"/>
      <w:numFmt w:val="lowerRoman"/>
      <w:lvlText w:val="%3."/>
      <w:lvlJc w:val="right"/>
      <w:pPr>
        <w:ind w:left="2160" w:hanging="180"/>
      </w:pPr>
    </w:lvl>
    <w:lvl w:ilvl="3" w:tplc="B106D93A">
      <w:start w:val="1"/>
      <w:numFmt w:val="decimal"/>
      <w:lvlText w:val="%4."/>
      <w:lvlJc w:val="left"/>
      <w:pPr>
        <w:ind w:left="2880" w:hanging="360"/>
      </w:pPr>
    </w:lvl>
    <w:lvl w:ilvl="4" w:tplc="4180376E">
      <w:start w:val="1"/>
      <w:numFmt w:val="lowerLetter"/>
      <w:lvlText w:val="%5."/>
      <w:lvlJc w:val="left"/>
      <w:pPr>
        <w:ind w:left="3600" w:hanging="360"/>
      </w:pPr>
    </w:lvl>
    <w:lvl w:ilvl="5" w:tplc="D87EDEBE">
      <w:start w:val="1"/>
      <w:numFmt w:val="lowerRoman"/>
      <w:lvlText w:val="%6."/>
      <w:lvlJc w:val="right"/>
      <w:pPr>
        <w:ind w:left="4320" w:hanging="180"/>
      </w:pPr>
    </w:lvl>
    <w:lvl w:ilvl="6" w:tplc="ADC85054">
      <w:start w:val="1"/>
      <w:numFmt w:val="decimal"/>
      <w:lvlText w:val="%7."/>
      <w:lvlJc w:val="left"/>
      <w:pPr>
        <w:ind w:left="5040" w:hanging="360"/>
      </w:pPr>
    </w:lvl>
    <w:lvl w:ilvl="7" w:tplc="33BE8CFE">
      <w:start w:val="1"/>
      <w:numFmt w:val="lowerLetter"/>
      <w:lvlText w:val="%8."/>
      <w:lvlJc w:val="left"/>
      <w:pPr>
        <w:ind w:left="5760" w:hanging="360"/>
      </w:pPr>
    </w:lvl>
    <w:lvl w:ilvl="8" w:tplc="81089D94">
      <w:start w:val="1"/>
      <w:numFmt w:val="lowerRoman"/>
      <w:lvlText w:val="%9."/>
      <w:lvlJc w:val="right"/>
      <w:pPr>
        <w:ind w:left="6480" w:hanging="180"/>
      </w:pPr>
    </w:lvl>
  </w:abstractNum>
  <w:abstractNum w:abstractNumId="41" w15:restartNumberingAfterBreak="0">
    <w:nsid w:val="6C886838"/>
    <w:multiLevelType w:val="hybridMultilevel"/>
    <w:tmpl w:val="5D283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01E21"/>
    <w:multiLevelType w:val="hybridMultilevel"/>
    <w:tmpl w:val="19BCC61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3" w15:restartNumberingAfterBreak="0">
    <w:nsid w:val="70425673"/>
    <w:multiLevelType w:val="hybridMultilevel"/>
    <w:tmpl w:val="B8E6E4C8"/>
    <w:lvl w:ilvl="0" w:tplc="9800C542">
      <w:start w:val="1"/>
      <w:numFmt w:val="decimal"/>
      <w:lvlText w:val="%1."/>
      <w:lvlJc w:val="left"/>
      <w:pPr>
        <w:ind w:left="720" w:hanging="360"/>
      </w:pPr>
    </w:lvl>
    <w:lvl w:ilvl="1" w:tplc="F384C3FA">
      <w:start w:val="1"/>
      <w:numFmt w:val="lowerLetter"/>
      <w:lvlText w:val="%2."/>
      <w:lvlJc w:val="left"/>
      <w:pPr>
        <w:ind w:left="1440" w:hanging="360"/>
      </w:pPr>
    </w:lvl>
    <w:lvl w:ilvl="2" w:tplc="E9E0D9CA">
      <w:start w:val="1"/>
      <w:numFmt w:val="lowerRoman"/>
      <w:lvlText w:val="%3."/>
      <w:lvlJc w:val="right"/>
      <w:pPr>
        <w:ind w:left="2160" w:hanging="180"/>
      </w:pPr>
    </w:lvl>
    <w:lvl w:ilvl="3" w:tplc="BD061F10">
      <w:start w:val="1"/>
      <w:numFmt w:val="decimal"/>
      <w:lvlText w:val="%4."/>
      <w:lvlJc w:val="left"/>
      <w:pPr>
        <w:ind w:left="2880" w:hanging="360"/>
      </w:pPr>
    </w:lvl>
    <w:lvl w:ilvl="4" w:tplc="F908486C">
      <w:start w:val="1"/>
      <w:numFmt w:val="lowerLetter"/>
      <w:lvlText w:val="%5."/>
      <w:lvlJc w:val="left"/>
      <w:pPr>
        <w:ind w:left="3600" w:hanging="360"/>
      </w:pPr>
    </w:lvl>
    <w:lvl w:ilvl="5" w:tplc="A78A01A6">
      <w:start w:val="1"/>
      <w:numFmt w:val="lowerRoman"/>
      <w:lvlText w:val="%6."/>
      <w:lvlJc w:val="right"/>
      <w:pPr>
        <w:ind w:left="4320" w:hanging="180"/>
      </w:pPr>
    </w:lvl>
    <w:lvl w:ilvl="6" w:tplc="B0D456E0">
      <w:start w:val="1"/>
      <w:numFmt w:val="decimal"/>
      <w:lvlText w:val="%7."/>
      <w:lvlJc w:val="left"/>
      <w:pPr>
        <w:ind w:left="5040" w:hanging="360"/>
      </w:pPr>
    </w:lvl>
    <w:lvl w:ilvl="7" w:tplc="4B9033CE">
      <w:start w:val="1"/>
      <w:numFmt w:val="lowerLetter"/>
      <w:lvlText w:val="%8."/>
      <w:lvlJc w:val="left"/>
      <w:pPr>
        <w:ind w:left="5760" w:hanging="360"/>
      </w:pPr>
    </w:lvl>
    <w:lvl w:ilvl="8" w:tplc="DF763BD6">
      <w:start w:val="1"/>
      <w:numFmt w:val="lowerRoman"/>
      <w:lvlText w:val="%9."/>
      <w:lvlJc w:val="right"/>
      <w:pPr>
        <w:ind w:left="6480" w:hanging="180"/>
      </w:pPr>
    </w:lvl>
  </w:abstractNum>
  <w:abstractNum w:abstractNumId="44" w15:restartNumberingAfterBreak="0">
    <w:nsid w:val="72E455FD"/>
    <w:multiLevelType w:val="hybridMultilevel"/>
    <w:tmpl w:val="167E291A"/>
    <w:lvl w:ilvl="0" w:tplc="2B20CF2C">
      <w:start w:val="1"/>
      <w:numFmt w:val="upperLetter"/>
      <w:lvlText w:val="%1."/>
      <w:lvlJc w:val="left"/>
      <w:pPr>
        <w:ind w:left="720" w:hanging="360"/>
      </w:pPr>
    </w:lvl>
    <w:lvl w:ilvl="1" w:tplc="7F2AF978">
      <w:start w:val="1"/>
      <w:numFmt w:val="lowerLetter"/>
      <w:lvlText w:val="%2."/>
      <w:lvlJc w:val="left"/>
      <w:pPr>
        <w:ind w:left="1440" w:hanging="360"/>
      </w:pPr>
    </w:lvl>
    <w:lvl w:ilvl="2" w:tplc="F9FCFE30">
      <w:start w:val="1"/>
      <w:numFmt w:val="lowerRoman"/>
      <w:lvlText w:val="%3."/>
      <w:lvlJc w:val="right"/>
      <w:pPr>
        <w:ind w:left="2160" w:hanging="180"/>
      </w:pPr>
    </w:lvl>
    <w:lvl w:ilvl="3" w:tplc="377AA37A">
      <w:start w:val="1"/>
      <w:numFmt w:val="decimal"/>
      <w:lvlText w:val="%4."/>
      <w:lvlJc w:val="left"/>
      <w:pPr>
        <w:ind w:left="2880" w:hanging="360"/>
      </w:pPr>
    </w:lvl>
    <w:lvl w:ilvl="4" w:tplc="EE7A44B4">
      <w:start w:val="1"/>
      <w:numFmt w:val="lowerLetter"/>
      <w:lvlText w:val="%5."/>
      <w:lvlJc w:val="left"/>
      <w:pPr>
        <w:ind w:left="3600" w:hanging="360"/>
      </w:pPr>
    </w:lvl>
    <w:lvl w:ilvl="5" w:tplc="42785D76">
      <w:start w:val="1"/>
      <w:numFmt w:val="lowerRoman"/>
      <w:lvlText w:val="%6."/>
      <w:lvlJc w:val="right"/>
      <w:pPr>
        <w:ind w:left="4320" w:hanging="180"/>
      </w:pPr>
    </w:lvl>
    <w:lvl w:ilvl="6" w:tplc="D98ED294">
      <w:start w:val="1"/>
      <w:numFmt w:val="decimal"/>
      <w:lvlText w:val="%7."/>
      <w:lvlJc w:val="left"/>
      <w:pPr>
        <w:ind w:left="5040" w:hanging="360"/>
      </w:pPr>
    </w:lvl>
    <w:lvl w:ilvl="7" w:tplc="06B47FB6">
      <w:start w:val="1"/>
      <w:numFmt w:val="lowerLetter"/>
      <w:lvlText w:val="%8."/>
      <w:lvlJc w:val="left"/>
      <w:pPr>
        <w:ind w:left="5760" w:hanging="360"/>
      </w:pPr>
    </w:lvl>
    <w:lvl w:ilvl="8" w:tplc="EFCAA040">
      <w:start w:val="1"/>
      <w:numFmt w:val="lowerRoman"/>
      <w:lvlText w:val="%9."/>
      <w:lvlJc w:val="right"/>
      <w:pPr>
        <w:ind w:left="6480" w:hanging="180"/>
      </w:pPr>
    </w:lvl>
  </w:abstractNum>
  <w:abstractNum w:abstractNumId="45" w15:restartNumberingAfterBreak="0">
    <w:nsid w:val="74244F06"/>
    <w:multiLevelType w:val="hybridMultilevel"/>
    <w:tmpl w:val="FFFFFFFF"/>
    <w:lvl w:ilvl="0" w:tplc="C4824630">
      <w:start w:val="1"/>
      <w:numFmt w:val="bullet"/>
      <w:lvlText w:val=""/>
      <w:lvlJc w:val="left"/>
      <w:pPr>
        <w:ind w:left="720" w:hanging="360"/>
      </w:pPr>
      <w:rPr>
        <w:rFonts w:ascii="Symbol" w:hAnsi="Symbol" w:hint="default"/>
      </w:rPr>
    </w:lvl>
    <w:lvl w:ilvl="1" w:tplc="0F9EA662">
      <w:start w:val="1"/>
      <w:numFmt w:val="bullet"/>
      <w:lvlText w:val=""/>
      <w:lvlJc w:val="left"/>
      <w:pPr>
        <w:ind w:left="1440" w:hanging="360"/>
      </w:pPr>
      <w:rPr>
        <w:rFonts w:ascii="Symbol" w:hAnsi="Symbol" w:hint="default"/>
      </w:rPr>
    </w:lvl>
    <w:lvl w:ilvl="2" w:tplc="A80C5C6E">
      <w:start w:val="1"/>
      <w:numFmt w:val="bullet"/>
      <w:lvlText w:val=""/>
      <w:lvlJc w:val="left"/>
      <w:pPr>
        <w:ind w:left="2160" w:hanging="360"/>
      </w:pPr>
      <w:rPr>
        <w:rFonts w:ascii="Wingdings" w:hAnsi="Wingdings" w:hint="default"/>
      </w:rPr>
    </w:lvl>
    <w:lvl w:ilvl="3" w:tplc="57561894">
      <w:start w:val="1"/>
      <w:numFmt w:val="bullet"/>
      <w:lvlText w:val=""/>
      <w:lvlJc w:val="left"/>
      <w:pPr>
        <w:ind w:left="2880" w:hanging="360"/>
      </w:pPr>
      <w:rPr>
        <w:rFonts w:ascii="Symbol" w:hAnsi="Symbol" w:hint="default"/>
      </w:rPr>
    </w:lvl>
    <w:lvl w:ilvl="4" w:tplc="35AC5B4E">
      <w:start w:val="1"/>
      <w:numFmt w:val="bullet"/>
      <w:lvlText w:val="o"/>
      <w:lvlJc w:val="left"/>
      <w:pPr>
        <w:ind w:left="3600" w:hanging="360"/>
      </w:pPr>
      <w:rPr>
        <w:rFonts w:ascii="Courier New" w:hAnsi="Courier New" w:hint="default"/>
      </w:rPr>
    </w:lvl>
    <w:lvl w:ilvl="5" w:tplc="40C07DA0">
      <w:start w:val="1"/>
      <w:numFmt w:val="bullet"/>
      <w:lvlText w:val=""/>
      <w:lvlJc w:val="left"/>
      <w:pPr>
        <w:ind w:left="4320" w:hanging="360"/>
      </w:pPr>
      <w:rPr>
        <w:rFonts w:ascii="Wingdings" w:hAnsi="Wingdings" w:hint="default"/>
      </w:rPr>
    </w:lvl>
    <w:lvl w:ilvl="6" w:tplc="FC0E56B4">
      <w:start w:val="1"/>
      <w:numFmt w:val="bullet"/>
      <w:lvlText w:val=""/>
      <w:lvlJc w:val="left"/>
      <w:pPr>
        <w:ind w:left="5040" w:hanging="360"/>
      </w:pPr>
      <w:rPr>
        <w:rFonts w:ascii="Symbol" w:hAnsi="Symbol" w:hint="default"/>
      </w:rPr>
    </w:lvl>
    <w:lvl w:ilvl="7" w:tplc="935A5EE6">
      <w:start w:val="1"/>
      <w:numFmt w:val="bullet"/>
      <w:lvlText w:val="o"/>
      <w:lvlJc w:val="left"/>
      <w:pPr>
        <w:ind w:left="5760" w:hanging="360"/>
      </w:pPr>
      <w:rPr>
        <w:rFonts w:ascii="Courier New" w:hAnsi="Courier New" w:hint="default"/>
      </w:rPr>
    </w:lvl>
    <w:lvl w:ilvl="8" w:tplc="178EEE4E">
      <w:start w:val="1"/>
      <w:numFmt w:val="bullet"/>
      <w:lvlText w:val=""/>
      <w:lvlJc w:val="left"/>
      <w:pPr>
        <w:ind w:left="6480" w:hanging="360"/>
      </w:pPr>
      <w:rPr>
        <w:rFonts w:ascii="Wingdings" w:hAnsi="Wingdings" w:hint="default"/>
      </w:rPr>
    </w:lvl>
  </w:abstractNum>
  <w:abstractNum w:abstractNumId="46" w15:restartNumberingAfterBreak="0">
    <w:nsid w:val="7A1A12A2"/>
    <w:multiLevelType w:val="hybridMultilevel"/>
    <w:tmpl w:val="EC949522"/>
    <w:lvl w:ilvl="0" w:tplc="C5EED86C">
      <w:start w:val="4"/>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33663"/>
    <w:multiLevelType w:val="hybridMultilevel"/>
    <w:tmpl w:val="EC949522"/>
    <w:lvl w:ilvl="0" w:tplc="C5EED86C">
      <w:start w:val="4"/>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44"/>
  </w:num>
  <w:num w:numId="4">
    <w:abstractNumId w:val="25"/>
  </w:num>
  <w:num w:numId="5">
    <w:abstractNumId w:val="1"/>
  </w:num>
  <w:num w:numId="6">
    <w:abstractNumId w:val="42"/>
  </w:num>
  <w:num w:numId="7">
    <w:abstractNumId w:val="12"/>
  </w:num>
  <w:num w:numId="8">
    <w:abstractNumId w:val="36"/>
  </w:num>
  <w:num w:numId="9">
    <w:abstractNumId w:val="27"/>
  </w:num>
  <w:num w:numId="10">
    <w:abstractNumId w:val="9"/>
  </w:num>
  <w:num w:numId="11">
    <w:abstractNumId w:val="32"/>
  </w:num>
  <w:num w:numId="12">
    <w:abstractNumId w:val="13"/>
  </w:num>
  <w:num w:numId="13">
    <w:abstractNumId w:val="31"/>
  </w:num>
  <w:num w:numId="14">
    <w:abstractNumId w:val="15"/>
  </w:num>
  <w:num w:numId="15">
    <w:abstractNumId w:val="11"/>
  </w:num>
  <w:num w:numId="16">
    <w:abstractNumId w:val="41"/>
  </w:num>
  <w:num w:numId="17">
    <w:abstractNumId w:val="18"/>
  </w:num>
  <w:num w:numId="18">
    <w:abstractNumId w:val="0"/>
  </w:num>
  <w:num w:numId="19">
    <w:abstractNumId w:val="3"/>
  </w:num>
  <w:num w:numId="20">
    <w:abstractNumId w:val="30"/>
  </w:num>
  <w:num w:numId="21">
    <w:abstractNumId w:val="46"/>
  </w:num>
  <w:num w:numId="22">
    <w:abstractNumId w:val="47"/>
  </w:num>
  <w:num w:numId="23">
    <w:abstractNumId w:val="34"/>
  </w:num>
  <w:num w:numId="24">
    <w:abstractNumId w:val="5"/>
  </w:num>
  <w:num w:numId="25">
    <w:abstractNumId w:val="37"/>
  </w:num>
  <w:num w:numId="26">
    <w:abstractNumId w:val="22"/>
  </w:num>
  <w:num w:numId="27">
    <w:abstractNumId w:val="23"/>
  </w:num>
  <w:num w:numId="28">
    <w:abstractNumId w:val="10"/>
  </w:num>
  <w:num w:numId="29">
    <w:abstractNumId w:val="38"/>
  </w:num>
  <w:num w:numId="30">
    <w:abstractNumId w:val="29"/>
  </w:num>
  <w:num w:numId="31">
    <w:abstractNumId w:val="19"/>
  </w:num>
  <w:num w:numId="32">
    <w:abstractNumId w:val="45"/>
  </w:num>
  <w:num w:numId="33">
    <w:abstractNumId w:val="7"/>
  </w:num>
  <w:num w:numId="34">
    <w:abstractNumId w:val="17"/>
  </w:num>
  <w:num w:numId="35">
    <w:abstractNumId w:val="20"/>
  </w:num>
  <w:num w:numId="36">
    <w:abstractNumId w:val="6"/>
  </w:num>
  <w:num w:numId="37">
    <w:abstractNumId w:val="8"/>
  </w:num>
  <w:num w:numId="38">
    <w:abstractNumId w:val="40"/>
  </w:num>
  <w:num w:numId="39">
    <w:abstractNumId w:val="21"/>
  </w:num>
  <w:num w:numId="40">
    <w:abstractNumId w:val="28"/>
  </w:num>
  <w:num w:numId="41">
    <w:abstractNumId w:val="43"/>
  </w:num>
  <w:num w:numId="42">
    <w:abstractNumId w:val="35"/>
  </w:num>
  <w:num w:numId="43">
    <w:abstractNumId w:val="33"/>
  </w:num>
  <w:num w:numId="44">
    <w:abstractNumId w:val="16"/>
  </w:num>
  <w:num w:numId="45">
    <w:abstractNumId w:val="39"/>
  </w:num>
  <w:num w:numId="46">
    <w:abstractNumId w:val="2"/>
  </w:num>
  <w:num w:numId="47">
    <w:abstractNumId w:val="14"/>
  </w:num>
  <w:num w:numId="4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6C"/>
    <w:rsid w:val="00000357"/>
    <w:rsid w:val="0000048B"/>
    <w:rsid w:val="000008BE"/>
    <w:rsid w:val="00001830"/>
    <w:rsid w:val="00003DA3"/>
    <w:rsid w:val="00005DB2"/>
    <w:rsid w:val="000078A8"/>
    <w:rsid w:val="00010068"/>
    <w:rsid w:val="00010496"/>
    <w:rsid w:val="00013188"/>
    <w:rsid w:val="00013623"/>
    <w:rsid w:val="000138E1"/>
    <w:rsid w:val="000140C8"/>
    <w:rsid w:val="00015D81"/>
    <w:rsid w:val="00015EBA"/>
    <w:rsid w:val="00016AA9"/>
    <w:rsid w:val="0001752B"/>
    <w:rsid w:val="00017642"/>
    <w:rsid w:val="0001772D"/>
    <w:rsid w:val="00022214"/>
    <w:rsid w:val="00022408"/>
    <w:rsid w:val="00022D8B"/>
    <w:rsid w:val="00023DAD"/>
    <w:rsid w:val="000241D4"/>
    <w:rsid w:val="00024740"/>
    <w:rsid w:val="00026825"/>
    <w:rsid w:val="000308A8"/>
    <w:rsid w:val="00030B4B"/>
    <w:rsid w:val="00031323"/>
    <w:rsid w:val="00034E5A"/>
    <w:rsid w:val="00035483"/>
    <w:rsid w:val="00035693"/>
    <w:rsid w:val="000372D0"/>
    <w:rsid w:val="000405CC"/>
    <w:rsid w:val="00040A33"/>
    <w:rsid w:val="00040D72"/>
    <w:rsid w:val="0004236E"/>
    <w:rsid w:val="00043A72"/>
    <w:rsid w:val="000443AE"/>
    <w:rsid w:val="00044602"/>
    <w:rsid w:val="00044BF5"/>
    <w:rsid w:val="000451F5"/>
    <w:rsid w:val="00045344"/>
    <w:rsid w:val="00045906"/>
    <w:rsid w:val="00046309"/>
    <w:rsid w:val="000478B3"/>
    <w:rsid w:val="00047FA2"/>
    <w:rsid w:val="000537F3"/>
    <w:rsid w:val="000567AC"/>
    <w:rsid w:val="00056EDD"/>
    <w:rsid w:val="00057ECA"/>
    <w:rsid w:val="00060E14"/>
    <w:rsid w:val="00061F4C"/>
    <w:rsid w:val="00063581"/>
    <w:rsid w:val="00064722"/>
    <w:rsid w:val="00064D1E"/>
    <w:rsid w:val="00070B26"/>
    <w:rsid w:val="00070C77"/>
    <w:rsid w:val="00071449"/>
    <w:rsid w:val="000724DD"/>
    <w:rsid w:val="00072C4C"/>
    <w:rsid w:val="00073948"/>
    <w:rsid w:val="000743CB"/>
    <w:rsid w:val="00074805"/>
    <w:rsid w:val="00076B16"/>
    <w:rsid w:val="00076CFA"/>
    <w:rsid w:val="00076D0A"/>
    <w:rsid w:val="000773D7"/>
    <w:rsid w:val="00077767"/>
    <w:rsid w:val="00077BF4"/>
    <w:rsid w:val="00077E7D"/>
    <w:rsid w:val="00080419"/>
    <w:rsid w:val="000804D2"/>
    <w:rsid w:val="0008090B"/>
    <w:rsid w:val="00081859"/>
    <w:rsid w:val="00081C1F"/>
    <w:rsid w:val="0008350C"/>
    <w:rsid w:val="00083C4B"/>
    <w:rsid w:val="00085B18"/>
    <w:rsid w:val="00086E3F"/>
    <w:rsid w:val="0008718F"/>
    <w:rsid w:val="00087900"/>
    <w:rsid w:val="00091E43"/>
    <w:rsid w:val="00092178"/>
    <w:rsid w:val="00093102"/>
    <w:rsid w:val="0009456F"/>
    <w:rsid w:val="000946F0"/>
    <w:rsid w:val="00094765"/>
    <w:rsid w:val="000948CC"/>
    <w:rsid w:val="000959B2"/>
    <w:rsid w:val="000960FD"/>
    <w:rsid w:val="00097C9B"/>
    <w:rsid w:val="000A0B5B"/>
    <w:rsid w:val="000A1287"/>
    <w:rsid w:val="000A29E1"/>
    <w:rsid w:val="000A3AAE"/>
    <w:rsid w:val="000A3D86"/>
    <w:rsid w:val="000A47AC"/>
    <w:rsid w:val="000A4DCA"/>
    <w:rsid w:val="000A67AF"/>
    <w:rsid w:val="000A78B7"/>
    <w:rsid w:val="000A7D28"/>
    <w:rsid w:val="000A7F1F"/>
    <w:rsid w:val="000B2055"/>
    <w:rsid w:val="000B4E64"/>
    <w:rsid w:val="000B50FD"/>
    <w:rsid w:val="000B51B1"/>
    <w:rsid w:val="000B60FE"/>
    <w:rsid w:val="000B6CA2"/>
    <w:rsid w:val="000C172C"/>
    <w:rsid w:val="000C2DAD"/>
    <w:rsid w:val="000C37C8"/>
    <w:rsid w:val="000C398D"/>
    <w:rsid w:val="000C51D8"/>
    <w:rsid w:val="000D0850"/>
    <w:rsid w:val="000D18D6"/>
    <w:rsid w:val="000D29B5"/>
    <w:rsid w:val="000D3430"/>
    <w:rsid w:val="000D3C4D"/>
    <w:rsid w:val="000D471D"/>
    <w:rsid w:val="000D5973"/>
    <w:rsid w:val="000D5C46"/>
    <w:rsid w:val="000D646C"/>
    <w:rsid w:val="000D784E"/>
    <w:rsid w:val="000E1A14"/>
    <w:rsid w:val="000E1FDC"/>
    <w:rsid w:val="000E1FF6"/>
    <w:rsid w:val="000E2C17"/>
    <w:rsid w:val="000E4561"/>
    <w:rsid w:val="000E497A"/>
    <w:rsid w:val="000E4FFB"/>
    <w:rsid w:val="000E53F6"/>
    <w:rsid w:val="000E765B"/>
    <w:rsid w:val="000F004E"/>
    <w:rsid w:val="000F01C3"/>
    <w:rsid w:val="000F1386"/>
    <w:rsid w:val="000F2633"/>
    <w:rsid w:val="000F3411"/>
    <w:rsid w:val="000F49BB"/>
    <w:rsid w:val="000F52D0"/>
    <w:rsid w:val="000F589A"/>
    <w:rsid w:val="000F610C"/>
    <w:rsid w:val="000F6409"/>
    <w:rsid w:val="000F7016"/>
    <w:rsid w:val="00100438"/>
    <w:rsid w:val="00102527"/>
    <w:rsid w:val="0010269F"/>
    <w:rsid w:val="00102A24"/>
    <w:rsid w:val="00103471"/>
    <w:rsid w:val="0010599A"/>
    <w:rsid w:val="00106036"/>
    <w:rsid w:val="00106548"/>
    <w:rsid w:val="00106BEC"/>
    <w:rsid w:val="0010791A"/>
    <w:rsid w:val="0011282B"/>
    <w:rsid w:val="001128AF"/>
    <w:rsid w:val="001128FC"/>
    <w:rsid w:val="00113539"/>
    <w:rsid w:val="00113BEF"/>
    <w:rsid w:val="00114720"/>
    <w:rsid w:val="00115AE0"/>
    <w:rsid w:val="00115B03"/>
    <w:rsid w:val="00115EAD"/>
    <w:rsid w:val="00116BA9"/>
    <w:rsid w:val="00117B7A"/>
    <w:rsid w:val="00120459"/>
    <w:rsid w:val="00120C16"/>
    <w:rsid w:val="0012233E"/>
    <w:rsid w:val="00123AD8"/>
    <w:rsid w:val="00123F0D"/>
    <w:rsid w:val="00124F9A"/>
    <w:rsid w:val="00125FCE"/>
    <w:rsid w:val="00126928"/>
    <w:rsid w:val="001277D1"/>
    <w:rsid w:val="00127AAA"/>
    <w:rsid w:val="0012BF18"/>
    <w:rsid w:val="00130F4D"/>
    <w:rsid w:val="001316F5"/>
    <w:rsid w:val="00136B37"/>
    <w:rsid w:val="00137259"/>
    <w:rsid w:val="0013742D"/>
    <w:rsid w:val="001408DF"/>
    <w:rsid w:val="0014232B"/>
    <w:rsid w:val="00142C39"/>
    <w:rsid w:val="0014392E"/>
    <w:rsid w:val="001441FE"/>
    <w:rsid w:val="001444C4"/>
    <w:rsid w:val="0014497A"/>
    <w:rsid w:val="00144ADE"/>
    <w:rsid w:val="00144CB6"/>
    <w:rsid w:val="0014501A"/>
    <w:rsid w:val="00145BAB"/>
    <w:rsid w:val="00150457"/>
    <w:rsid w:val="00153582"/>
    <w:rsid w:val="00154035"/>
    <w:rsid w:val="00154730"/>
    <w:rsid w:val="00154A55"/>
    <w:rsid w:val="00155FCF"/>
    <w:rsid w:val="00156437"/>
    <w:rsid w:val="00157310"/>
    <w:rsid w:val="00157907"/>
    <w:rsid w:val="00160015"/>
    <w:rsid w:val="0016043D"/>
    <w:rsid w:val="0016065B"/>
    <w:rsid w:val="001620F6"/>
    <w:rsid w:val="00164656"/>
    <w:rsid w:val="00170903"/>
    <w:rsid w:val="00170BEA"/>
    <w:rsid w:val="00172CE8"/>
    <w:rsid w:val="00175B78"/>
    <w:rsid w:val="00180525"/>
    <w:rsid w:val="00180947"/>
    <w:rsid w:val="001810E2"/>
    <w:rsid w:val="00182B08"/>
    <w:rsid w:val="00184107"/>
    <w:rsid w:val="00185137"/>
    <w:rsid w:val="00185B6F"/>
    <w:rsid w:val="00185C8D"/>
    <w:rsid w:val="00185D5B"/>
    <w:rsid w:val="00185E20"/>
    <w:rsid w:val="00186B57"/>
    <w:rsid w:val="00186C08"/>
    <w:rsid w:val="00187BFB"/>
    <w:rsid w:val="0019216C"/>
    <w:rsid w:val="00192C81"/>
    <w:rsid w:val="0019459C"/>
    <w:rsid w:val="00194897"/>
    <w:rsid w:val="001949C9"/>
    <w:rsid w:val="00195193"/>
    <w:rsid w:val="001959FA"/>
    <w:rsid w:val="00196F4A"/>
    <w:rsid w:val="00197E1A"/>
    <w:rsid w:val="001A2204"/>
    <w:rsid w:val="001A5407"/>
    <w:rsid w:val="001A644A"/>
    <w:rsid w:val="001A78B9"/>
    <w:rsid w:val="001A7A9A"/>
    <w:rsid w:val="001B1796"/>
    <w:rsid w:val="001B1E6F"/>
    <w:rsid w:val="001B4CA3"/>
    <w:rsid w:val="001B6658"/>
    <w:rsid w:val="001B6A6B"/>
    <w:rsid w:val="001B6DCB"/>
    <w:rsid w:val="001C0963"/>
    <w:rsid w:val="001C111D"/>
    <w:rsid w:val="001C11A4"/>
    <w:rsid w:val="001C11EA"/>
    <w:rsid w:val="001C1242"/>
    <w:rsid w:val="001C1993"/>
    <w:rsid w:val="001C2909"/>
    <w:rsid w:val="001C2C18"/>
    <w:rsid w:val="001C4590"/>
    <w:rsid w:val="001C55DA"/>
    <w:rsid w:val="001C58DF"/>
    <w:rsid w:val="001C5DDC"/>
    <w:rsid w:val="001C5F3B"/>
    <w:rsid w:val="001C6201"/>
    <w:rsid w:val="001C6905"/>
    <w:rsid w:val="001C70BA"/>
    <w:rsid w:val="001D0095"/>
    <w:rsid w:val="001D192C"/>
    <w:rsid w:val="001D1A1E"/>
    <w:rsid w:val="001D1DFF"/>
    <w:rsid w:val="001D2089"/>
    <w:rsid w:val="001D2338"/>
    <w:rsid w:val="001D3445"/>
    <w:rsid w:val="001D41F4"/>
    <w:rsid w:val="001D5097"/>
    <w:rsid w:val="001D6004"/>
    <w:rsid w:val="001D6645"/>
    <w:rsid w:val="001E07C4"/>
    <w:rsid w:val="001E2B36"/>
    <w:rsid w:val="001E3654"/>
    <w:rsid w:val="001E3D64"/>
    <w:rsid w:val="001E4984"/>
    <w:rsid w:val="001E573C"/>
    <w:rsid w:val="001F0A93"/>
    <w:rsid w:val="001F213F"/>
    <w:rsid w:val="001F21D2"/>
    <w:rsid w:val="001F3128"/>
    <w:rsid w:val="001F568E"/>
    <w:rsid w:val="001F5C9E"/>
    <w:rsid w:val="001F6866"/>
    <w:rsid w:val="001F7939"/>
    <w:rsid w:val="00200668"/>
    <w:rsid w:val="00200690"/>
    <w:rsid w:val="00200E28"/>
    <w:rsid w:val="00202244"/>
    <w:rsid w:val="002025C7"/>
    <w:rsid w:val="00203C01"/>
    <w:rsid w:val="00203F29"/>
    <w:rsid w:val="0020667C"/>
    <w:rsid w:val="00206C27"/>
    <w:rsid w:val="00210A53"/>
    <w:rsid w:val="00211D5B"/>
    <w:rsid w:val="00213CFF"/>
    <w:rsid w:val="00214451"/>
    <w:rsid w:val="00215288"/>
    <w:rsid w:val="0021564C"/>
    <w:rsid w:val="00216C64"/>
    <w:rsid w:val="00216DD1"/>
    <w:rsid w:val="00217290"/>
    <w:rsid w:val="002179D2"/>
    <w:rsid w:val="00217F0F"/>
    <w:rsid w:val="00220DFC"/>
    <w:rsid w:val="00221207"/>
    <w:rsid w:val="002237D7"/>
    <w:rsid w:val="002260D8"/>
    <w:rsid w:val="00230497"/>
    <w:rsid w:val="00231827"/>
    <w:rsid w:val="00231F17"/>
    <w:rsid w:val="00233C42"/>
    <w:rsid w:val="00236734"/>
    <w:rsid w:val="00236994"/>
    <w:rsid w:val="002374FC"/>
    <w:rsid w:val="0023795F"/>
    <w:rsid w:val="0024088F"/>
    <w:rsid w:val="00241954"/>
    <w:rsid w:val="00241E01"/>
    <w:rsid w:val="00243617"/>
    <w:rsid w:val="00244248"/>
    <w:rsid w:val="0024542C"/>
    <w:rsid w:val="00245EF5"/>
    <w:rsid w:val="00245FB5"/>
    <w:rsid w:val="00246C5E"/>
    <w:rsid w:val="002504BE"/>
    <w:rsid w:val="0025104E"/>
    <w:rsid w:val="00251B42"/>
    <w:rsid w:val="00252B88"/>
    <w:rsid w:val="00253DAC"/>
    <w:rsid w:val="00254BA7"/>
    <w:rsid w:val="00255D56"/>
    <w:rsid w:val="00255E89"/>
    <w:rsid w:val="002578D1"/>
    <w:rsid w:val="00257FAB"/>
    <w:rsid w:val="00262D08"/>
    <w:rsid w:val="00270FD2"/>
    <w:rsid w:val="002743E1"/>
    <w:rsid w:val="00276680"/>
    <w:rsid w:val="00276DF9"/>
    <w:rsid w:val="002772B5"/>
    <w:rsid w:val="00277B93"/>
    <w:rsid w:val="00280022"/>
    <w:rsid w:val="00280514"/>
    <w:rsid w:val="00281D04"/>
    <w:rsid w:val="00283AE7"/>
    <w:rsid w:val="00284D11"/>
    <w:rsid w:val="002866DA"/>
    <w:rsid w:val="00287AA5"/>
    <w:rsid w:val="0029009F"/>
    <w:rsid w:val="0029071A"/>
    <w:rsid w:val="00292077"/>
    <w:rsid w:val="002937B2"/>
    <w:rsid w:val="00294316"/>
    <w:rsid w:val="00294421"/>
    <w:rsid w:val="00295E14"/>
    <w:rsid w:val="002961ED"/>
    <w:rsid w:val="00296F31"/>
    <w:rsid w:val="002A077B"/>
    <w:rsid w:val="002A1779"/>
    <w:rsid w:val="002A4086"/>
    <w:rsid w:val="002A40EC"/>
    <w:rsid w:val="002A4E78"/>
    <w:rsid w:val="002A64C1"/>
    <w:rsid w:val="002B05A9"/>
    <w:rsid w:val="002B2D38"/>
    <w:rsid w:val="002B433C"/>
    <w:rsid w:val="002B48A9"/>
    <w:rsid w:val="002B5310"/>
    <w:rsid w:val="002B691A"/>
    <w:rsid w:val="002B6AC4"/>
    <w:rsid w:val="002B7204"/>
    <w:rsid w:val="002C063C"/>
    <w:rsid w:val="002C27A3"/>
    <w:rsid w:val="002C2FB5"/>
    <w:rsid w:val="002C30CD"/>
    <w:rsid w:val="002C5AAF"/>
    <w:rsid w:val="002C6938"/>
    <w:rsid w:val="002D0B3C"/>
    <w:rsid w:val="002D3EC2"/>
    <w:rsid w:val="002D4644"/>
    <w:rsid w:val="002D5247"/>
    <w:rsid w:val="002D6388"/>
    <w:rsid w:val="002D64E9"/>
    <w:rsid w:val="002D704A"/>
    <w:rsid w:val="002D7757"/>
    <w:rsid w:val="002E03D5"/>
    <w:rsid w:val="002E2B11"/>
    <w:rsid w:val="002E36AF"/>
    <w:rsid w:val="002E4A92"/>
    <w:rsid w:val="002E4E4C"/>
    <w:rsid w:val="002E68F7"/>
    <w:rsid w:val="002F1117"/>
    <w:rsid w:val="002F2EF0"/>
    <w:rsid w:val="002F34D4"/>
    <w:rsid w:val="002F3C18"/>
    <w:rsid w:val="002F4442"/>
    <w:rsid w:val="002F6974"/>
    <w:rsid w:val="002F747C"/>
    <w:rsid w:val="00300A9F"/>
    <w:rsid w:val="00300BFA"/>
    <w:rsid w:val="00301838"/>
    <w:rsid w:val="00304167"/>
    <w:rsid w:val="0031116D"/>
    <w:rsid w:val="00312E1F"/>
    <w:rsid w:val="00314949"/>
    <w:rsid w:val="00314CBC"/>
    <w:rsid w:val="00314F71"/>
    <w:rsid w:val="00316075"/>
    <w:rsid w:val="00320702"/>
    <w:rsid w:val="00321EF9"/>
    <w:rsid w:val="003227A4"/>
    <w:rsid w:val="00322A31"/>
    <w:rsid w:val="003235EB"/>
    <w:rsid w:val="00326691"/>
    <w:rsid w:val="00330F44"/>
    <w:rsid w:val="003313A4"/>
    <w:rsid w:val="00331BD1"/>
    <w:rsid w:val="003324DD"/>
    <w:rsid w:val="00332999"/>
    <w:rsid w:val="00332CC7"/>
    <w:rsid w:val="00333144"/>
    <w:rsid w:val="00333981"/>
    <w:rsid w:val="00333DD6"/>
    <w:rsid w:val="00333DF2"/>
    <w:rsid w:val="00335304"/>
    <w:rsid w:val="00340BCD"/>
    <w:rsid w:val="0034123D"/>
    <w:rsid w:val="00341CCC"/>
    <w:rsid w:val="0034288E"/>
    <w:rsid w:val="003442E0"/>
    <w:rsid w:val="00344F98"/>
    <w:rsid w:val="00345502"/>
    <w:rsid w:val="00345511"/>
    <w:rsid w:val="00352241"/>
    <w:rsid w:val="003522F5"/>
    <w:rsid w:val="00352E5F"/>
    <w:rsid w:val="00353771"/>
    <w:rsid w:val="00353937"/>
    <w:rsid w:val="00353AB7"/>
    <w:rsid w:val="003555C8"/>
    <w:rsid w:val="00355E89"/>
    <w:rsid w:val="00356339"/>
    <w:rsid w:val="00357AB6"/>
    <w:rsid w:val="0036215C"/>
    <w:rsid w:val="00362A0A"/>
    <w:rsid w:val="00363226"/>
    <w:rsid w:val="00363366"/>
    <w:rsid w:val="0036379A"/>
    <w:rsid w:val="003648A0"/>
    <w:rsid w:val="003671BE"/>
    <w:rsid w:val="00370725"/>
    <w:rsid w:val="003713D5"/>
    <w:rsid w:val="0037272F"/>
    <w:rsid w:val="00374FDE"/>
    <w:rsid w:val="0037539D"/>
    <w:rsid w:val="00375DF2"/>
    <w:rsid w:val="00381366"/>
    <w:rsid w:val="003813BB"/>
    <w:rsid w:val="003837D6"/>
    <w:rsid w:val="00390FAB"/>
    <w:rsid w:val="0039127B"/>
    <w:rsid w:val="00391882"/>
    <w:rsid w:val="00392393"/>
    <w:rsid w:val="00392F78"/>
    <w:rsid w:val="00395AEC"/>
    <w:rsid w:val="003973F1"/>
    <w:rsid w:val="0039762D"/>
    <w:rsid w:val="003A364E"/>
    <w:rsid w:val="003A4FC5"/>
    <w:rsid w:val="003A567D"/>
    <w:rsid w:val="003A6845"/>
    <w:rsid w:val="003A6C42"/>
    <w:rsid w:val="003A7307"/>
    <w:rsid w:val="003A7363"/>
    <w:rsid w:val="003A7EB0"/>
    <w:rsid w:val="003B294B"/>
    <w:rsid w:val="003B3043"/>
    <w:rsid w:val="003B5107"/>
    <w:rsid w:val="003B5A56"/>
    <w:rsid w:val="003B64DB"/>
    <w:rsid w:val="003B7C85"/>
    <w:rsid w:val="003C27C6"/>
    <w:rsid w:val="003C3748"/>
    <w:rsid w:val="003C39D7"/>
    <w:rsid w:val="003C4F47"/>
    <w:rsid w:val="003C54D7"/>
    <w:rsid w:val="003D2B9C"/>
    <w:rsid w:val="003D2E94"/>
    <w:rsid w:val="003D32D2"/>
    <w:rsid w:val="003D3CF8"/>
    <w:rsid w:val="003D672D"/>
    <w:rsid w:val="003E13AC"/>
    <w:rsid w:val="003E1E98"/>
    <w:rsid w:val="003E468F"/>
    <w:rsid w:val="003E5F9D"/>
    <w:rsid w:val="003E6773"/>
    <w:rsid w:val="003E6DF2"/>
    <w:rsid w:val="003E7959"/>
    <w:rsid w:val="003F2297"/>
    <w:rsid w:val="003F24EA"/>
    <w:rsid w:val="003F2C28"/>
    <w:rsid w:val="003F48CF"/>
    <w:rsid w:val="003F6085"/>
    <w:rsid w:val="003F6AF4"/>
    <w:rsid w:val="003F73EE"/>
    <w:rsid w:val="00401372"/>
    <w:rsid w:val="00401DDB"/>
    <w:rsid w:val="004022F8"/>
    <w:rsid w:val="0040238D"/>
    <w:rsid w:val="004042F9"/>
    <w:rsid w:val="00404815"/>
    <w:rsid w:val="00405826"/>
    <w:rsid w:val="004109C1"/>
    <w:rsid w:val="0041170C"/>
    <w:rsid w:val="0041330A"/>
    <w:rsid w:val="00415217"/>
    <w:rsid w:val="00417B2A"/>
    <w:rsid w:val="0042012F"/>
    <w:rsid w:val="0042297C"/>
    <w:rsid w:val="00424F29"/>
    <w:rsid w:val="0042546B"/>
    <w:rsid w:val="00425722"/>
    <w:rsid w:val="00425AA3"/>
    <w:rsid w:val="00425AC2"/>
    <w:rsid w:val="004275CC"/>
    <w:rsid w:val="00427779"/>
    <w:rsid w:val="00430408"/>
    <w:rsid w:val="0043255A"/>
    <w:rsid w:val="004337F7"/>
    <w:rsid w:val="00434020"/>
    <w:rsid w:val="00434871"/>
    <w:rsid w:val="00434E2C"/>
    <w:rsid w:val="004365FB"/>
    <w:rsid w:val="00437568"/>
    <w:rsid w:val="004400B0"/>
    <w:rsid w:val="00440A15"/>
    <w:rsid w:val="004417D3"/>
    <w:rsid w:val="004448C9"/>
    <w:rsid w:val="0044499B"/>
    <w:rsid w:val="004461DC"/>
    <w:rsid w:val="004475FC"/>
    <w:rsid w:val="00451693"/>
    <w:rsid w:val="00452D75"/>
    <w:rsid w:val="00453F30"/>
    <w:rsid w:val="00454663"/>
    <w:rsid w:val="00454A88"/>
    <w:rsid w:val="00454D01"/>
    <w:rsid w:val="00454D4B"/>
    <w:rsid w:val="00454D7B"/>
    <w:rsid w:val="0045651B"/>
    <w:rsid w:val="00456535"/>
    <w:rsid w:val="004567B7"/>
    <w:rsid w:val="00456B8D"/>
    <w:rsid w:val="00456BDE"/>
    <w:rsid w:val="00456BF7"/>
    <w:rsid w:val="00456DE4"/>
    <w:rsid w:val="0045790B"/>
    <w:rsid w:val="0046026A"/>
    <w:rsid w:val="0046168F"/>
    <w:rsid w:val="00463154"/>
    <w:rsid w:val="004639DA"/>
    <w:rsid w:val="00463CD1"/>
    <w:rsid w:val="004643E6"/>
    <w:rsid w:val="00467201"/>
    <w:rsid w:val="00472967"/>
    <w:rsid w:val="004734AE"/>
    <w:rsid w:val="00475965"/>
    <w:rsid w:val="0047596B"/>
    <w:rsid w:val="0047612F"/>
    <w:rsid w:val="004765A1"/>
    <w:rsid w:val="00476890"/>
    <w:rsid w:val="00477492"/>
    <w:rsid w:val="00477BD6"/>
    <w:rsid w:val="00477D97"/>
    <w:rsid w:val="0048075A"/>
    <w:rsid w:val="00480CF1"/>
    <w:rsid w:val="0048126C"/>
    <w:rsid w:val="004821F1"/>
    <w:rsid w:val="0048401B"/>
    <w:rsid w:val="00484E96"/>
    <w:rsid w:val="00485884"/>
    <w:rsid w:val="00486121"/>
    <w:rsid w:val="00486A73"/>
    <w:rsid w:val="0048717E"/>
    <w:rsid w:val="004871FB"/>
    <w:rsid w:val="004879CA"/>
    <w:rsid w:val="00487EF4"/>
    <w:rsid w:val="00490B1E"/>
    <w:rsid w:val="00492D55"/>
    <w:rsid w:val="00492DB1"/>
    <w:rsid w:val="00494B6E"/>
    <w:rsid w:val="00494BD7"/>
    <w:rsid w:val="0049558A"/>
    <w:rsid w:val="00495832"/>
    <w:rsid w:val="0049631B"/>
    <w:rsid w:val="0049658B"/>
    <w:rsid w:val="004970C5"/>
    <w:rsid w:val="004A0D75"/>
    <w:rsid w:val="004A10ED"/>
    <w:rsid w:val="004A23CE"/>
    <w:rsid w:val="004A24ED"/>
    <w:rsid w:val="004A34CD"/>
    <w:rsid w:val="004A3AB2"/>
    <w:rsid w:val="004A478A"/>
    <w:rsid w:val="004A4B19"/>
    <w:rsid w:val="004A58CA"/>
    <w:rsid w:val="004A59D2"/>
    <w:rsid w:val="004A5C0B"/>
    <w:rsid w:val="004A5EFD"/>
    <w:rsid w:val="004A7C49"/>
    <w:rsid w:val="004A7F18"/>
    <w:rsid w:val="004B030B"/>
    <w:rsid w:val="004B05CB"/>
    <w:rsid w:val="004B1FF4"/>
    <w:rsid w:val="004B34B3"/>
    <w:rsid w:val="004B3F33"/>
    <w:rsid w:val="004B422F"/>
    <w:rsid w:val="004B4383"/>
    <w:rsid w:val="004B5CE5"/>
    <w:rsid w:val="004B70CF"/>
    <w:rsid w:val="004B7B95"/>
    <w:rsid w:val="004C0713"/>
    <w:rsid w:val="004C23D2"/>
    <w:rsid w:val="004C3D07"/>
    <w:rsid w:val="004C456D"/>
    <w:rsid w:val="004C615E"/>
    <w:rsid w:val="004C6F0B"/>
    <w:rsid w:val="004C7049"/>
    <w:rsid w:val="004C7B63"/>
    <w:rsid w:val="004D2AB4"/>
    <w:rsid w:val="004D524C"/>
    <w:rsid w:val="004D5913"/>
    <w:rsid w:val="004D5BCA"/>
    <w:rsid w:val="004D5D06"/>
    <w:rsid w:val="004D6FC2"/>
    <w:rsid w:val="004D76DF"/>
    <w:rsid w:val="004D7F1C"/>
    <w:rsid w:val="004E0C20"/>
    <w:rsid w:val="004E0EF6"/>
    <w:rsid w:val="004E2067"/>
    <w:rsid w:val="004F01DB"/>
    <w:rsid w:val="004F0429"/>
    <w:rsid w:val="004F0747"/>
    <w:rsid w:val="004F1AF3"/>
    <w:rsid w:val="004F40E1"/>
    <w:rsid w:val="004F57FF"/>
    <w:rsid w:val="004F6EAB"/>
    <w:rsid w:val="004F6ECD"/>
    <w:rsid w:val="004F7040"/>
    <w:rsid w:val="004F74CE"/>
    <w:rsid w:val="004F7714"/>
    <w:rsid w:val="004F787C"/>
    <w:rsid w:val="005002E7"/>
    <w:rsid w:val="005023D5"/>
    <w:rsid w:val="005055D2"/>
    <w:rsid w:val="005062AF"/>
    <w:rsid w:val="0050738C"/>
    <w:rsid w:val="0051019C"/>
    <w:rsid w:val="005106D7"/>
    <w:rsid w:val="00510903"/>
    <w:rsid w:val="00511ADF"/>
    <w:rsid w:val="00511BAC"/>
    <w:rsid w:val="00512756"/>
    <w:rsid w:val="00513682"/>
    <w:rsid w:val="005138F8"/>
    <w:rsid w:val="005177F7"/>
    <w:rsid w:val="00521DB8"/>
    <w:rsid w:val="00522483"/>
    <w:rsid w:val="00523425"/>
    <w:rsid w:val="00525F0E"/>
    <w:rsid w:val="00527508"/>
    <w:rsid w:val="005277D7"/>
    <w:rsid w:val="0053015B"/>
    <w:rsid w:val="0053156F"/>
    <w:rsid w:val="00531919"/>
    <w:rsid w:val="00531ABE"/>
    <w:rsid w:val="00531F6A"/>
    <w:rsid w:val="0053297C"/>
    <w:rsid w:val="00533219"/>
    <w:rsid w:val="00533333"/>
    <w:rsid w:val="00535070"/>
    <w:rsid w:val="00535142"/>
    <w:rsid w:val="0053521C"/>
    <w:rsid w:val="00536064"/>
    <w:rsid w:val="00540561"/>
    <w:rsid w:val="005412CE"/>
    <w:rsid w:val="00541B73"/>
    <w:rsid w:val="005438C7"/>
    <w:rsid w:val="00543DB4"/>
    <w:rsid w:val="00547B01"/>
    <w:rsid w:val="00550AC7"/>
    <w:rsid w:val="0055250E"/>
    <w:rsid w:val="005531F7"/>
    <w:rsid w:val="00555FBB"/>
    <w:rsid w:val="00556A13"/>
    <w:rsid w:val="00556FE7"/>
    <w:rsid w:val="00557731"/>
    <w:rsid w:val="0056277B"/>
    <w:rsid w:val="005633C2"/>
    <w:rsid w:val="00563731"/>
    <w:rsid w:val="00564AD7"/>
    <w:rsid w:val="00565026"/>
    <w:rsid w:val="0056558D"/>
    <w:rsid w:val="0056665A"/>
    <w:rsid w:val="005703A3"/>
    <w:rsid w:val="00570591"/>
    <w:rsid w:val="0057114E"/>
    <w:rsid w:val="005718BC"/>
    <w:rsid w:val="00572506"/>
    <w:rsid w:val="00572A84"/>
    <w:rsid w:val="00572E75"/>
    <w:rsid w:val="00573C03"/>
    <w:rsid w:val="00573D91"/>
    <w:rsid w:val="0057470C"/>
    <w:rsid w:val="00575BEF"/>
    <w:rsid w:val="00575E71"/>
    <w:rsid w:val="00575F4F"/>
    <w:rsid w:val="005776C5"/>
    <w:rsid w:val="0057786C"/>
    <w:rsid w:val="00577882"/>
    <w:rsid w:val="005822D3"/>
    <w:rsid w:val="00582AC8"/>
    <w:rsid w:val="005835FF"/>
    <w:rsid w:val="00587075"/>
    <w:rsid w:val="00590057"/>
    <w:rsid w:val="005909E1"/>
    <w:rsid w:val="00591F6A"/>
    <w:rsid w:val="00593A60"/>
    <w:rsid w:val="005942E4"/>
    <w:rsid w:val="005953CA"/>
    <w:rsid w:val="0059617D"/>
    <w:rsid w:val="005A07AE"/>
    <w:rsid w:val="005A1A81"/>
    <w:rsid w:val="005A2FF5"/>
    <w:rsid w:val="005A3BD3"/>
    <w:rsid w:val="005A3C74"/>
    <w:rsid w:val="005A3D5B"/>
    <w:rsid w:val="005A523E"/>
    <w:rsid w:val="005A5B2E"/>
    <w:rsid w:val="005A5CEA"/>
    <w:rsid w:val="005A70DC"/>
    <w:rsid w:val="005A7768"/>
    <w:rsid w:val="005B1922"/>
    <w:rsid w:val="005B1C7C"/>
    <w:rsid w:val="005B48F0"/>
    <w:rsid w:val="005B5097"/>
    <w:rsid w:val="005B5294"/>
    <w:rsid w:val="005B62FC"/>
    <w:rsid w:val="005B666C"/>
    <w:rsid w:val="005B6B54"/>
    <w:rsid w:val="005B6F50"/>
    <w:rsid w:val="005C061E"/>
    <w:rsid w:val="005C1EF0"/>
    <w:rsid w:val="005C221B"/>
    <w:rsid w:val="005C3434"/>
    <w:rsid w:val="005C37BA"/>
    <w:rsid w:val="005C5C7F"/>
    <w:rsid w:val="005C71A9"/>
    <w:rsid w:val="005C774A"/>
    <w:rsid w:val="005D0169"/>
    <w:rsid w:val="005D0387"/>
    <w:rsid w:val="005D067F"/>
    <w:rsid w:val="005D0E04"/>
    <w:rsid w:val="005D1A28"/>
    <w:rsid w:val="005D1E14"/>
    <w:rsid w:val="005D2813"/>
    <w:rsid w:val="005D374D"/>
    <w:rsid w:val="005D3795"/>
    <w:rsid w:val="005D394C"/>
    <w:rsid w:val="005D399A"/>
    <w:rsid w:val="005D3CAA"/>
    <w:rsid w:val="005D5BE3"/>
    <w:rsid w:val="005D5F79"/>
    <w:rsid w:val="005D6247"/>
    <w:rsid w:val="005D698C"/>
    <w:rsid w:val="005D7948"/>
    <w:rsid w:val="005E0297"/>
    <w:rsid w:val="005E1847"/>
    <w:rsid w:val="005E2A36"/>
    <w:rsid w:val="005E2AEF"/>
    <w:rsid w:val="005E2FA4"/>
    <w:rsid w:val="005E43E3"/>
    <w:rsid w:val="005E4F7B"/>
    <w:rsid w:val="005E5C31"/>
    <w:rsid w:val="005E71DA"/>
    <w:rsid w:val="005E733B"/>
    <w:rsid w:val="005F1CA8"/>
    <w:rsid w:val="005F2A33"/>
    <w:rsid w:val="005F2DCE"/>
    <w:rsid w:val="005F4B2C"/>
    <w:rsid w:val="005F670C"/>
    <w:rsid w:val="005F760B"/>
    <w:rsid w:val="005F768C"/>
    <w:rsid w:val="005F7B95"/>
    <w:rsid w:val="0060009B"/>
    <w:rsid w:val="00603823"/>
    <w:rsid w:val="0060538C"/>
    <w:rsid w:val="006057D3"/>
    <w:rsid w:val="00607C10"/>
    <w:rsid w:val="006118E4"/>
    <w:rsid w:val="0061205A"/>
    <w:rsid w:val="0061214F"/>
    <w:rsid w:val="006132FA"/>
    <w:rsid w:val="00613F38"/>
    <w:rsid w:val="006141C5"/>
    <w:rsid w:val="006145CD"/>
    <w:rsid w:val="006166DA"/>
    <w:rsid w:val="0062006D"/>
    <w:rsid w:val="00620998"/>
    <w:rsid w:val="00621F7C"/>
    <w:rsid w:val="00622653"/>
    <w:rsid w:val="00623E86"/>
    <w:rsid w:val="00624CF4"/>
    <w:rsid w:val="0062561A"/>
    <w:rsid w:val="00626923"/>
    <w:rsid w:val="006279A5"/>
    <w:rsid w:val="00627AFF"/>
    <w:rsid w:val="006305E6"/>
    <w:rsid w:val="0063100A"/>
    <w:rsid w:val="00631401"/>
    <w:rsid w:val="0063362A"/>
    <w:rsid w:val="00633CD5"/>
    <w:rsid w:val="0064012E"/>
    <w:rsid w:val="0064157E"/>
    <w:rsid w:val="00641BE5"/>
    <w:rsid w:val="00642E98"/>
    <w:rsid w:val="006433BC"/>
    <w:rsid w:val="00646446"/>
    <w:rsid w:val="00646BC7"/>
    <w:rsid w:val="006473D4"/>
    <w:rsid w:val="006474B8"/>
    <w:rsid w:val="00650414"/>
    <w:rsid w:val="00651FA4"/>
    <w:rsid w:val="006520DA"/>
    <w:rsid w:val="00652EC7"/>
    <w:rsid w:val="006535CC"/>
    <w:rsid w:val="0065594D"/>
    <w:rsid w:val="006560D8"/>
    <w:rsid w:val="00656FA3"/>
    <w:rsid w:val="0066124B"/>
    <w:rsid w:val="0066261E"/>
    <w:rsid w:val="00662DA8"/>
    <w:rsid w:val="006645F7"/>
    <w:rsid w:val="00664F8D"/>
    <w:rsid w:val="006650E9"/>
    <w:rsid w:val="0066550B"/>
    <w:rsid w:val="006655A4"/>
    <w:rsid w:val="00671490"/>
    <w:rsid w:val="006725CA"/>
    <w:rsid w:val="00674473"/>
    <w:rsid w:val="006764B3"/>
    <w:rsid w:val="00676B79"/>
    <w:rsid w:val="00680476"/>
    <w:rsid w:val="00680B40"/>
    <w:rsid w:val="00680F18"/>
    <w:rsid w:val="006841A8"/>
    <w:rsid w:val="00684A5B"/>
    <w:rsid w:val="0068709B"/>
    <w:rsid w:val="00687638"/>
    <w:rsid w:val="00687D97"/>
    <w:rsid w:val="00690C11"/>
    <w:rsid w:val="0069129F"/>
    <w:rsid w:val="00691886"/>
    <w:rsid w:val="00691FD2"/>
    <w:rsid w:val="00692ADF"/>
    <w:rsid w:val="00692C97"/>
    <w:rsid w:val="00695F87"/>
    <w:rsid w:val="006971D1"/>
    <w:rsid w:val="00697282"/>
    <w:rsid w:val="006976FA"/>
    <w:rsid w:val="006A02A0"/>
    <w:rsid w:val="006A05F0"/>
    <w:rsid w:val="006A22BD"/>
    <w:rsid w:val="006A2BE4"/>
    <w:rsid w:val="006A4BA0"/>
    <w:rsid w:val="006A508E"/>
    <w:rsid w:val="006B0104"/>
    <w:rsid w:val="006B0342"/>
    <w:rsid w:val="006B04F5"/>
    <w:rsid w:val="006B0EA3"/>
    <w:rsid w:val="006B20CF"/>
    <w:rsid w:val="006B3BBA"/>
    <w:rsid w:val="006B693C"/>
    <w:rsid w:val="006B6A6A"/>
    <w:rsid w:val="006C0EE1"/>
    <w:rsid w:val="006C2022"/>
    <w:rsid w:val="006C2225"/>
    <w:rsid w:val="006C2C41"/>
    <w:rsid w:val="006C3775"/>
    <w:rsid w:val="006C43CB"/>
    <w:rsid w:val="006C6959"/>
    <w:rsid w:val="006D091D"/>
    <w:rsid w:val="006D0A5B"/>
    <w:rsid w:val="006D0FDF"/>
    <w:rsid w:val="006D1716"/>
    <w:rsid w:val="006D225E"/>
    <w:rsid w:val="006D30B7"/>
    <w:rsid w:val="006D4043"/>
    <w:rsid w:val="006D4D97"/>
    <w:rsid w:val="006D4FFB"/>
    <w:rsid w:val="006D5357"/>
    <w:rsid w:val="006D6926"/>
    <w:rsid w:val="006D69BC"/>
    <w:rsid w:val="006D6E30"/>
    <w:rsid w:val="006E1A9C"/>
    <w:rsid w:val="006E32D1"/>
    <w:rsid w:val="006E34E3"/>
    <w:rsid w:val="006E39C5"/>
    <w:rsid w:val="006E3BD3"/>
    <w:rsid w:val="006E3E82"/>
    <w:rsid w:val="006E4922"/>
    <w:rsid w:val="006E4F93"/>
    <w:rsid w:val="006E5F69"/>
    <w:rsid w:val="006E6BA1"/>
    <w:rsid w:val="006F2231"/>
    <w:rsid w:val="006F329C"/>
    <w:rsid w:val="006F49BE"/>
    <w:rsid w:val="006F7421"/>
    <w:rsid w:val="00700393"/>
    <w:rsid w:val="0070039A"/>
    <w:rsid w:val="00702D6B"/>
    <w:rsid w:val="0070346C"/>
    <w:rsid w:val="0070365E"/>
    <w:rsid w:val="0070384F"/>
    <w:rsid w:val="00704191"/>
    <w:rsid w:val="00704C37"/>
    <w:rsid w:val="00705B9A"/>
    <w:rsid w:val="00705DAA"/>
    <w:rsid w:val="00706947"/>
    <w:rsid w:val="00706DBD"/>
    <w:rsid w:val="00706E6C"/>
    <w:rsid w:val="00710877"/>
    <w:rsid w:val="00711E25"/>
    <w:rsid w:val="00712284"/>
    <w:rsid w:val="007123C1"/>
    <w:rsid w:val="0071316C"/>
    <w:rsid w:val="00714633"/>
    <w:rsid w:val="00715F68"/>
    <w:rsid w:val="007163CD"/>
    <w:rsid w:val="00717A7C"/>
    <w:rsid w:val="00717C16"/>
    <w:rsid w:val="007206A5"/>
    <w:rsid w:val="007217A4"/>
    <w:rsid w:val="0072182F"/>
    <w:rsid w:val="00722529"/>
    <w:rsid w:val="0072389F"/>
    <w:rsid w:val="00723B25"/>
    <w:rsid w:val="00724200"/>
    <w:rsid w:val="00724906"/>
    <w:rsid w:val="00724F80"/>
    <w:rsid w:val="007268FF"/>
    <w:rsid w:val="00726AA9"/>
    <w:rsid w:val="007276EA"/>
    <w:rsid w:val="00727B4F"/>
    <w:rsid w:val="0073083D"/>
    <w:rsid w:val="007309D6"/>
    <w:rsid w:val="007367E2"/>
    <w:rsid w:val="007370DC"/>
    <w:rsid w:val="00737650"/>
    <w:rsid w:val="00737D5A"/>
    <w:rsid w:val="00737FB4"/>
    <w:rsid w:val="00742CA3"/>
    <w:rsid w:val="007435A5"/>
    <w:rsid w:val="00743ACD"/>
    <w:rsid w:val="00743C3F"/>
    <w:rsid w:val="00744998"/>
    <w:rsid w:val="00744E10"/>
    <w:rsid w:val="0074528E"/>
    <w:rsid w:val="00746AD5"/>
    <w:rsid w:val="007471F8"/>
    <w:rsid w:val="00747F60"/>
    <w:rsid w:val="00751273"/>
    <w:rsid w:val="007520F7"/>
    <w:rsid w:val="00752870"/>
    <w:rsid w:val="0075408B"/>
    <w:rsid w:val="00754A38"/>
    <w:rsid w:val="007554C2"/>
    <w:rsid w:val="0075578D"/>
    <w:rsid w:val="0075690D"/>
    <w:rsid w:val="00756915"/>
    <w:rsid w:val="00756A19"/>
    <w:rsid w:val="007573C4"/>
    <w:rsid w:val="00757C96"/>
    <w:rsid w:val="00757FC4"/>
    <w:rsid w:val="00761C32"/>
    <w:rsid w:val="00761E79"/>
    <w:rsid w:val="00762F35"/>
    <w:rsid w:val="0076411E"/>
    <w:rsid w:val="007660AC"/>
    <w:rsid w:val="00766518"/>
    <w:rsid w:val="00766F00"/>
    <w:rsid w:val="00767B93"/>
    <w:rsid w:val="00770B71"/>
    <w:rsid w:val="0077173E"/>
    <w:rsid w:val="0077232D"/>
    <w:rsid w:val="00772BFE"/>
    <w:rsid w:val="00772E4F"/>
    <w:rsid w:val="0077515A"/>
    <w:rsid w:val="0077523B"/>
    <w:rsid w:val="00775A3F"/>
    <w:rsid w:val="00776FF9"/>
    <w:rsid w:val="00777974"/>
    <w:rsid w:val="0078053F"/>
    <w:rsid w:val="00781B89"/>
    <w:rsid w:val="00782308"/>
    <w:rsid w:val="0078297E"/>
    <w:rsid w:val="00783896"/>
    <w:rsid w:val="00784C5B"/>
    <w:rsid w:val="00785A5A"/>
    <w:rsid w:val="00787571"/>
    <w:rsid w:val="00797A55"/>
    <w:rsid w:val="007A1C4A"/>
    <w:rsid w:val="007A22F8"/>
    <w:rsid w:val="007A2E51"/>
    <w:rsid w:val="007A37E8"/>
    <w:rsid w:val="007A5283"/>
    <w:rsid w:val="007A6097"/>
    <w:rsid w:val="007A64AF"/>
    <w:rsid w:val="007B0812"/>
    <w:rsid w:val="007B1C33"/>
    <w:rsid w:val="007B1D5F"/>
    <w:rsid w:val="007B315F"/>
    <w:rsid w:val="007B63F9"/>
    <w:rsid w:val="007B68BA"/>
    <w:rsid w:val="007B7AF7"/>
    <w:rsid w:val="007C01B4"/>
    <w:rsid w:val="007C0712"/>
    <w:rsid w:val="007C35EA"/>
    <w:rsid w:val="007C3C72"/>
    <w:rsid w:val="007C5C7B"/>
    <w:rsid w:val="007C7D76"/>
    <w:rsid w:val="007C7F5D"/>
    <w:rsid w:val="007D0A32"/>
    <w:rsid w:val="007D3C4D"/>
    <w:rsid w:val="007D481A"/>
    <w:rsid w:val="007D609F"/>
    <w:rsid w:val="007D6950"/>
    <w:rsid w:val="007D6E1A"/>
    <w:rsid w:val="007D7106"/>
    <w:rsid w:val="007D7E4F"/>
    <w:rsid w:val="007E00A4"/>
    <w:rsid w:val="007E1522"/>
    <w:rsid w:val="007E1590"/>
    <w:rsid w:val="007F0AF8"/>
    <w:rsid w:val="007F127B"/>
    <w:rsid w:val="007F1D51"/>
    <w:rsid w:val="007F1E06"/>
    <w:rsid w:val="007F329A"/>
    <w:rsid w:val="007F40DB"/>
    <w:rsid w:val="007F5AA3"/>
    <w:rsid w:val="007F6093"/>
    <w:rsid w:val="007F6549"/>
    <w:rsid w:val="007F69A0"/>
    <w:rsid w:val="0080092D"/>
    <w:rsid w:val="00801A70"/>
    <w:rsid w:val="008021AA"/>
    <w:rsid w:val="008037D4"/>
    <w:rsid w:val="00805C0C"/>
    <w:rsid w:val="00805C26"/>
    <w:rsid w:val="00806651"/>
    <w:rsid w:val="008067E4"/>
    <w:rsid w:val="00807403"/>
    <w:rsid w:val="0081030C"/>
    <w:rsid w:val="008105F1"/>
    <w:rsid w:val="00810829"/>
    <w:rsid w:val="00810C34"/>
    <w:rsid w:val="00812BBD"/>
    <w:rsid w:val="008148A6"/>
    <w:rsid w:val="008149E0"/>
    <w:rsid w:val="00816B54"/>
    <w:rsid w:val="00816F6F"/>
    <w:rsid w:val="00817D7F"/>
    <w:rsid w:val="0082010F"/>
    <w:rsid w:val="0082054E"/>
    <w:rsid w:val="00822A79"/>
    <w:rsid w:val="008231F1"/>
    <w:rsid w:val="00823913"/>
    <w:rsid w:val="008267AC"/>
    <w:rsid w:val="00827F23"/>
    <w:rsid w:val="00831933"/>
    <w:rsid w:val="008324E1"/>
    <w:rsid w:val="00832C49"/>
    <w:rsid w:val="00833717"/>
    <w:rsid w:val="00834748"/>
    <w:rsid w:val="00834AE5"/>
    <w:rsid w:val="00835171"/>
    <w:rsid w:val="00835EB9"/>
    <w:rsid w:val="008362FC"/>
    <w:rsid w:val="00836B23"/>
    <w:rsid w:val="00836B32"/>
    <w:rsid w:val="0083799E"/>
    <w:rsid w:val="00840D43"/>
    <w:rsid w:val="008424EB"/>
    <w:rsid w:val="0084285B"/>
    <w:rsid w:val="00842901"/>
    <w:rsid w:val="00843B44"/>
    <w:rsid w:val="008447D0"/>
    <w:rsid w:val="0084750C"/>
    <w:rsid w:val="00847F32"/>
    <w:rsid w:val="00850399"/>
    <w:rsid w:val="008505E3"/>
    <w:rsid w:val="008507F2"/>
    <w:rsid w:val="00854387"/>
    <w:rsid w:val="0085442A"/>
    <w:rsid w:val="00854646"/>
    <w:rsid w:val="00854DF9"/>
    <w:rsid w:val="008557D5"/>
    <w:rsid w:val="008559C7"/>
    <w:rsid w:val="0085631F"/>
    <w:rsid w:val="00862621"/>
    <w:rsid w:val="00862A6A"/>
    <w:rsid w:val="008631DF"/>
    <w:rsid w:val="00863F06"/>
    <w:rsid w:val="0086495D"/>
    <w:rsid w:val="0086547E"/>
    <w:rsid w:val="0086602B"/>
    <w:rsid w:val="00866C6E"/>
    <w:rsid w:val="0086780C"/>
    <w:rsid w:val="00871052"/>
    <w:rsid w:val="00872585"/>
    <w:rsid w:val="008726EA"/>
    <w:rsid w:val="00874C1B"/>
    <w:rsid w:val="00874EE3"/>
    <w:rsid w:val="008755C0"/>
    <w:rsid w:val="00876406"/>
    <w:rsid w:val="00877B16"/>
    <w:rsid w:val="00877F45"/>
    <w:rsid w:val="008800E5"/>
    <w:rsid w:val="008811E1"/>
    <w:rsid w:val="008834E0"/>
    <w:rsid w:val="00883B88"/>
    <w:rsid w:val="0088454B"/>
    <w:rsid w:val="00885AA8"/>
    <w:rsid w:val="008869D8"/>
    <w:rsid w:val="008869DF"/>
    <w:rsid w:val="00886C04"/>
    <w:rsid w:val="00890013"/>
    <w:rsid w:val="00890905"/>
    <w:rsid w:val="0089108B"/>
    <w:rsid w:val="00891266"/>
    <w:rsid w:val="00891B81"/>
    <w:rsid w:val="00893553"/>
    <w:rsid w:val="008938F2"/>
    <w:rsid w:val="008942AC"/>
    <w:rsid w:val="0089623A"/>
    <w:rsid w:val="008A23BB"/>
    <w:rsid w:val="008A2509"/>
    <w:rsid w:val="008A3427"/>
    <w:rsid w:val="008A3450"/>
    <w:rsid w:val="008A53C0"/>
    <w:rsid w:val="008A5A27"/>
    <w:rsid w:val="008A67F0"/>
    <w:rsid w:val="008A68C5"/>
    <w:rsid w:val="008B1160"/>
    <w:rsid w:val="008B1D67"/>
    <w:rsid w:val="008B23DE"/>
    <w:rsid w:val="008B435B"/>
    <w:rsid w:val="008B6C3F"/>
    <w:rsid w:val="008B6DC9"/>
    <w:rsid w:val="008B7411"/>
    <w:rsid w:val="008B7F71"/>
    <w:rsid w:val="008C0268"/>
    <w:rsid w:val="008C1C70"/>
    <w:rsid w:val="008C3495"/>
    <w:rsid w:val="008C3C50"/>
    <w:rsid w:val="008C3F94"/>
    <w:rsid w:val="008C4233"/>
    <w:rsid w:val="008C4D33"/>
    <w:rsid w:val="008C7857"/>
    <w:rsid w:val="008C78D3"/>
    <w:rsid w:val="008D0090"/>
    <w:rsid w:val="008D57EB"/>
    <w:rsid w:val="008D680D"/>
    <w:rsid w:val="008D6866"/>
    <w:rsid w:val="008D7B13"/>
    <w:rsid w:val="008D7ED8"/>
    <w:rsid w:val="008E006D"/>
    <w:rsid w:val="008E04D9"/>
    <w:rsid w:val="008E3777"/>
    <w:rsid w:val="008E4970"/>
    <w:rsid w:val="008E6D02"/>
    <w:rsid w:val="008E7E4A"/>
    <w:rsid w:val="008F0982"/>
    <w:rsid w:val="008F0EBF"/>
    <w:rsid w:val="008F122E"/>
    <w:rsid w:val="008F3001"/>
    <w:rsid w:val="008F41E8"/>
    <w:rsid w:val="008F5254"/>
    <w:rsid w:val="008F8A45"/>
    <w:rsid w:val="0090057F"/>
    <w:rsid w:val="00900AB0"/>
    <w:rsid w:val="00902E9C"/>
    <w:rsid w:val="00904191"/>
    <w:rsid w:val="00904679"/>
    <w:rsid w:val="009046A7"/>
    <w:rsid w:val="00904E0D"/>
    <w:rsid w:val="0091098D"/>
    <w:rsid w:val="00911085"/>
    <w:rsid w:val="00913800"/>
    <w:rsid w:val="009138F7"/>
    <w:rsid w:val="00914050"/>
    <w:rsid w:val="0091495C"/>
    <w:rsid w:val="00914CCF"/>
    <w:rsid w:val="00915F09"/>
    <w:rsid w:val="00916ABA"/>
    <w:rsid w:val="00916C88"/>
    <w:rsid w:val="00921C6A"/>
    <w:rsid w:val="009242E2"/>
    <w:rsid w:val="00925395"/>
    <w:rsid w:val="00925B87"/>
    <w:rsid w:val="00926662"/>
    <w:rsid w:val="009275A9"/>
    <w:rsid w:val="00927DFE"/>
    <w:rsid w:val="00930A45"/>
    <w:rsid w:val="00931C68"/>
    <w:rsid w:val="00932661"/>
    <w:rsid w:val="009326AC"/>
    <w:rsid w:val="0093743B"/>
    <w:rsid w:val="00940C15"/>
    <w:rsid w:val="009424FF"/>
    <w:rsid w:val="00942B3D"/>
    <w:rsid w:val="00942B7B"/>
    <w:rsid w:val="0094351F"/>
    <w:rsid w:val="00943613"/>
    <w:rsid w:val="00943E92"/>
    <w:rsid w:val="00943EF6"/>
    <w:rsid w:val="00944357"/>
    <w:rsid w:val="009450CB"/>
    <w:rsid w:val="00945E3D"/>
    <w:rsid w:val="00946054"/>
    <w:rsid w:val="00946D99"/>
    <w:rsid w:val="009502D6"/>
    <w:rsid w:val="00951955"/>
    <w:rsid w:val="00951D22"/>
    <w:rsid w:val="00952439"/>
    <w:rsid w:val="00952663"/>
    <w:rsid w:val="009534E9"/>
    <w:rsid w:val="00953A49"/>
    <w:rsid w:val="009552E0"/>
    <w:rsid w:val="009553BD"/>
    <w:rsid w:val="00960B1C"/>
    <w:rsid w:val="00961F00"/>
    <w:rsid w:val="009624D3"/>
    <w:rsid w:val="00963974"/>
    <w:rsid w:val="00965537"/>
    <w:rsid w:val="0096739C"/>
    <w:rsid w:val="0096744E"/>
    <w:rsid w:val="00967F7D"/>
    <w:rsid w:val="00971108"/>
    <w:rsid w:val="00972989"/>
    <w:rsid w:val="0097478F"/>
    <w:rsid w:val="0097677E"/>
    <w:rsid w:val="009767D3"/>
    <w:rsid w:val="009800A2"/>
    <w:rsid w:val="00980C65"/>
    <w:rsid w:val="00980EE0"/>
    <w:rsid w:val="009848A3"/>
    <w:rsid w:val="00984B47"/>
    <w:rsid w:val="0099067E"/>
    <w:rsid w:val="00990A3D"/>
    <w:rsid w:val="0099127B"/>
    <w:rsid w:val="00991CBC"/>
    <w:rsid w:val="00993AAF"/>
    <w:rsid w:val="00994237"/>
    <w:rsid w:val="00994EFA"/>
    <w:rsid w:val="00995752"/>
    <w:rsid w:val="0099585A"/>
    <w:rsid w:val="00996661"/>
    <w:rsid w:val="009A07AB"/>
    <w:rsid w:val="009A20B6"/>
    <w:rsid w:val="009A216B"/>
    <w:rsid w:val="009A3131"/>
    <w:rsid w:val="009A3A57"/>
    <w:rsid w:val="009A3D51"/>
    <w:rsid w:val="009A4D31"/>
    <w:rsid w:val="009B22F6"/>
    <w:rsid w:val="009B2825"/>
    <w:rsid w:val="009B3680"/>
    <w:rsid w:val="009B3B8A"/>
    <w:rsid w:val="009B418E"/>
    <w:rsid w:val="009B738B"/>
    <w:rsid w:val="009C0430"/>
    <w:rsid w:val="009C0E02"/>
    <w:rsid w:val="009C3A57"/>
    <w:rsid w:val="009C3D0C"/>
    <w:rsid w:val="009C3D1E"/>
    <w:rsid w:val="009C6643"/>
    <w:rsid w:val="009C7278"/>
    <w:rsid w:val="009C7A1B"/>
    <w:rsid w:val="009D027E"/>
    <w:rsid w:val="009D05F0"/>
    <w:rsid w:val="009D1017"/>
    <w:rsid w:val="009D2490"/>
    <w:rsid w:val="009D3D8F"/>
    <w:rsid w:val="009D47DF"/>
    <w:rsid w:val="009D7026"/>
    <w:rsid w:val="009D756B"/>
    <w:rsid w:val="009D7824"/>
    <w:rsid w:val="009E0195"/>
    <w:rsid w:val="009E0C55"/>
    <w:rsid w:val="009E12D9"/>
    <w:rsid w:val="009E195E"/>
    <w:rsid w:val="009E21FD"/>
    <w:rsid w:val="009E6A68"/>
    <w:rsid w:val="009F3D82"/>
    <w:rsid w:val="009F561C"/>
    <w:rsid w:val="00A00B12"/>
    <w:rsid w:val="00A01E37"/>
    <w:rsid w:val="00A030D9"/>
    <w:rsid w:val="00A06A43"/>
    <w:rsid w:val="00A072DC"/>
    <w:rsid w:val="00A07412"/>
    <w:rsid w:val="00A10E2F"/>
    <w:rsid w:val="00A117D4"/>
    <w:rsid w:val="00A1353D"/>
    <w:rsid w:val="00A13AD2"/>
    <w:rsid w:val="00A213A8"/>
    <w:rsid w:val="00A23C3B"/>
    <w:rsid w:val="00A26FF9"/>
    <w:rsid w:val="00A27B9B"/>
    <w:rsid w:val="00A30860"/>
    <w:rsid w:val="00A30E04"/>
    <w:rsid w:val="00A313E7"/>
    <w:rsid w:val="00A314F8"/>
    <w:rsid w:val="00A318FA"/>
    <w:rsid w:val="00A31C3F"/>
    <w:rsid w:val="00A327CB"/>
    <w:rsid w:val="00A33DE8"/>
    <w:rsid w:val="00A40CBC"/>
    <w:rsid w:val="00A40EC4"/>
    <w:rsid w:val="00A41DB8"/>
    <w:rsid w:val="00A4414B"/>
    <w:rsid w:val="00A4437B"/>
    <w:rsid w:val="00A4456C"/>
    <w:rsid w:val="00A44790"/>
    <w:rsid w:val="00A45038"/>
    <w:rsid w:val="00A45CAE"/>
    <w:rsid w:val="00A4633F"/>
    <w:rsid w:val="00A46E85"/>
    <w:rsid w:val="00A47011"/>
    <w:rsid w:val="00A509B7"/>
    <w:rsid w:val="00A55BE3"/>
    <w:rsid w:val="00A57FA0"/>
    <w:rsid w:val="00A601FC"/>
    <w:rsid w:val="00A60B56"/>
    <w:rsid w:val="00A60C0A"/>
    <w:rsid w:val="00A62054"/>
    <w:rsid w:val="00A62C04"/>
    <w:rsid w:val="00A63318"/>
    <w:rsid w:val="00A634B8"/>
    <w:rsid w:val="00A66839"/>
    <w:rsid w:val="00A66CB6"/>
    <w:rsid w:val="00A66EA0"/>
    <w:rsid w:val="00A7262F"/>
    <w:rsid w:val="00A729BC"/>
    <w:rsid w:val="00A72C70"/>
    <w:rsid w:val="00A73B3C"/>
    <w:rsid w:val="00A75937"/>
    <w:rsid w:val="00A76BE5"/>
    <w:rsid w:val="00A76D69"/>
    <w:rsid w:val="00A77A8C"/>
    <w:rsid w:val="00A8165E"/>
    <w:rsid w:val="00A82246"/>
    <w:rsid w:val="00A84116"/>
    <w:rsid w:val="00A8430D"/>
    <w:rsid w:val="00A84545"/>
    <w:rsid w:val="00A85C6B"/>
    <w:rsid w:val="00A86EB2"/>
    <w:rsid w:val="00A8776F"/>
    <w:rsid w:val="00A87898"/>
    <w:rsid w:val="00A87C43"/>
    <w:rsid w:val="00A90074"/>
    <w:rsid w:val="00A901A6"/>
    <w:rsid w:val="00A914B0"/>
    <w:rsid w:val="00A918E4"/>
    <w:rsid w:val="00A92361"/>
    <w:rsid w:val="00A926F3"/>
    <w:rsid w:val="00A932BD"/>
    <w:rsid w:val="00A93A36"/>
    <w:rsid w:val="00A94D97"/>
    <w:rsid w:val="00A95313"/>
    <w:rsid w:val="00A95C42"/>
    <w:rsid w:val="00A96192"/>
    <w:rsid w:val="00A97D7D"/>
    <w:rsid w:val="00AA241A"/>
    <w:rsid w:val="00AA40C5"/>
    <w:rsid w:val="00AA41AA"/>
    <w:rsid w:val="00AA71A3"/>
    <w:rsid w:val="00AA7B95"/>
    <w:rsid w:val="00AB2B6A"/>
    <w:rsid w:val="00AB2E69"/>
    <w:rsid w:val="00AB30AC"/>
    <w:rsid w:val="00AB37BE"/>
    <w:rsid w:val="00AB5AA4"/>
    <w:rsid w:val="00AB61EE"/>
    <w:rsid w:val="00AB6D21"/>
    <w:rsid w:val="00AC25D2"/>
    <w:rsid w:val="00AC2B79"/>
    <w:rsid w:val="00AC3432"/>
    <w:rsid w:val="00AC5B32"/>
    <w:rsid w:val="00AC6CB6"/>
    <w:rsid w:val="00AC7104"/>
    <w:rsid w:val="00AC747B"/>
    <w:rsid w:val="00AD148D"/>
    <w:rsid w:val="00AD1DA6"/>
    <w:rsid w:val="00AD271E"/>
    <w:rsid w:val="00AD2E0B"/>
    <w:rsid w:val="00AD3810"/>
    <w:rsid w:val="00AD4FEE"/>
    <w:rsid w:val="00AD54B6"/>
    <w:rsid w:val="00AD6E32"/>
    <w:rsid w:val="00AE0D1C"/>
    <w:rsid w:val="00AE0D3E"/>
    <w:rsid w:val="00AE0FE9"/>
    <w:rsid w:val="00AE1206"/>
    <w:rsid w:val="00AE15D3"/>
    <w:rsid w:val="00AE2C74"/>
    <w:rsid w:val="00AE375D"/>
    <w:rsid w:val="00AE46AE"/>
    <w:rsid w:val="00AE59FA"/>
    <w:rsid w:val="00AE7E2A"/>
    <w:rsid w:val="00AF1EF4"/>
    <w:rsid w:val="00AF2ECD"/>
    <w:rsid w:val="00AF31E5"/>
    <w:rsid w:val="00AF3839"/>
    <w:rsid w:val="00AF39DF"/>
    <w:rsid w:val="00AF3C33"/>
    <w:rsid w:val="00AF5F80"/>
    <w:rsid w:val="00AF6EA9"/>
    <w:rsid w:val="00AF72CC"/>
    <w:rsid w:val="00AF774F"/>
    <w:rsid w:val="00B00428"/>
    <w:rsid w:val="00B00767"/>
    <w:rsid w:val="00B00F68"/>
    <w:rsid w:val="00B00F78"/>
    <w:rsid w:val="00B01117"/>
    <w:rsid w:val="00B01255"/>
    <w:rsid w:val="00B04BAD"/>
    <w:rsid w:val="00B04EBD"/>
    <w:rsid w:val="00B0588E"/>
    <w:rsid w:val="00B07B26"/>
    <w:rsid w:val="00B10607"/>
    <w:rsid w:val="00B11837"/>
    <w:rsid w:val="00B12D3C"/>
    <w:rsid w:val="00B146A8"/>
    <w:rsid w:val="00B14FD2"/>
    <w:rsid w:val="00B1595B"/>
    <w:rsid w:val="00B161A7"/>
    <w:rsid w:val="00B16A07"/>
    <w:rsid w:val="00B17178"/>
    <w:rsid w:val="00B173EE"/>
    <w:rsid w:val="00B20404"/>
    <w:rsid w:val="00B21028"/>
    <w:rsid w:val="00B21559"/>
    <w:rsid w:val="00B21FBA"/>
    <w:rsid w:val="00B23D17"/>
    <w:rsid w:val="00B247C2"/>
    <w:rsid w:val="00B3079B"/>
    <w:rsid w:val="00B35103"/>
    <w:rsid w:val="00B36EA4"/>
    <w:rsid w:val="00B37344"/>
    <w:rsid w:val="00B37EA8"/>
    <w:rsid w:val="00B4007A"/>
    <w:rsid w:val="00B40FB1"/>
    <w:rsid w:val="00B424EB"/>
    <w:rsid w:val="00B4296B"/>
    <w:rsid w:val="00B43E4C"/>
    <w:rsid w:val="00B44091"/>
    <w:rsid w:val="00B44E65"/>
    <w:rsid w:val="00B46190"/>
    <w:rsid w:val="00B46ED1"/>
    <w:rsid w:val="00B50548"/>
    <w:rsid w:val="00B50BE6"/>
    <w:rsid w:val="00B52A22"/>
    <w:rsid w:val="00B5315F"/>
    <w:rsid w:val="00B53B72"/>
    <w:rsid w:val="00B54945"/>
    <w:rsid w:val="00B568D1"/>
    <w:rsid w:val="00B60240"/>
    <w:rsid w:val="00B618EA"/>
    <w:rsid w:val="00B61904"/>
    <w:rsid w:val="00B62C37"/>
    <w:rsid w:val="00B64B86"/>
    <w:rsid w:val="00B654A0"/>
    <w:rsid w:val="00B6559E"/>
    <w:rsid w:val="00B661AE"/>
    <w:rsid w:val="00B66B51"/>
    <w:rsid w:val="00B66B61"/>
    <w:rsid w:val="00B66E90"/>
    <w:rsid w:val="00B67728"/>
    <w:rsid w:val="00B7079D"/>
    <w:rsid w:val="00B71810"/>
    <w:rsid w:val="00B725B8"/>
    <w:rsid w:val="00B743BC"/>
    <w:rsid w:val="00B7577D"/>
    <w:rsid w:val="00B80573"/>
    <w:rsid w:val="00B81897"/>
    <w:rsid w:val="00B820F9"/>
    <w:rsid w:val="00B82A9C"/>
    <w:rsid w:val="00B838DA"/>
    <w:rsid w:val="00B844C3"/>
    <w:rsid w:val="00B8648C"/>
    <w:rsid w:val="00B8761A"/>
    <w:rsid w:val="00B878A4"/>
    <w:rsid w:val="00B93B91"/>
    <w:rsid w:val="00B945DF"/>
    <w:rsid w:val="00B97074"/>
    <w:rsid w:val="00B9961B"/>
    <w:rsid w:val="00BA1C78"/>
    <w:rsid w:val="00BA3415"/>
    <w:rsid w:val="00BA4D02"/>
    <w:rsid w:val="00BA4FAB"/>
    <w:rsid w:val="00BA6AE0"/>
    <w:rsid w:val="00BB01B8"/>
    <w:rsid w:val="00BB16A8"/>
    <w:rsid w:val="00BB1FFA"/>
    <w:rsid w:val="00BB3E0B"/>
    <w:rsid w:val="00BB4AE7"/>
    <w:rsid w:val="00BB4F6B"/>
    <w:rsid w:val="00BB50FA"/>
    <w:rsid w:val="00BB541D"/>
    <w:rsid w:val="00BC1175"/>
    <w:rsid w:val="00BC562F"/>
    <w:rsid w:val="00BC7DBD"/>
    <w:rsid w:val="00BD0A0E"/>
    <w:rsid w:val="00BD1E22"/>
    <w:rsid w:val="00BD1E9D"/>
    <w:rsid w:val="00BD3109"/>
    <w:rsid w:val="00BD31D5"/>
    <w:rsid w:val="00BD6432"/>
    <w:rsid w:val="00BD6DE5"/>
    <w:rsid w:val="00BD6E7F"/>
    <w:rsid w:val="00BE08C7"/>
    <w:rsid w:val="00BE09BA"/>
    <w:rsid w:val="00BE0E28"/>
    <w:rsid w:val="00BE585C"/>
    <w:rsid w:val="00BE6674"/>
    <w:rsid w:val="00BE6B6D"/>
    <w:rsid w:val="00BE7BFD"/>
    <w:rsid w:val="00BE7DAB"/>
    <w:rsid w:val="00BF02B3"/>
    <w:rsid w:val="00BF0A97"/>
    <w:rsid w:val="00BF19E5"/>
    <w:rsid w:val="00BF236C"/>
    <w:rsid w:val="00BF2CDF"/>
    <w:rsid w:val="00BF3CE4"/>
    <w:rsid w:val="00BF5CF9"/>
    <w:rsid w:val="00BF68DE"/>
    <w:rsid w:val="00BF6AA0"/>
    <w:rsid w:val="00BF7026"/>
    <w:rsid w:val="00C0130E"/>
    <w:rsid w:val="00C03C52"/>
    <w:rsid w:val="00C0439C"/>
    <w:rsid w:val="00C04D22"/>
    <w:rsid w:val="00C05537"/>
    <w:rsid w:val="00C10563"/>
    <w:rsid w:val="00C10E82"/>
    <w:rsid w:val="00C11C6E"/>
    <w:rsid w:val="00C13945"/>
    <w:rsid w:val="00C13D5B"/>
    <w:rsid w:val="00C14B32"/>
    <w:rsid w:val="00C1623A"/>
    <w:rsid w:val="00C16FA8"/>
    <w:rsid w:val="00C2140C"/>
    <w:rsid w:val="00C22BC3"/>
    <w:rsid w:val="00C248CA"/>
    <w:rsid w:val="00C25715"/>
    <w:rsid w:val="00C31888"/>
    <w:rsid w:val="00C337E2"/>
    <w:rsid w:val="00C351C3"/>
    <w:rsid w:val="00C35921"/>
    <w:rsid w:val="00C362D5"/>
    <w:rsid w:val="00C37184"/>
    <w:rsid w:val="00C40EEE"/>
    <w:rsid w:val="00C43F20"/>
    <w:rsid w:val="00C44D21"/>
    <w:rsid w:val="00C50829"/>
    <w:rsid w:val="00C51C59"/>
    <w:rsid w:val="00C52771"/>
    <w:rsid w:val="00C528B4"/>
    <w:rsid w:val="00C531CD"/>
    <w:rsid w:val="00C533E5"/>
    <w:rsid w:val="00C53E87"/>
    <w:rsid w:val="00C54A87"/>
    <w:rsid w:val="00C54EEB"/>
    <w:rsid w:val="00C54FD1"/>
    <w:rsid w:val="00C560ED"/>
    <w:rsid w:val="00C568BA"/>
    <w:rsid w:val="00C579F1"/>
    <w:rsid w:val="00C57F24"/>
    <w:rsid w:val="00C57F7B"/>
    <w:rsid w:val="00C60348"/>
    <w:rsid w:val="00C634DA"/>
    <w:rsid w:val="00C6350C"/>
    <w:rsid w:val="00C6376D"/>
    <w:rsid w:val="00C64BB4"/>
    <w:rsid w:val="00C64C46"/>
    <w:rsid w:val="00C65612"/>
    <w:rsid w:val="00C66FD3"/>
    <w:rsid w:val="00C6704E"/>
    <w:rsid w:val="00C67A47"/>
    <w:rsid w:val="00C7109E"/>
    <w:rsid w:val="00C7237E"/>
    <w:rsid w:val="00C73426"/>
    <w:rsid w:val="00C73EF1"/>
    <w:rsid w:val="00C74D51"/>
    <w:rsid w:val="00C75C76"/>
    <w:rsid w:val="00C811B2"/>
    <w:rsid w:val="00C81A4A"/>
    <w:rsid w:val="00C8229A"/>
    <w:rsid w:val="00C829BE"/>
    <w:rsid w:val="00C82C47"/>
    <w:rsid w:val="00C82DDB"/>
    <w:rsid w:val="00C83B57"/>
    <w:rsid w:val="00C86088"/>
    <w:rsid w:val="00C86236"/>
    <w:rsid w:val="00C87342"/>
    <w:rsid w:val="00C90F75"/>
    <w:rsid w:val="00C91834"/>
    <w:rsid w:val="00C9243C"/>
    <w:rsid w:val="00C94761"/>
    <w:rsid w:val="00C955E8"/>
    <w:rsid w:val="00C963BD"/>
    <w:rsid w:val="00CA1857"/>
    <w:rsid w:val="00CA34A7"/>
    <w:rsid w:val="00CA431C"/>
    <w:rsid w:val="00CA43C0"/>
    <w:rsid w:val="00CA456A"/>
    <w:rsid w:val="00CB11FE"/>
    <w:rsid w:val="00CB1947"/>
    <w:rsid w:val="00CB2651"/>
    <w:rsid w:val="00CB2724"/>
    <w:rsid w:val="00CB3864"/>
    <w:rsid w:val="00CB38CE"/>
    <w:rsid w:val="00CB5AC5"/>
    <w:rsid w:val="00CB5DB8"/>
    <w:rsid w:val="00CC0F72"/>
    <w:rsid w:val="00CC2A62"/>
    <w:rsid w:val="00CC3B51"/>
    <w:rsid w:val="00CC43AE"/>
    <w:rsid w:val="00CC4826"/>
    <w:rsid w:val="00CC4EED"/>
    <w:rsid w:val="00CC667A"/>
    <w:rsid w:val="00CC6B74"/>
    <w:rsid w:val="00CC73B9"/>
    <w:rsid w:val="00CC7407"/>
    <w:rsid w:val="00CC76C7"/>
    <w:rsid w:val="00CD03B2"/>
    <w:rsid w:val="00CD0983"/>
    <w:rsid w:val="00CD144F"/>
    <w:rsid w:val="00CD3632"/>
    <w:rsid w:val="00CD3B1A"/>
    <w:rsid w:val="00CD40DD"/>
    <w:rsid w:val="00CD4C33"/>
    <w:rsid w:val="00CE0523"/>
    <w:rsid w:val="00CE14A2"/>
    <w:rsid w:val="00CE1713"/>
    <w:rsid w:val="00CE260C"/>
    <w:rsid w:val="00CE2C56"/>
    <w:rsid w:val="00CE4600"/>
    <w:rsid w:val="00CE4C42"/>
    <w:rsid w:val="00CE6FFD"/>
    <w:rsid w:val="00CF3062"/>
    <w:rsid w:val="00CF365D"/>
    <w:rsid w:val="00CF36D8"/>
    <w:rsid w:val="00CF3C4B"/>
    <w:rsid w:val="00CF417D"/>
    <w:rsid w:val="00CF52E7"/>
    <w:rsid w:val="00CF650E"/>
    <w:rsid w:val="00CF6559"/>
    <w:rsid w:val="00CF67BE"/>
    <w:rsid w:val="00D06EAD"/>
    <w:rsid w:val="00D07FE0"/>
    <w:rsid w:val="00D1126D"/>
    <w:rsid w:val="00D13078"/>
    <w:rsid w:val="00D133EC"/>
    <w:rsid w:val="00D13DB1"/>
    <w:rsid w:val="00D15920"/>
    <w:rsid w:val="00D15D00"/>
    <w:rsid w:val="00D16650"/>
    <w:rsid w:val="00D211B7"/>
    <w:rsid w:val="00D22C81"/>
    <w:rsid w:val="00D23A4E"/>
    <w:rsid w:val="00D23C5D"/>
    <w:rsid w:val="00D2557D"/>
    <w:rsid w:val="00D25C37"/>
    <w:rsid w:val="00D267AA"/>
    <w:rsid w:val="00D2713A"/>
    <w:rsid w:val="00D27FAA"/>
    <w:rsid w:val="00D30423"/>
    <w:rsid w:val="00D30A0A"/>
    <w:rsid w:val="00D30B5C"/>
    <w:rsid w:val="00D32710"/>
    <w:rsid w:val="00D34CFA"/>
    <w:rsid w:val="00D35964"/>
    <w:rsid w:val="00D36E8B"/>
    <w:rsid w:val="00D37494"/>
    <w:rsid w:val="00D42347"/>
    <w:rsid w:val="00D4283D"/>
    <w:rsid w:val="00D436C8"/>
    <w:rsid w:val="00D43A12"/>
    <w:rsid w:val="00D46466"/>
    <w:rsid w:val="00D46634"/>
    <w:rsid w:val="00D46FEB"/>
    <w:rsid w:val="00D5006D"/>
    <w:rsid w:val="00D50EB3"/>
    <w:rsid w:val="00D53023"/>
    <w:rsid w:val="00D5358A"/>
    <w:rsid w:val="00D55523"/>
    <w:rsid w:val="00D5696C"/>
    <w:rsid w:val="00D57795"/>
    <w:rsid w:val="00D60A73"/>
    <w:rsid w:val="00D612B1"/>
    <w:rsid w:val="00D614D5"/>
    <w:rsid w:val="00D63290"/>
    <w:rsid w:val="00D63B3F"/>
    <w:rsid w:val="00D63C76"/>
    <w:rsid w:val="00D64C0D"/>
    <w:rsid w:val="00D6519C"/>
    <w:rsid w:val="00D65650"/>
    <w:rsid w:val="00D65EE9"/>
    <w:rsid w:val="00D66F26"/>
    <w:rsid w:val="00D678FB"/>
    <w:rsid w:val="00D704BB"/>
    <w:rsid w:val="00D7278E"/>
    <w:rsid w:val="00D73705"/>
    <w:rsid w:val="00D75E48"/>
    <w:rsid w:val="00D76040"/>
    <w:rsid w:val="00D76385"/>
    <w:rsid w:val="00D76BA0"/>
    <w:rsid w:val="00D80EFC"/>
    <w:rsid w:val="00D818F5"/>
    <w:rsid w:val="00D83829"/>
    <w:rsid w:val="00D85C1F"/>
    <w:rsid w:val="00D85EC4"/>
    <w:rsid w:val="00D86290"/>
    <w:rsid w:val="00D910E6"/>
    <w:rsid w:val="00D9160B"/>
    <w:rsid w:val="00D91C28"/>
    <w:rsid w:val="00D9322B"/>
    <w:rsid w:val="00D945FB"/>
    <w:rsid w:val="00D94C4A"/>
    <w:rsid w:val="00D95A85"/>
    <w:rsid w:val="00D95DDE"/>
    <w:rsid w:val="00DA0017"/>
    <w:rsid w:val="00DA0A71"/>
    <w:rsid w:val="00DA13F3"/>
    <w:rsid w:val="00DA37DD"/>
    <w:rsid w:val="00DA3B3F"/>
    <w:rsid w:val="00DA4E5B"/>
    <w:rsid w:val="00DA7549"/>
    <w:rsid w:val="00DA766E"/>
    <w:rsid w:val="00DB119F"/>
    <w:rsid w:val="00DB13EB"/>
    <w:rsid w:val="00DB4298"/>
    <w:rsid w:val="00DB469D"/>
    <w:rsid w:val="00DB4BED"/>
    <w:rsid w:val="00DB4CBE"/>
    <w:rsid w:val="00DB7FAF"/>
    <w:rsid w:val="00DC04EA"/>
    <w:rsid w:val="00DC1373"/>
    <w:rsid w:val="00DC1F81"/>
    <w:rsid w:val="00DC2953"/>
    <w:rsid w:val="00DC3BDB"/>
    <w:rsid w:val="00DC4A12"/>
    <w:rsid w:val="00DC67D6"/>
    <w:rsid w:val="00DC6D65"/>
    <w:rsid w:val="00DC6FC8"/>
    <w:rsid w:val="00DD00B2"/>
    <w:rsid w:val="00DD0120"/>
    <w:rsid w:val="00DD033F"/>
    <w:rsid w:val="00DD1895"/>
    <w:rsid w:val="00DD1B2F"/>
    <w:rsid w:val="00DD1D0A"/>
    <w:rsid w:val="00DD28BE"/>
    <w:rsid w:val="00DD38C0"/>
    <w:rsid w:val="00DD439D"/>
    <w:rsid w:val="00DD43B0"/>
    <w:rsid w:val="00DD56D7"/>
    <w:rsid w:val="00DD6869"/>
    <w:rsid w:val="00DD758B"/>
    <w:rsid w:val="00DE4440"/>
    <w:rsid w:val="00DE5753"/>
    <w:rsid w:val="00DE60AE"/>
    <w:rsid w:val="00DE67D5"/>
    <w:rsid w:val="00DE6EF6"/>
    <w:rsid w:val="00DF09CB"/>
    <w:rsid w:val="00DF13F5"/>
    <w:rsid w:val="00DF2472"/>
    <w:rsid w:val="00DF3EAE"/>
    <w:rsid w:val="00DF4076"/>
    <w:rsid w:val="00DF42A2"/>
    <w:rsid w:val="00DF4E26"/>
    <w:rsid w:val="00DF5000"/>
    <w:rsid w:val="00E015F4"/>
    <w:rsid w:val="00E01A7A"/>
    <w:rsid w:val="00E02666"/>
    <w:rsid w:val="00E03916"/>
    <w:rsid w:val="00E03EC1"/>
    <w:rsid w:val="00E045E8"/>
    <w:rsid w:val="00E1261A"/>
    <w:rsid w:val="00E1292F"/>
    <w:rsid w:val="00E12984"/>
    <w:rsid w:val="00E139C2"/>
    <w:rsid w:val="00E14BD8"/>
    <w:rsid w:val="00E15CCB"/>
    <w:rsid w:val="00E17EFF"/>
    <w:rsid w:val="00E20335"/>
    <w:rsid w:val="00E205D6"/>
    <w:rsid w:val="00E20722"/>
    <w:rsid w:val="00E23833"/>
    <w:rsid w:val="00E24FEB"/>
    <w:rsid w:val="00E25F49"/>
    <w:rsid w:val="00E26DB6"/>
    <w:rsid w:val="00E278C6"/>
    <w:rsid w:val="00E27A90"/>
    <w:rsid w:val="00E3158C"/>
    <w:rsid w:val="00E32136"/>
    <w:rsid w:val="00E33E3F"/>
    <w:rsid w:val="00E34840"/>
    <w:rsid w:val="00E36BDF"/>
    <w:rsid w:val="00E399C5"/>
    <w:rsid w:val="00E415EC"/>
    <w:rsid w:val="00E42C06"/>
    <w:rsid w:val="00E443D6"/>
    <w:rsid w:val="00E44910"/>
    <w:rsid w:val="00E44939"/>
    <w:rsid w:val="00E474D6"/>
    <w:rsid w:val="00E508CA"/>
    <w:rsid w:val="00E525FE"/>
    <w:rsid w:val="00E544A9"/>
    <w:rsid w:val="00E5493A"/>
    <w:rsid w:val="00E549C7"/>
    <w:rsid w:val="00E553E1"/>
    <w:rsid w:val="00E55DA1"/>
    <w:rsid w:val="00E5632F"/>
    <w:rsid w:val="00E57E41"/>
    <w:rsid w:val="00E60623"/>
    <w:rsid w:val="00E6173D"/>
    <w:rsid w:val="00E61EC8"/>
    <w:rsid w:val="00E626C8"/>
    <w:rsid w:val="00E63854"/>
    <w:rsid w:val="00E66AAB"/>
    <w:rsid w:val="00E6730E"/>
    <w:rsid w:val="00E67E6C"/>
    <w:rsid w:val="00E702C0"/>
    <w:rsid w:val="00E707B2"/>
    <w:rsid w:val="00E73DA4"/>
    <w:rsid w:val="00E745C0"/>
    <w:rsid w:val="00E747AF"/>
    <w:rsid w:val="00E74F1A"/>
    <w:rsid w:val="00E74FAD"/>
    <w:rsid w:val="00E76178"/>
    <w:rsid w:val="00E76268"/>
    <w:rsid w:val="00E76E7D"/>
    <w:rsid w:val="00E82C57"/>
    <w:rsid w:val="00E8603A"/>
    <w:rsid w:val="00E86477"/>
    <w:rsid w:val="00E87BD0"/>
    <w:rsid w:val="00E900D8"/>
    <w:rsid w:val="00E924C3"/>
    <w:rsid w:val="00E9332C"/>
    <w:rsid w:val="00E93D97"/>
    <w:rsid w:val="00E942D3"/>
    <w:rsid w:val="00E94899"/>
    <w:rsid w:val="00E95AD8"/>
    <w:rsid w:val="00E95D28"/>
    <w:rsid w:val="00E963B6"/>
    <w:rsid w:val="00E96935"/>
    <w:rsid w:val="00EA1D37"/>
    <w:rsid w:val="00EA2524"/>
    <w:rsid w:val="00EA7145"/>
    <w:rsid w:val="00EA79C7"/>
    <w:rsid w:val="00EB0066"/>
    <w:rsid w:val="00EB238E"/>
    <w:rsid w:val="00EB2C8C"/>
    <w:rsid w:val="00EB3F10"/>
    <w:rsid w:val="00EB627A"/>
    <w:rsid w:val="00EB7275"/>
    <w:rsid w:val="00EB77A0"/>
    <w:rsid w:val="00EC1538"/>
    <w:rsid w:val="00EC1F24"/>
    <w:rsid w:val="00EC257E"/>
    <w:rsid w:val="00EC3714"/>
    <w:rsid w:val="00EC3B2E"/>
    <w:rsid w:val="00EC3ED6"/>
    <w:rsid w:val="00EC4026"/>
    <w:rsid w:val="00EC40B1"/>
    <w:rsid w:val="00EC7615"/>
    <w:rsid w:val="00ED21A5"/>
    <w:rsid w:val="00ED3D2D"/>
    <w:rsid w:val="00ED3ECC"/>
    <w:rsid w:val="00ED52C9"/>
    <w:rsid w:val="00ED75A3"/>
    <w:rsid w:val="00ED7B9B"/>
    <w:rsid w:val="00EE09F7"/>
    <w:rsid w:val="00EE11DC"/>
    <w:rsid w:val="00EE1535"/>
    <w:rsid w:val="00EE173E"/>
    <w:rsid w:val="00EE1B30"/>
    <w:rsid w:val="00EE2B57"/>
    <w:rsid w:val="00EE2D41"/>
    <w:rsid w:val="00EE2F61"/>
    <w:rsid w:val="00EE3E0C"/>
    <w:rsid w:val="00EE4FD5"/>
    <w:rsid w:val="00EE5182"/>
    <w:rsid w:val="00EE6688"/>
    <w:rsid w:val="00EF0617"/>
    <w:rsid w:val="00EF132A"/>
    <w:rsid w:val="00EF2B9F"/>
    <w:rsid w:val="00EF2E35"/>
    <w:rsid w:val="00EF2FA4"/>
    <w:rsid w:val="00EF2FD1"/>
    <w:rsid w:val="00EF56BB"/>
    <w:rsid w:val="00EF6B80"/>
    <w:rsid w:val="00EF76B3"/>
    <w:rsid w:val="00F0159A"/>
    <w:rsid w:val="00F01882"/>
    <w:rsid w:val="00F01BAC"/>
    <w:rsid w:val="00F02A5D"/>
    <w:rsid w:val="00F02E55"/>
    <w:rsid w:val="00F03289"/>
    <w:rsid w:val="00F05494"/>
    <w:rsid w:val="00F11D69"/>
    <w:rsid w:val="00F1311B"/>
    <w:rsid w:val="00F14509"/>
    <w:rsid w:val="00F1576D"/>
    <w:rsid w:val="00F16E2B"/>
    <w:rsid w:val="00F173A8"/>
    <w:rsid w:val="00F17A4C"/>
    <w:rsid w:val="00F17C0D"/>
    <w:rsid w:val="00F21534"/>
    <w:rsid w:val="00F22DD0"/>
    <w:rsid w:val="00F24760"/>
    <w:rsid w:val="00F24D4F"/>
    <w:rsid w:val="00F24D71"/>
    <w:rsid w:val="00F25261"/>
    <w:rsid w:val="00F2538C"/>
    <w:rsid w:val="00F25792"/>
    <w:rsid w:val="00F25908"/>
    <w:rsid w:val="00F27526"/>
    <w:rsid w:val="00F30568"/>
    <w:rsid w:val="00F30907"/>
    <w:rsid w:val="00F32765"/>
    <w:rsid w:val="00F32DA0"/>
    <w:rsid w:val="00F348DF"/>
    <w:rsid w:val="00F36AA2"/>
    <w:rsid w:val="00F3E573"/>
    <w:rsid w:val="00F40078"/>
    <w:rsid w:val="00F40A29"/>
    <w:rsid w:val="00F43781"/>
    <w:rsid w:val="00F460E4"/>
    <w:rsid w:val="00F50860"/>
    <w:rsid w:val="00F515C2"/>
    <w:rsid w:val="00F53899"/>
    <w:rsid w:val="00F57D4A"/>
    <w:rsid w:val="00F60138"/>
    <w:rsid w:val="00F71B61"/>
    <w:rsid w:val="00F7316C"/>
    <w:rsid w:val="00F7338E"/>
    <w:rsid w:val="00F7386E"/>
    <w:rsid w:val="00F73F29"/>
    <w:rsid w:val="00F74C39"/>
    <w:rsid w:val="00F76C6F"/>
    <w:rsid w:val="00F77508"/>
    <w:rsid w:val="00F7785A"/>
    <w:rsid w:val="00F80442"/>
    <w:rsid w:val="00F80802"/>
    <w:rsid w:val="00F809FA"/>
    <w:rsid w:val="00F817F7"/>
    <w:rsid w:val="00F81DD5"/>
    <w:rsid w:val="00F8240E"/>
    <w:rsid w:val="00F83424"/>
    <w:rsid w:val="00F838CC"/>
    <w:rsid w:val="00F84DC6"/>
    <w:rsid w:val="00F85CA5"/>
    <w:rsid w:val="00F86FB5"/>
    <w:rsid w:val="00F8770D"/>
    <w:rsid w:val="00F87B33"/>
    <w:rsid w:val="00F87EAC"/>
    <w:rsid w:val="00F93F64"/>
    <w:rsid w:val="00F962CC"/>
    <w:rsid w:val="00F96506"/>
    <w:rsid w:val="00F968B7"/>
    <w:rsid w:val="00FA0FC9"/>
    <w:rsid w:val="00FA22D0"/>
    <w:rsid w:val="00FA2C4C"/>
    <w:rsid w:val="00FA3B4F"/>
    <w:rsid w:val="00FA5731"/>
    <w:rsid w:val="00FA6A67"/>
    <w:rsid w:val="00FA706E"/>
    <w:rsid w:val="00FB0530"/>
    <w:rsid w:val="00FB1447"/>
    <w:rsid w:val="00FB1BFF"/>
    <w:rsid w:val="00FB1D2B"/>
    <w:rsid w:val="00FB3249"/>
    <w:rsid w:val="00FB4E1F"/>
    <w:rsid w:val="00FB56C2"/>
    <w:rsid w:val="00FB6DD9"/>
    <w:rsid w:val="00FC0B43"/>
    <w:rsid w:val="00FC3C48"/>
    <w:rsid w:val="00FC3EC5"/>
    <w:rsid w:val="00FC65A7"/>
    <w:rsid w:val="00FC6EBF"/>
    <w:rsid w:val="00FD1746"/>
    <w:rsid w:val="00FD2DC0"/>
    <w:rsid w:val="00FD4B3F"/>
    <w:rsid w:val="00FD57D7"/>
    <w:rsid w:val="00FD5D1D"/>
    <w:rsid w:val="00FD6657"/>
    <w:rsid w:val="00FD685A"/>
    <w:rsid w:val="00FD6C80"/>
    <w:rsid w:val="00FE1FBE"/>
    <w:rsid w:val="00FE2515"/>
    <w:rsid w:val="00FE47E5"/>
    <w:rsid w:val="00FE7335"/>
    <w:rsid w:val="00FE735D"/>
    <w:rsid w:val="00FF1221"/>
    <w:rsid w:val="00FF1DDD"/>
    <w:rsid w:val="00FF25C2"/>
    <w:rsid w:val="00FF2B10"/>
    <w:rsid w:val="00FF2DDB"/>
    <w:rsid w:val="00FF3A67"/>
    <w:rsid w:val="00FF6DFC"/>
    <w:rsid w:val="00FF701A"/>
    <w:rsid w:val="00FF7541"/>
    <w:rsid w:val="01159A33"/>
    <w:rsid w:val="011C66D2"/>
    <w:rsid w:val="0146839C"/>
    <w:rsid w:val="01572101"/>
    <w:rsid w:val="01606B5D"/>
    <w:rsid w:val="01607599"/>
    <w:rsid w:val="0186C83C"/>
    <w:rsid w:val="01892632"/>
    <w:rsid w:val="0189502A"/>
    <w:rsid w:val="019C0C76"/>
    <w:rsid w:val="019CF9F4"/>
    <w:rsid w:val="020251AD"/>
    <w:rsid w:val="020FA4A8"/>
    <w:rsid w:val="024DD144"/>
    <w:rsid w:val="0295421B"/>
    <w:rsid w:val="02B285FE"/>
    <w:rsid w:val="02BF59E7"/>
    <w:rsid w:val="02D07E22"/>
    <w:rsid w:val="02D678B7"/>
    <w:rsid w:val="02DD3D7A"/>
    <w:rsid w:val="02E0E309"/>
    <w:rsid w:val="02FF19F0"/>
    <w:rsid w:val="030C0BA8"/>
    <w:rsid w:val="036B5E22"/>
    <w:rsid w:val="038221FA"/>
    <w:rsid w:val="0384AD66"/>
    <w:rsid w:val="0386EC59"/>
    <w:rsid w:val="03891DF9"/>
    <w:rsid w:val="03B3BCAC"/>
    <w:rsid w:val="03D09BC1"/>
    <w:rsid w:val="03D4A46E"/>
    <w:rsid w:val="03DD8FD2"/>
    <w:rsid w:val="03E19B0A"/>
    <w:rsid w:val="040127D6"/>
    <w:rsid w:val="040AE5A4"/>
    <w:rsid w:val="043010E3"/>
    <w:rsid w:val="045CDA18"/>
    <w:rsid w:val="0484F3E9"/>
    <w:rsid w:val="04C148A3"/>
    <w:rsid w:val="04C17EA6"/>
    <w:rsid w:val="04C64CEE"/>
    <w:rsid w:val="04FFAF8F"/>
    <w:rsid w:val="050315A4"/>
    <w:rsid w:val="050867CD"/>
    <w:rsid w:val="050ED39F"/>
    <w:rsid w:val="05297EFD"/>
    <w:rsid w:val="052C7AB2"/>
    <w:rsid w:val="0534ECEF"/>
    <w:rsid w:val="05625543"/>
    <w:rsid w:val="05678C44"/>
    <w:rsid w:val="0592ED37"/>
    <w:rsid w:val="05A4E239"/>
    <w:rsid w:val="05B06440"/>
    <w:rsid w:val="05B26BFF"/>
    <w:rsid w:val="05C87BC8"/>
    <w:rsid w:val="05E6C4A3"/>
    <w:rsid w:val="065E2D4A"/>
    <w:rsid w:val="066C6F08"/>
    <w:rsid w:val="0693BEC2"/>
    <w:rsid w:val="06947901"/>
    <w:rsid w:val="06B98553"/>
    <w:rsid w:val="06C6A2A3"/>
    <w:rsid w:val="06D4A483"/>
    <w:rsid w:val="07594A0C"/>
    <w:rsid w:val="07946D4D"/>
    <w:rsid w:val="0797B6CB"/>
    <w:rsid w:val="07AB7F20"/>
    <w:rsid w:val="07B3539F"/>
    <w:rsid w:val="07C23B5A"/>
    <w:rsid w:val="07C5902F"/>
    <w:rsid w:val="07C9B37A"/>
    <w:rsid w:val="07DCEFEB"/>
    <w:rsid w:val="07E32050"/>
    <w:rsid w:val="07FF598A"/>
    <w:rsid w:val="0800321B"/>
    <w:rsid w:val="0803F1CD"/>
    <w:rsid w:val="082FA6CA"/>
    <w:rsid w:val="083252F9"/>
    <w:rsid w:val="083C1781"/>
    <w:rsid w:val="0866EF33"/>
    <w:rsid w:val="0875F978"/>
    <w:rsid w:val="087F4A59"/>
    <w:rsid w:val="0898386F"/>
    <w:rsid w:val="08A4ECFE"/>
    <w:rsid w:val="08A9BDB5"/>
    <w:rsid w:val="08D9F155"/>
    <w:rsid w:val="08E87B18"/>
    <w:rsid w:val="08E891DD"/>
    <w:rsid w:val="08ED6A1D"/>
    <w:rsid w:val="0910701E"/>
    <w:rsid w:val="091564DD"/>
    <w:rsid w:val="093E3D3F"/>
    <w:rsid w:val="094E3F9A"/>
    <w:rsid w:val="09566FC6"/>
    <w:rsid w:val="09625634"/>
    <w:rsid w:val="09640334"/>
    <w:rsid w:val="097BFA1F"/>
    <w:rsid w:val="0995D890"/>
    <w:rsid w:val="099A5B85"/>
    <w:rsid w:val="09A04B88"/>
    <w:rsid w:val="09B9C63E"/>
    <w:rsid w:val="09C9C856"/>
    <w:rsid w:val="09CA332A"/>
    <w:rsid w:val="09CE402D"/>
    <w:rsid w:val="09D6375F"/>
    <w:rsid w:val="09EA5D86"/>
    <w:rsid w:val="0A06563A"/>
    <w:rsid w:val="0A67BBF4"/>
    <w:rsid w:val="0A6CAAAD"/>
    <w:rsid w:val="0AC4B2ED"/>
    <w:rsid w:val="0AC8D88C"/>
    <w:rsid w:val="0ACC2C3F"/>
    <w:rsid w:val="0ADDABAD"/>
    <w:rsid w:val="0AFF9883"/>
    <w:rsid w:val="0B6797CC"/>
    <w:rsid w:val="0B68CB33"/>
    <w:rsid w:val="0B836F59"/>
    <w:rsid w:val="0B8CE032"/>
    <w:rsid w:val="0B92BC00"/>
    <w:rsid w:val="0BA76D8B"/>
    <w:rsid w:val="0BC4169F"/>
    <w:rsid w:val="0BC903C0"/>
    <w:rsid w:val="0BD119E5"/>
    <w:rsid w:val="0BEA12CC"/>
    <w:rsid w:val="0C70FE5C"/>
    <w:rsid w:val="0C84A9DC"/>
    <w:rsid w:val="0C8D96B1"/>
    <w:rsid w:val="0CF0BEFB"/>
    <w:rsid w:val="0D038235"/>
    <w:rsid w:val="0D0A9051"/>
    <w:rsid w:val="0D16EDB1"/>
    <w:rsid w:val="0D193013"/>
    <w:rsid w:val="0DC92D30"/>
    <w:rsid w:val="0DD1492F"/>
    <w:rsid w:val="0DD8FA7E"/>
    <w:rsid w:val="0DF5E9F8"/>
    <w:rsid w:val="0DFB5037"/>
    <w:rsid w:val="0E12ADBA"/>
    <w:rsid w:val="0E499612"/>
    <w:rsid w:val="0E64E038"/>
    <w:rsid w:val="0E88536D"/>
    <w:rsid w:val="0EAD182D"/>
    <w:rsid w:val="0EDD822C"/>
    <w:rsid w:val="0EFB8C18"/>
    <w:rsid w:val="0F007ABA"/>
    <w:rsid w:val="0F34E192"/>
    <w:rsid w:val="0F3CDF88"/>
    <w:rsid w:val="0F604557"/>
    <w:rsid w:val="0F64C303"/>
    <w:rsid w:val="0FB00D83"/>
    <w:rsid w:val="0FB6563F"/>
    <w:rsid w:val="0FEAAA16"/>
    <w:rsid w:val="10268F2A"/>
    <w:rsid w:val="1034F0DD"/>
    <w:rsid w:val="1045D907"/>
    <w:rsid w:val="104FEE62"/>
    <w:rsid w:val="1060611E"/>
    <w:rsid w:val="10731DF0"/>
    <w:rsid w:val="108A7E4E"/>
    <w:rsid w:val="10A88667"/>
    <w:rsid w:val="10C0EE62"/>
    <w:rsid w:val="10C64D28"/>
    <w:rsid w:val="110697D7"/>
    <w:rsid w:val="110905EE"/>
    <w:rsid w:val="11330382"/>
    <w:rsid w:val="11362A6B"/>
    <w:rsid w:val="11577535"/>
    <w:rsid w:val="11796164"/>
    <w:rsid w:val="117C2962"/>
    <w:rsid w:val="11C7AC19"/>
    <w:rsid w:val="11D0B007"/>
    <w:rsid w:val="11DE16BC"/>
    <w:rsid w:val="11E66742"/>
    <w:rsid w:val="12013F2D"/>
    <w:rsid w:val="12322C84"/>
    <w:rsid w:val="126E4346"/>
    <w:rsid w:val="127AF4F3"/>
    <w:rsid w:val="127DBCCD"/>
    <w:rsid w:val="1282F911"/>
    <w:rsid w:val="128714A5"/>
    <w:rsid w:val="12CC0F6E"/>
    <w:rsid w:val="12DC563E"/>
    <w:rsid w:val="131A8C47"/>
    <w:rsid w:val="1340809A"/>
    <w:rsid w:val="139E91DE"/>
    <w:rsid w:val="13A74AF4"/>
    <w:rsid w:val="13C4A0DA"/>
    <w:rsid w:val="13DB9E84"/>
    <w:rsid w:val="13F77242"/>
    <w:rsid w:val="1412A908"/>
    <w:rsid w:val="1424F08B"/>
    <w:rsid w:val="147BB73F"/>
    <w:rsid w:val="14828D02"/>
    <w:rsid w:val="148BD33D"/>
    <w:rsid w:val="148D7586"/>
    <w:rsid w:val="149DA555"/>
    <w:rsid w:val="14A003C7"/>
    <w:rsid w:val="14A403A0"/>
    <w:rsid w:val="14D06576"/>
    <w:rsid w:val="14D277A3"/>
    <w:rsid w:val="14E41480"/>
    <w:rsid w:val="1503C5E2"/>
    <w:rsid w:val="150E84C3"/>
    <w:rsid w:val="15520220"/>
    <w:rsid w:val="1561B26D"/>
    <w:rsid w:val="15755E8B"/>
    <w:rsid w:val="157CC844"/>
    <w:rsid w:val="15807ECD"/>
    <w:rsid w:val="15B6919D"/>
    <w:rsid w:val="15D13559"/>
    <w:rsid w:val="15D2C9A0"/>
    <w:rsid w:val="16075B0A"/>
    <w:rsid w:val="162BFACC"/>
    <w:rsid w:val="164DF3F4"/>
    <w:rsid w:val="1656E8D7"/>
    <w:rsid w:val="169F6384"/>
    <w:rsid w:val="16A8D934"/>
    <w:rsid w:val="16C02E18"/>
    <w:rsid w:val="16E26DB3"/>
    <w:rsid w:val="16E4C1C8"/>
    <w:rsid w:val="16F374CC"/>
    <w:rsid w:val="17033750"/>
    <w:rsid w:val="1726D001"/>
    <w:rsid w:val="173B5AD6"/>
    <w:rsid w:val="173C5A8F"/>
    <w:rsid w:val="17ED160E"/>
    <w:rsid w:val="1814E67B"/>
    <w:rsid w:val="18249D40"/>
    <w:rsid w:val="18345663"/>
    <w:rsid w:val="183A5279"/>
    <w:rsid w:val="185BD671"/>
    <w:rsid w:val="187DD568"/>
    <w:rsid w:val="188C9140"/>
    <w:rsid w:val="188CCBCF"/>
    <w:rsid w:val="189EA0CA"/>
    <w:rsid w:val="189EE7F4"/>
    <w:rsid w:val="18AA3BE9"/>
    <w:rsid w:val="18DC400B"/>
    <w:rsid w:val="18EF1900"/>
    <w:rsid w:val="18FC13F9"/>
    <w:rsid w:val="190A7314"/>
    <w:rsid w:val="1933DD1E"/>
    <w:rsid w:val="193FBA54"/>
    <w:rsid w:val="194B5BB9"/>
    <w:rsid w:val="1960CB8C"/>
    <w:rsid w:val="19788899"/>
    <w:rsid w:val="1999EF70"/>
    <w:rsid w:val="199B1CB2"/>
    <w:rsid w:val="19AFCF6A"/>
    <w:rsid w:val="19AFE9F4"/>
    <w:rsid w:val="19DD8563"/>
    <w:rsid w:val="19DE18D0"/>
    <w:rsid w:val="19DFC11D"/>
    <w:rsid w:val="19F9A10B"/>
    <w:rsid w:val="1A17EC47"/>
    <w:rsid w:val="1A3BFB9B"/>
    <w:rsid w:val="1A44C1C3"/>
    <w:rsid w:val="1A679D4A"/>
    <w:rsid w:val="1A85946F"/>
    <w:rsid w:val="1AD4F687"/>
    <w:rsid w:val="1ADC7DB8"/>
    <w:rsid w:val="1AFF0B8E"/>
    <w:rsid w:val="1AFFFC0C"/>
    <w:rsid w:val="1B0336C6"/>
    <w:rsid w:val="1B083156"/>
    <w:rsid w:val="1B0A335C"/>
    <w:rsid w:val="1B225089"/>
    <w:rsid w:val="1B2E2C5A"/>
    <w:rsid w:val="1B4B7D5C"/>
    <w:rsid w:val="1B879C9C"/>
    <w:rsid w:val="1B968403"/>
    <w:rsid w:val="1B9C29D4"/>
    <w:rsid w:val="1BDA9F69"/>
    <w:rsid w:val="1BE036BD"/>
    <w:rsid w:val="1BF5B260"/>
    <w:rsid w:val="1BF6E558"/>
    <w:rsid w:val="1C01A095"/>
    <w:rsid w:val="1C1DEC53"/>
    <w:rsid w:val="1C682C4A"/>
    <w:rsid w:val="1C7BE4C3"/>
    <w:rsid w:val="1C7F9719"/>
    <w:rsid w:val="1C910A88"/>
    <w:rsid w:val="1C985424"/>
    <w:rsid w:val="1C9D1D2F"/>
    <w:rsid w:val="1D44A160"/>
    <w:rsid w:val="1D6470B7"/>
    <w:rsid w:val="1D7367A0"/>
    <w:rsid w:val="1D7B4FB5"/>
    <w:rsid w:val="1D98062C"/>
    <w:rsid w:val="1DB96A9A"/>
    <w:rsid w:val="1DD4E12C"/>
    <w:rsid w:val="1DD7D8E0"/>
    <w:rsid w:val="1E065508"/>
    <w:rsid w:val="1E099DEA"/>
    <w:rsid w:val="1E12497F"/>
    <w:rsid w:val="1E19169C"/>
    <w:rsid w:val="1E1DF124"/>
    <w:rsid w:val="1E35A75D"/>
    <w:rsid w:val="1E398662"/>
    <w:rsid w:val="1E3A9CA1"/>
    <w:rsid w:val="1E487535"/>
    <w:rsid w:val="1E4BCFA1"/>
    <w:rsid w:val="1E5F34CF"/>
    <w:rsid w:val="1E9B5174"/>
    <w:rsid w:val="1E9DA624"/>
    <w:rsid w:val="1EBA58D3"/>
    <w:rsid w:val="1ECFAF5B"/>
    <w:rsid w:val="1EDEAF44"/>
    <w:rsid w:val="1EE90C14"/>
    <w:rsid w:val="1F1D102D"/>
    <w:rsid w:val="1F1E86C7"/>
    <w:rsid w:val="1F23ADA4"/>
    <w:rsid w:val="1F24D57A"/>
    <w:rsid w:val="1F25FB90"/>
    <w:rsid w:val="1F288E44"/>
    <w:rsid w:val="1F42C175"/>
    <w:rsid w:val="1F524A50"/>
    <w:rsid w:val="1F5F51AD"/>
    <w:rsid w:val="1F6DEF71"/>
    <w:rsid w:val="1F74B8D0"/>
    <w:rsid w:val="1F84C83A"/>
    <w:rsid w:val="1F860F4F"/>
    <w:rsid w:val="1F914563"/>
    <w:rsid w:val="1F94D507"/>
    <w:rsid w:val="1F9841D7"/>
    <w:rsid w:val="1FABF8B9"/>
    <w:rsid w:val="1FDA8752"/>
    <w:rsid w:val="1FEFF54B"/>
    <w:rsid w:val="20259F2F"/>
    <w:rsid w:val="20373D5E"/>
    <w:rsid w:val="205D3F19"/>
    <w:rsid w:val="205E875E"/>
    <w:rsid w:val="2080C3C0"/>
    <w:rsid w:val="209C5DDB"/>
    <w:rsid w:val="20A7F5F7"/>
    <w:rsid w:val="20B21627"/>
    <w:rsid w:val="20B39AD7"/>
    <w:rsid w:val="20B9CD4B"/>
    <w:rsid w:val="20CF7752"/>
    <w:rsid w:val="20FCAB5C"/>
    <w:rsid w:val="2107AC98"/>
    <w:rsid w:val="21145EF4"/>
    <w:rsid w:val="2116E5BC"/>
    <w:rsid w:val="211B63F6"/>
    <w:rsid w:val="2127507B"/>
    <w:rsid w:val="212DE5E2"/>
    <w:rsid w:val="21610EEE"/>
    <w:rsid w:val="2162B32B"/>
    <w:rsid w:val="2164E2A9"/>
    <w:rsid w:val="21773FF1"/>
    <w:rsid w:val="218D7C4C"/>
    <w:rsid w:val="21996172"/>
    <w:rsid w:val="219C1D34"/>
    <w:rsid w:val="219D5F42"/>
    <w:rsid w:val="21C9FF48"/>
    <w:rsid w:val="21D0042A"/>
    <w:rsid w:val="2205D537"/>
    <w:rsid w:val="221CB163"/>
    <w:rsid w:val="223763F0"/>
    <w:rsid w:val="2239C9A0"/>
    <w:rsid w:val="2241E172"/>
    <w:rsid w:val="226AEF87"/>
    <w:rsid w:val="22817933"/>
    <w:rsid w:val="22A3E9E5"/>
    <w:rsid w:val="22D5F0D2"/>
    <w:rsid w:val="22E4DCC7"/>
    <w:rsid w:val="22E88B0C"/>
    <w:rsid w:val="22FCE385"/>
    <w:rsid w:val="230F8408"/>
    <w:rsid w:val="2349FD6A"/>
    <w:rsid w:val="235D8698"/>
    <w:rsid w:val="236F63B6"/>
    <w:rsid w:val="23C08196"/>
    <w:rsid w:val="23C559C8"/>
    <w:rsid w:val="23CA6DFC"/>
    <w:rsid w:val="23D57DFA"/>
    <w:rsid w:val="23DF92B0"/>
    <w:rsid w:val="23FC99D7"/>
    <w:rsid w:val="2425F9E0"/>
    <w:rsid w:val="24306083"/>
    <w:rsid w:val="244ACA42"/>
    <w:rsid w:val="2459EC84"/>
    <w:rsid w:val="24764534"/>
    <w:rsid w:val="24A7725F"/>
    <w:rsid w:val="24A954CD"/>
    <w:rsid w:val="24CE138B"/>
    <w:rsid w:val="24E1E4A4"/>
    <w:rsid w:val="24EC85F9"/>
    <w:rsid w:val="24F377CB"/>
    <w:rsid w:val="250EC512"/>
    <w:rsid w:val="25186DF9"/>
    <w:rsid w:val="252E2978"/>
    <w:rsid w:val="25399D0B"/>
    <w:rsid w:val="25400CB7"/>
    <w:rsid w:val="255CFDC5"/>
    <w:rsid w:val="255DAEC3"/>
    <w:rsid w:val="256CC1FC"/>
    <w:rsid w:val="25736875"/>
    <w:rsid w:val="25775EAF"/>
    <w:rsid w:val="258D5854"/>
    <w:rsid w:val="2596AC4C"/>
    <w:rsid w:val="25A62C3B"/>
    <w:rsid w:val="25AB78F3"/>
    <w:rsid w:val="25D69A0F"/>
    <w:rsid w:val="25E22D8F"/>
    <w:rsid w:val="2604D5AD"/>
    <w:rsid w:val="26113665"/>
    <w:rsid w:val="2614DFFF"/>
    <w:rsid w:val="262CB494"/>
    <w:rsid w:val="263A07A6"/>
    <w:rsid w:val="26536FDF"/>
    <w:rsid w:val="26C0A5B7"/>
    <w:rsid w:val="26E6A6CD"/>
    <w:rsid w:val="26E70DCE"/>
    <w:rsid w:val="26F1CEE7"/>
    <w:rsid w:val="2709DA5F"/>
    <w:rsid w:val="270A2CA4"/>
    <w:rsid w:val="2737E2E0"/>
    <w:rsid w:val="2738E3EF"/>
    <w:rsid w:val="27458CC0"/>
    <w:rsid w:val="279202BA"/>
    <w:rsid w:val="27A32C55"/>
    <w:rsid w:val="27C886D9"/>
    <w:rsid w:val="27F7DC7B"/>
    <w:rsid w:val="2808EBC2"/>
    <w:rsid w:val="28367FC6"/>
    <w:rsid w:val="283B0EA5"/>
    <w:rsid w:val="283C6D0D"/>
    <w:rsid w:val="283F0FC2"/>
    <w:rsid w:val="28468CE7"/>
    <w:rsid w:val="2846DFB1"/>
    <w:rsid w:val="285B636C"/>
    <w:rsid w:val="2873FBA9"/>
    <w:rsid w:val="2877F92F"/>
    <w:rsid w:val="289792E4"/>
    <w:rsid w:val="28A71DA0"/>
    <w:rsid w:val="28A8ECBF"/>
    <w:rsid w:val="28AD7AD7"/>
    <w:rsid w:val="28B66861"/>
    <w:rsid w:val="28D7543C"/>
    <w:rsid w:val="28DB0AA0"/>
    <w:rsid w:val="28DC29DF"/>
    <w:rsid w:val="28E73726"/>
    <w:rsid w:val="28F0AC79"/>
    <w:rsid w:val="28F2DAAB"/>
    <w:rsid w:val="290DAFB6"/>
    <w:rsid w:val="29187657"/>
    <w:rsid w:val="29336CD0"/>
    <w:rsid w:val="29715044"/>
    <w:rsid w:val="2980E9B3"/>
    <w:rsid w:val="299E5D41"/>
    <w:rsid w:val="29B40D06"/>
    <w:rsid w:val="29EED39E"/>
    <w:rsid w:val="2A10ED27"/>
    <w:rsid w:val="2A494B60"/>
    <w:rsid w:val="2A5225E0"/>
    <w:rsid w:val="2A9CEB25"/>
    <w:rsid w:val="2AA6BFF2"/>
    <w:rsid w:val="2AA742A0"/>
    <w:rsid w:val="2AB75B79"/>
    <w:rsid w:val="2AE5ED3C"/>
    <w:rsid w:val="2AF3E4F2"/>
    <w:rsid w:val="2AF877AD"/>
    <w:rsid w:val="2B0EA50F"/>
    <w:rsid w:val="2B4D862F"/>
    <w:rsid w:val="2B6F7EDA"/>
    <w:rsid w:val="2B7DB29F"/>
    <w:rsid w:val="2B9179DA"/>
    <w:rsid w:val="2BAD1021"/>
    <w:rsid w:val="2BDCB4EF"/>
    <w:rsid w:val="2BEFA0B3"/>
    <w:rsid w:val="2BF572D2"/>
    <w:rsid w:val="2C09030F"/>
    <w:rsid w:val="2C13AC97"/>
    <w:rsid w:val="2C141633"/>
    <w:rsid w:val="2C23985C"/>
    <w:rsid w:val="2C2C796B"/>
    <w:rsid w:val="2C3B33CA"/>
    <w:rsid w:val="2C479842"/>
    <w:rsid w:val="2C6C229F"/>
    <w:rsid w:val="2C9EEA9A"/>
    <w:rsid w:val="2CA758FE"/>
    <w:rsid w:val="2CE21BA7"/>
    <w:rsid w:val="2CE3E4E8"/>
    <w:rsid w:val="2D03E74E"/>
    <w:rsid w:val="2D0ADDE1"/>
    <w:rsid w:val="2D45AB0F"/>
    <w:rsid w:val="2D4D4637"/>
    <w:rsid w:val="2D59B3A5"/>
    <w:rsid w:val="2D5B770F"/>
    <w:rsid w:val="2D790A7D"/>
    <w:rsid w:val="2D9ECD71"/>
    <w:rsid w:val="2DB0570A"/>
    <w:rsid w:val="2DE556C9"/>
    <w:rsid w:val="2DE828D9"/>
    <w:rsid w:val="2E252F1A"/>
    <w:rsid w:val="2E327A77"/>
    <w:rsid w:val="2E4470A8"/>
    <w:rsid w:val="2E5F4FB4"/>
    <w:rsid w:val="2E6279B6"/>
    <w:rsid w:val="2E7DAC7F"/>
    <w:rsid w:val="2E80B95F"/>
    <w:rsid w:val="2EAA39A8"/>
    <w:rsid w:val="2EAD59D8"/>
    <w:rsid w:val="2EC5DBE6"/>
    <w:rsid w:val="2EDA41EE"/>
    <w:rsid w:val="2EF1165A"/>
    <w:rsid w:val="2EF1AA78"/>
    <w:rsid w:val="2EF80052"/>
    <w:rsid w:val="2EFF68C7"/>
    <w:rsid w:val="2F184191"/>
    <w:rsid w:val="2F245AA7"/>
    <w:rsid w:val="2F291840"/>
    <w:rsid w:val="2F36924E"/>
    <w:rsid w:val="2F46D05B"/>
    <w:rsid w:val="2F4AE671"/>
    <w:rsid w:val="2F696073"/>
    <w:rsid w:val="2F701235"/>
    <w:rsid w:val="2F9F774C"/>
    <w:rsid w:val="2FBCBB6A"/>
    <w:rsid w:val="2FD78A35"/>
    <w:rsid w:val="2FE71B4A"/>
    <w:rsid w:val="2FE9631A"/>
    <w:rsid w:val="2FFB40CA"/>
    <w:rsid w:val="3045ED06"/>
    <w:rsid w:val="3055C33B"/>
    <w:rsid w:val="3089DB93"/>
    <w:rsid w:val="308C523A"/>
    <w:rsid w:val="308D7D0A"/>
    <w:rsid w:val="30B66260"/>
    <w:rsid w:val="30CF504E"/>
    <w:rsid w:val="30F3C522"/>
    <w:rsid w:val="30F94AB9"/>
    <w:rsid w:val="30FB851F"/>
    <w:rsid w:val="3111D1E3"/>
    <w:rsid w:val="3130C8B2"/>
    <w:rsid w:val="31568300"/>
    <w:rsid w:val="31B363EF"/>
    <w:rsid w:val="31BA3B62"/>
    <w:rsid w:val="31D20EA0"/>
    <w:rsid w:val="32212755"/>
    <w:rsid w:val="32230DDD"/>
    <w:rsid w:val="3265E34F"/>
    <w:rsid w:val="326FD478"/>
    <w:rsid w:val="3286335C"/>
    <w:rsid w:val="328E7E13"/>
    <w:rsid w:val="32C6FC1B"/>
    <w:rsid w:val="32D6F46A"/>
    <w:rsid w:val="32ED347D"/>
    <w:rsid w:val="32F8A272"/>
    <w:rsid w:val="33152F3A"/>
    <w:rsid w:val="332BB4DA"/>
    <w:rsid w:val="333687C0"/>
    <w:rsid w:val="334BF37B"/>
    <w:rsid w:val="336E1E29"/>
    <w:rsid w:val="338120C2"/>
    <w:rsid w:val="33822D25"/>
    <w:rsid w:val="33ABE84F"/>
    <w:rsid w:val="33CDAA7E"/>
    <w:rsid w:val="33E5C8B2"/>
    <w:rsid w:val="33F1A62E"/>
    <w:rsid w:val="33FA3564"/>
    <w:rsid w:val="3402747B"/>
    <w:rsid w:val="3408E1AE"/>
    <w:rsid w:val="34172C47"/>
    <w:rsid w:val="34411233"/>
    <w:rsid w:val="345A27F9"/>
    <w:rsid w:val="3474E133"/>
    <w:rsid w:val="347E2311"/>
    <w:rsid w:val="348F4FBF"/>
    <w:rsid w:val="349B2564"/>
    <w:rsid w:val="34A1F534"/>
    <w:rsid w:val="34E900E0"/>
    <w:rsid w:val="34FD45E8"/>
    <w:rsid w:val="3503E259"/>
    <w:rsid w:val="3507D867"/>
    <w:rsid w:val="3548A20C"/>
    <w:rsid w:val="355A79CC"/>
    <w:rsid w:val="355C124C"/>
    <w:rsid w:val="356373D4"/>
    <w:rsid w:val="3566A1DF"/>
    <w:rsid w:val="356F4AFF"/>
    <w:rsid w:val="3596CB56"/>
    <w:rsid w:val="359AE1F0"/>
    <w:rsid w:val="359FEA81"/>
    <w:rsid w:val="35A3D224"/>
    <w:rsid w:val="35ABCDAC"/>
    <w:rsid w:val="35BB2667"/>
    <w:rsid w:val="35BE7063"/>
    <w:rsid w:val="35C2D96E"/>
    <w:rsid w:val="35D7678C"/>
    <w:rsid w:val="35DE67F1"/>
    <w:rsid w:val="35ED548B"/>
    <w:rsid w:val="35FF6E0F"/>
    <w:rsid w:val="361DF7AA"/>
    <w:rsid w:val="362574C3"/>
    <w:rsid w:val="363B878D"/>
    <w:rsid w:val="36408E43"/>
    <w:rsid w:val="364C4FCC"/>
    <w:rsid w:val="36588AA8"/>
    <w:rsid w:val="366DA97F"/>
    <w:rsid w:val="366EB78E"/>
    <w:rsid w:val="367F131B"/>
    <w:rsid w:val="368C8129"/>
    <w:rsid w:val="3708FE10"/>
    <w:rsid w:val="3725550C"/>
    <w:rsid w:val="376FAC30"/>
    <w:rsid w:val="37720314"/>
    <w:rsid w:val="3786FB12"/>
    <w:rsid w:val="379C0490"/>
    <w:rsid w:val="37A26A88"/>
    <w:rsid w:val="37AB507D"/>
    <w:rsid w:val="37BC9552"/>
    <w:rsid w:val="37D18EA5"/>
    <w:rsid w:val="37E03600"/>
    <w:rsid w:val="3829F07E"/>
    <w:rsid w:val="382F61C1"/>
    <w:rsid w:val="38895556"/>
    <w:rsid w:val="38AF43CA"/>
    <w:rsid w:val="38B29CFB"/>
    <w:rsid w:val="38DB1368"/>
    <w:rsid w:val="39071B00"/>
    <w:rsid w:val="39311A64"/>
    <w:rsid w:val="39468D16"/>
    <w:rsid w:val="3956DA12"/>
    <w:rsid w:val="395C98DD"/>
    <w:rsid w:val="3968E45A"/>
    <w:rsid w:val="396FAB2F"/>
    <w:rsid w:val="3995A1AA"/>
    <w:rsid w:val="399F7DA8"/>
    <w:rsid w:val="39B328CF"/>
    <w:rsid w:val="39CA86A7"/>
    <w:rsid w:val="39CAE6EC"/>
    <w:rsid w:val="39CBCDEE"/>
    <w:rsid w:val="39FD1B64"/>
    <w:rsid w:val="3A0C718D"/>
    <w:rsid w:val="3A22EC50"/>
    <w:rsid w:val="3A2EC18F"/>
    <w:rsid w:val="3A42D0E2"/>
    <w:rsid w:val="3A5E103E"/>
    <w:rsid w:val="3A90ADD0"/>
    <w:rsid w:val="3A94AA88"/>
    <w:rsid w:val="3A953D83"/>
    <w:rsid w:val="3AADC679"/>
    <w:rsid w:val="3AADF1FD"/>
    <w:rsid w:val="3ADE6D46"/>
    <w:rsid w:val="3B161FCC"/>
    <w:rsid w:val="3B3BF364"/>
    <w:rsid w:val="3B7D7ADB"/>
    <w:rsid w:val="3B81E6E2"/>
    <w:rsid w:val="3B841BD6"/>
    <w:rsid w:val="3B861983"/>
    <w:rsid w:val="3BA43BBE"/>
    <w:rsid w:val="3BA8346F"/>
    <w:rsid w:val="3BC13084"/>
    <w:rsid w:val="3BCA4268"/>
    <w:rsid w:val="3BE2068F"/>
    <w:rsid w:val="3BE6EA54"/>
    <w:rsid w:val="3C3FA608"/>
    <w:rsid w:val="3C4BD743"/>
    <w:rsid w:val="3C4DDB8A"/>
    <w:rsid w:val="3C5AC336"/>
    <w:rsid w:val="3C5BF593"/>
    <w:rsid w:val="3C675495"/>
    <w:rsid w:val="3C6A1498"/>
    <w:rsid w:val="3C7312C7"/>
    <w:rsid w:val="3C88DF06"/>
    <w:rsid w:val="3C8C1703"/>
    <w:rsid w:val="3C98FA87"/>
    <w:rsid w:val="3CAFFF34"/>
    <w:rsid w:val="3CB52D53"/>
    <w:rsid w:val="3CBEDE8B"/>
    <w:rsid w:val="3CCEAA51"/>
    <w:rsid w:val="3CF732B5"/>
    <w:rsid w:val="3D185CD6"/>
    <w:rsid w:val="3D3879B2"/>
    <w:rsid w:val="3D999C7A"/>
    <w:rsid w:val="3DA4C9C7"/>
    <w:rsid w:val="3DA7F31A"/>
    <w:rsid w:val="3DA920D3"/>
    <w:rsid w:val="3DD43BD7"/>
    <w:rsid w:val="3DF8B40E"/>
    <w:rsid w:val="3DF9F93A"/>
    <w:rsid w:val="3E05A3C9"/>
    <w:rsid w:val="3E249E64"/>
    <w:rsid w:val="3E5F5949"/>
    <w:rsid w:val="3E9F6F28"/>
    <w:rsid w:val="3EB657A6"/>
    <w:rsid w:val="3EBC8E64"/>
    <w:rsid w:val="3EBED082"/>
    <w:rsid w:val="3EF30538"/>
    <w:rsid w:val="3EF57484"/>
    <w:rsid w:val="3EFBAD58"/>
    <w:rsid w:val="3F0DB011"/>
    <w:rsid w:val="3F10301F"/>
    <w:rsid w:val="3F23638C"/>
    <w:rsid w:val="3F324CF7"/>
    <w:rsid w:val="3F5AB5B9"/>
    <w:rsid w:val="3F732E44"/>
    <w:rsid w:val="3F7F0265"/>
    <w:rsid w:val="3FD14AF1"/>
    <w:rsid w:val="3FE86A20"/>
    <w:rsid w:val="3FEE075F"/>
    <w:rsid w:val="4001B837"/>
    <w:rsid w:val="4005B0F5"/>
    <w:rsid w:val="4007AAE4"/>
    <w:rsid w:val="401D77FA"/>
    <w:rsid w:val="402DCD83"/>
    <w:rsid w:val="403149A8"/>
    <w:rsid w:val="40448FD7"/>
    <w:rsid w:val="405586A1"/>
    <w:rsid w:val="405983DD"/>
    <w:rsid w:val="409A6CD3"/>
    <w:rsid w:val="40E4517D"/>
    <w:rsid w:val="4108930B"/>
    <w:rsid w:val="411AD2EC"/>
    <w:rsid w:val="413E0837"/>
    <w:rsid w:val="41401658"/>
    <w:rsid w:val="415CAEAC"/>
    <w:rsid w:val="416D29C2"/>
    <w:rsid w:val="4179EC67"/>
    <w:rsid w:val="4189CC8C"/>
    <w:rsid w:val="418BBFA0"/>
    <w:rsid w:val="418D51C6"/>
    <w:rsid w:val="41ACAE09"/>
    <w:rsid w:val="41F39C53"/>
    <w:rsid w:val="41F4A328"/>
    <w:rsid w:val="41F8E33C"/>
    <w:rsid w:val="4223C9C1"/>
    <w:rsid w:val="42396396"/>
    <w:rsid w:val="423C54FB"/>
    <w:rsid w:val="424198A8"/>
    <w:rsid w:val="424DD065"/>
    <w:rsid w:val="42750039"/>
    <w:rsid w:val="42807256"/>
    <w:rsid w:val="42D893BE"/>
    <w:rsid w:val="4316823F"/>
    <w:rsid w:val="433A91FB"/>
    <w:rsid w:val="433D96AA"/>
    <w:rsid w:val="4345D878"/>
    <w:rsid w:val="43605D00"/>
    <w:rsid w:val="4368DC65"/>
    <w:rsid w:val="43C3F5F9"/>
    <w:rsid w:val="43CC7F38"/>
    <w:rsid w:val="43D77F5C"/>
    <w:rsid w:val="43DE3E03"/>
    <w:rsid w:val="4407646F"/>
    <w:rsid w:val="441BBC97"/>
    <w:rsid w:val="44319B8D"/>
    <w:rsid w:val="444C7DF9"/>
    <w:rsid w:val="447761D0"/>
    <w:rsid w:val="4488A1CA"/>
    <w:rsid w:val="4492EA61"/>
    <w:rsid w:val="4493CC56"/>
    <w:rsid w:val="449EE78A"/>
    <w:rsid w:val="44AFEA4B"/>
    <w:rsid w:val="44BCD39C"/>
    <w:rsid w:val="44D13640"/>
    <w:rsid w:val="44D4A5E6"/>
    <w:rsid w:val="44DD1859"/>
    <w:rsid w:val="44E45D6B"/>
    <w:rsid w:val="45319D5B"/>
    <w:rsid w:val="4576DF5D"/>
    <w:rsid w:val="45B176EA"/>
    <w:rsid w:val="45B187D3"/>
    <w:rsid w:val="45C5CF63"/>
    <w:rsid w:val="45C74861"/>
    <w:rsid w:val="45DEFAA4"/>
    <w:rsid w:val="462DA62F"/>
    <w:rsid w:val="46370F30"/>
    <w:rsid w:val="464C0D0D"/>
    <w:rsid w:val="46BF2FC8"/>
    <w:rsid w:val="46C6ABB4"/>
    <w:rsid w:val="46DE9439"/>
    <w:rsid w:val="46E81A38"/>
    <w:rsid w:val="46EF337A"/>
    <w:rsid w:val="47043090"/>
    <w:rsid w:val="471BA030"/>
    <w:rsid w:val="473E7F7B"/>
    <w:rsid w:val="47593DFC"/>
    <w:rsid w:val="47658876"/>
    <w:rsid w:val="47779372"/>
    <w:rsid w:val="479D4246"/>
    <w:rsid w:val="47A6104E"/>
    <w:rsid w:val="47F46DFD"/>
    <w:rsid w:val="480443D7"/>
    <w:rsid w:val="481A4069"/>
    <w:rsid w:val="48298F7D"/>
    <w:rsid w:val="484D9DDA"/>
    <w:rsid w:val="484E0AEA"/>
    <w:rsid w:val="48531CDA"/>
    <w:rsid w:val="485D2616"/>
    <w:rsid w:val="486A1197"/>
    <w:rsid w:val="486E69D3"/>
    <w:rsid w:val="487BF8CE"/>
    <w:rsid w:val="488672A0"/>
    <w:rsid w:val="488930F3"/>
    <w:rsid w:val="48BB81D0"/>
    <w:rsid w:val="48BE10FB"/>
    <w:rsid w:val="48C900D1"/>
    <w:rsid w:val="48F908CC"/>
    <w:rsid w:val="49354453"/>
    <w:rsid w:val="4959A7A7"/>
    <w:rsid w:val="49683EFE"/>
    <w:rsid w:val="497552B6"/>
    <w:rsid w:val="49A49194"/>
    <w:rsid w:val="49AB2B28"/>
    <w:rsid w:val="49D2C3F8"/>
    <w:rsid w:val="49EA7641"/>
    <w:rsid w:val="49FC0790"/>
    <w:rsid w:val="4A1A7DC5"/>
    <w:rsid w:val="4A1FF514"/>
    <w:rsid w:val="4A3C6EC5"/>
    <w:rsid w:val="4A7DF0D7"/>
    <w:rsid w:val="4A7F7550"/>
    <w:rsid w:val="4A924E2C"/>
    <w:rsid w:val="4AB15B26"/>
    <w:rsid w:val="4AEB695B"/>
    <w:rsid w:val="4B6E1BD5"/>
    <w:rsid w:val="4BC67B02"/>
    <w:rsid w:val="4BD40B6C"/>
    <w:rsid w:val="4C2D9DFE"/>
    <w:rsid w:val="4C5FC297"/>
    <w:rsid w:val="4CB296B1"/>
    <w:rsid w:val="4CBC664A"/>
    <w:rsid w:val="4CEA4ABB"/>
    <w:rsid w:val="4D2EA708"/>
    <w:rsid w:val="4D67D0EB"/>
    <w:rsid w:val="4D6E2D82"/>
    <w:rsid w:val="4D8899FF"/>
    <w:rsid w:val="4DC029ED"/>
    <w:rsid w:val="4DCDE116"/>
    <w:rsid w:val="4DDF8750"/>
    <w:rsid w:val="4DE6B192"/>
    <w:rsid w:val="4DF1EB07"/>
    <w:rsid w:val="4E0285A9"/>
    <w:rsid w:val="4E1D9AA0"/>
    <w:rsid w:val="4E3F4C13"/>
    <w:rsid w:val="4E4EF085"/>
    <w:rsid w:val="4E54C0E8"/>
    <w:rsid w:val="4E5F334A"/>
    <w:rsid w:val="4E70D929"/>
    <w:rsid w:val="4ECD0F72"/>
    <w:rsid w:val="4ED3C813"/>
    <w:rsid w:val="4EE88D9A"/>
    <w:rsid w:val="4EFBD098"/>
    <w:rsid w:val="4F0D16F8"/>
    <w:rsid w:val="4F1F1E9E"/>
    <w:rsid w:val="4FBD3891"/>
    <w:rsid w:val="4FBD4E2D"/>
    <w:rsid w:val="4FC7E64E"/>
    <w:rsid w:val="502604A5"/>
    <w:rsid w:val="508D459D"/>
    <w:rsid w:val="50B50CE1"/>
    <w:rsid w:val="50C45E0E"/>
    <w:rsid w:val="50CB6088"/>
    <w:rsid w:val="50E1840C"/>
    <w:rsid w:val="50EB731B"/>
    <w:rsid w:val="50F0154F"/>
    <w:rsid w:val="510D37FD"/>
    <w:rsid w:val="5120DECE"/>
    <w:rsid w:val="512B5495"/>
    <w:rsid w:val="512C24D3"/>
    <w:rsid w:val="513460BC"/>
    <w:rsid w:val="513ADA1C"/>
    <w:rsid w:val="51451C11"/>
    <w:rsid w:val="51727130"/>
    <w:rsid w:val="517D5A39"/>
    <w:rsid w:val="51B3A986"/>
    <w:rsid w:val="51B3D77E"/>
    <w:rsid w:val="51BEB827"/>
    <w:rsid w:val="51C37C67"/>
    <w:rsid w:val="51CC203A"/>
    <w:rsid w:val="51D2EEAF"/>
    <w:rsid w:val="51D97C2B"/>
    <w:rsid w:val="51DD0E7B"/>
    <w:rsid w:val="51DED900"/>
    <w:rsid w:val="51E2DA94"/>
    <w:rsid w:val="51EDA869"/>
    <w:rsid w:val="51EDCBC4"/>
    <w:rsid w:val="51FF133C"/>
    <w:rsid w:val="52138219"/>
    <w:rsid w:val="52141D1E"/>
    <w:rsid w:val="5243EDB0"/>
    <w:rsid w:val="524CF19F"/>
    <w:rsid w:val="52518E9E"/>
    <w:rsid w:val="5273A6D0"/>
    <w:rsid w:val="5279F4BF"/>
    <w:rsid w:val="52A5AC66"/>
    <w:rsid w:val="52AA606E"/>
    <w:rsid w:val="52B55731"/>
    <w:rsid w:val="52E5C3EA"/>
    <w:rsid w:val="531144F3"/>
    <w:rsid w:val="5318166F"/>
    <w:rsid w:val="53609239"/>
    <w:rsid w:val="53818951"/>
    <w:rsid w:val="538ED45E"/>
    <w:rsid w:val="53997AB1"/>
    <w:rsid w:val="53A5B7CC"/>
    <w:rsid w:val="53A5C238"/>
    <w:rsid w:val="53BAA3FC"/>
    <w:rsid w:val="53BFFE29"/>
    <w:rsid w:val="53CB54B6"/>
    <w:rsid w:val="53EC03FC"/>
    <w:rsid w:val="53FD71A4"/>
    <w:rsid w:val="540AB743"/>
    <w:rsid w:val="5434D5F4"/>
    <w:rsid w:val="544E902C"/>
    <w:rsid w:val="544ED0BB"/>
    <w:rsid w:val="547676D7"/>
    <w:rsid w:val="54768A64"/>
    <w:rsid w:val="547D5805"/>
    <w:rsid w:val="54876E37"/>
    <w:rsid w:val="549BE6C3"/>
    <w:rsid w:val="54BD0144"/>
    <w:rsid w:val="5515F8A7"/>
    <w:rsid w:val="55283FB0"/>
    <w:rsid w:val="55327280"/>
    <w:rsid w:val="553EC9D1"/>
    <w:rsid w:val="55576EDD"/>
    <w:rsid w:val="557A3EF0"/>
    <w:rsid w:val="5586D83E"/>
    <w:rsid w:val="55AB2220"/>
    <w:rsid w:val="55E10DDD"/>
    <w:rsid w:val="55E987CB"/>
    <w:rsid w:val="55FA09A4"/>
    <w:rsid w:val="5624668B"/>
    <w:rsid w:val="56516F9C"/>
    <w:rsid w:val="566A8988"/>
    <w:rsid w:val="566B7448"/>
    <w:rsid w:val="56921313"/>
    <w:rsid w:val="5694BDBC"/>
    <w:rsid w:val="56C93E61"/>
    <w:rsid w:val="576386D9"/>
    <w:rsid w:val="5783E1CE"/>
    <w:rsid w:val="57A04527"/>
    <w:rsid w:val="57A2A9F5"/>
    <w:rsid w:val="57ADED1D"/>
    <w:rsid w:val="57EA09A5"/>
    <w:rsid w:val="57F0E93D"/>
    <w:rsid w:val="5826503B"/>
    <w:rsid w:val="58378C33"/>
    <w:rsid w:val="583D2133"/>
    <w:rsid w:val="584445B4"/>
    <w:rsid w:val="586F0E78"/>
    <w:rsid w:val="5874B21C"/>
    <w:rsid w:val="58759D45"/>
    <w:rsid w:val="5879042E"/>
    <w:rsid w:val="5890DF04"/>
    <w:rsid w:val="58916600"/>
    <w:rsid w:val="589509A1"/>
    <w:rsid w:val="58BB74C6"/>
    <w:rsid w:val="58C8C308"/>
    <w:rsid w:val="58DBB95A"/>
    <w:rsid w:val="58E3A69D"/>
    <w:rsid w:val="58EE43CF"/>
    <w:rsid w:val="58F7F3DF"/>
    <w:rsid w:val="591F5187"/>
    <w:rsid w:val="5931E97A"/>
    <w:rsid w:val="5934F551"/>
    <w:rsid w:val="5945F7EB"/>
    <w:rsid w:val="595BC4F4"/>
    <w:rsid w:val="595EF0C2"/>
    <w:rsid w:val="5968BF26"/>
    <w:rsid w:val="596ADF46"/>
    <w:rsid w:val="59A3B234"/>
    <w:rsid w:val="59D9A01D"/>
    <w:rsid w:val="59F06F1C"/>
    <w:rsid w:val="59FAE883"/>
    <w:rsid w:val="5A034E4D"/>
    <w:rsid w:val="5A09429A"/>
    <w:rsid w:val="5A169899"/>
    <w:rsid w:val="5A29880D"/>
    <w:rsid w:val="5A612782"/>
    <w:rsid w:val="5A718A0C"/>
    <w:rsid w:val="5AA5B546"/>
    <w:rsid w:val="5AB39BDA"/>
    <w:rsid w:val="5ABD6747"/>
    <w:rsid w:val="5ADCDB92"/>
    <w:rsid w:val="5B056EBF"/>
    <w:rsid w:val="5B737A52"/>
    <w:rsid w:val="5B7E2E82"/>
    <w:rsid w:val="5BAA623F"/>
    <w:rsid w:val="5BB00759"/>
    <w:rsid w:val="5BBCE2C1"/>
    <w:rsid w:val="5BD7C231"/>
    <w:rsid w:val="5BDB0D68"/>
    <w:rsid w:val="5BE52A3A"/>
    <w:rsid w:val="5BF45CD2"/>
    <w:rsid w:val="5C19B0DD"/>
    <w:rsid w:val="5C21DC17"/>
    <w:rsid w:val="5C2F35F9"/>
    <w:rsid w:val="5C4296A4"/>
    <w:rsid w:val="5C4918E4"/>
    <w:rsid w:val="5C4A413C"/>
    <w:rsid w:val="5C6451D9"/>
    <w:rsid w:val="5C846093"/>
    <w:rsid w:val="5CA26537"/>
    <w:rsid w:val="5CB1411E"/>
    <w:rsid w:val="5CBD051F"/>
    <w:rsid w:val="5CC08BE4"/>
    <w:rsid w:val="5CD5AA41"/>
    <w:rsid w:val="5CD71697"/>
    <w:rsid w:val="5D039F59"/>
    <w:rsid w:val="5D067ABC"/>
    <w:rsid w:val="5D185B2E"/>
    <w:rsid w:val="5D1C01B0"/>
    <w:rsid w:val="5D302B7A"/>
    <w:rsid w:val="5D4303A6"/>
    <w:rsid w:val="5D498E46"/>
    <w:rsid w:val="5D60529F"/>
    <w:rsid w:val="5D668E7D"/>
    <w:rsid w:val="5D7A22A9"/>
    <w:rsid w:val="5D87C36C"/>
    <w:rsid w:val="5DA18AFF"/>
    <w:rsid w:val="5DD021A9"/>
    <w:rsid w:val="5DD409C4"/>
    <w:rsid w:val="5DE18D56"/>
    <w:rsid w:val="5DE83CA1"/>
    <w:rsid w:val="5DFF8876"/>
    <w:rsid w:val="5DFFA50B"/>
    <w:rsid w:val="5E3C946C"/>
    <w:rsid w:val="5E4D9504"/>
    <w:rsid w:val="5E57201A"/>
    <w:rsid w:val="5E659C29"/>
    <w:rsid w:val="5E862214"/>
    <w:rsid w:val="5E8FBD98"/>
    <w:rsid w:val="5E91F081"/>
    <w:rsid w:val="5E9AF9CB"/>
    <w:rsid w:val="5EC0C8E7"/>
    <w:rsid w:val="5F4DDA9B"/>
    <w:rsid w:val="5F5DE259"/>
    <w:rsid w:val="5F77213A"/>
    <w:rsid w:val="5F840C9D"/>
    <w:rsid w:val="5F8F233D"/>
    <w:rsid w:val="5FA61F52"/>
    <w:rsid w:val="5FC1B02C"/>
    <w:rsid w:val="5FF5A176"/>
    <w:rsid w:val="601B1DEF"/>
    <w:rsid w:val="605417B2"/>
    <w:rsid w:val="606769AE"/>
    <w:rsid w:val="606CDBB2"/>
    <w:rsid w:val="6077E5CF"/>
    <w:rsid w:val="607B3536"/>
    <w:rsid w:val="607F7944"/>
    <w:rsid w:val="60973B4C"/>
    <w:rsid w:val="60AD1FAF"/>
    <w:rsid w:val="60B583BD"/>
    <w:rsid w:val="60BE772C"/>
    <w:rsid w:val="60DD5572"/>
    <w:rsid w:val="60E40299"/>
    <w:rsid w:val="610ACF8D"/>
    <w:rsid w:val="6111D418"/>
    <w:rsid w:val="6116281C"/>
    <w:rsid w:val="6116B79E"/>
    <w:rsid w:val="61373F63"/>
    <w:rsid w:val="6143A2FF"/>
    <w:rsid w:val="615554D1"/>
    <w:rsid w:val="61657117"/>
    <w:rsid w:val="6176BCB3"/>
    <w:rsid w:val="618C4031"/>
    <w:rsid w:val="61B8881F"/>
    <w:rsid w:val="61BDD1BE"/>
    <w:rsid w:val="61C28978"/>
    <w:rsid w:val="61C9255F"/>
    <w:rsid w:val="61FE5E17"/>
    <w:rsid w:val="6252E14F"/>
    <w:rsid w:val="625EAB51"/>
    <w:rsid w:val="625FC49F"/>
    <w:rsid w:val="627A3797"/>
    <w:rsid w:val="6283D6F8"/>
    <w:rsid w:val="62A53676"/>
    <w:rsid w:val="62C08B02"/>
    <w:rsid w:val="62D28DCB"/>
    <w:rsid w:val="62D36358"/>
    <w:rsid w:val="62D9A931"/>
    <w:rsid w:val="62E112C7"/>
    <w:rsid w:val="62E159B5"/>
    <w:rsid w:val="62E37A60"/>
    <w:rsid w:val="62E52E1D"/>
    <w:rsid w:val="6315225A"/>
    <w:rsid w:val="633E9659"/>
    <w:rsid w:val="6352C1E7"/>
    <w:rsid w:val="6360AEF6"/>
    <w:rsid w:val="63A01FBE"/>
    <w:rsid w:val="63BFB311"/>
    <w:rsid w:val="63CB2CC5"/>
    <w:rsid w:val="63CD5D5C"/>
    <w:rsid w:val="63F44828"/>
    <w:rsid w:val="6400942F"/>
    <w:rsid w:val="640549C8"/>
    <w:rsid w:val="6450D1A8"/>
    <w:rsid w:val="645BE6A2"/>
    <w:rsid w:val="6470621E"/>
    <w:rsid w:val="6470CAFD"/>
    <w:rsid w:val="64EFE025"/>
    <w:rsid w:val="653B0797"/>
    <w:rsid w:val="6551F9AB"/>
    <w:rsid w:val="65740527"/>
    <w:rsid w:val="65BE92AB"/>
    <w:rsid w:val="65EEADFC"/>
    <w:rsid w:val="66543C2A"/>
    <w:rsid w:val="66641992"/>
    <w:rsid w:val="6684226C"/>
    <w:rsid w:val="668B192A"/>
    <w:rsid w:val="66CDACB9"/>
    <w:rsid w:val="66D43C9B"/>
    <w:rsid w:val="66E08956"/>
    <w:rsid w:val="66E0F582"/>
    <w:rsid w:val="67061188"/>
    <w:rsid w:val="67095A8C"/>
    <w:rsid w:val="671923AF"/>
    <w:rsid w:val="672A01B2"/>
    <w:rsid w:val="67409414"/>
    <w:rsid w:val="6744F822"/>
    <w:rsid w:val="67462A63"/>
    <w:rsid w:val="678C975A"/>
    <w:rsid w:val="679376E8"/>
    <w:rsid w:val="67B1E417"/>
    <w:rsid w:val="67EA8BD4"/>
    <w:rsid w:val="67F1DB0B"/>
    <w:rsid w:val="67F615D5"/>
    <w:rsid w:val="6819CAD0"/>
    <w:rsid w:val="682F26D9"/>
    <w:rsid w:val="6848D2CE"/>
    <w:rsid w:val="684C80F8"/>
    <w:rsid w:val="6857E7D8"/>
    <w:rsid w:val="6870C9AB"/>
    <w:rsid w:val="687E20A5"/>
    <w:rsid w:val="68AA8AB8"/>
    <w:rsid w:val="68AA93A5"/>
    <w:rsid w:val="68AC0CC1"/>
    <w:rsid w:val="690D1055"/>
    <w:rsid w:val="6926C82E"/>
    <w:rsid w:val="693CA291"/>
    <w:rsid w:val="695C3B58"/>
    <w:rsid w:val="6977826B"/>
    <w:rsid w:val="69855BAD"/>
    <w:rsid w:val="6991D69D"/>
    <w:rsid w:val="699BD353"/>
    <w:rsid w:val="69A86A39"/>
    <w:rsid w:val="69D3C614"/>
    <w:rsid w:val="69E525C8"/>
    <w:rsid w:val="69E733CF"/>
    <w:rsid w:val="69E7BA80"/>
    <w:rsid w:val="69F95DAB"/>
    <w:rsid w:val="6A2FE5EF"/>
    <w:rsid w:val="6A55D664"/>
    <w:rsid w:val="6A55EC58"/>
    <w:rsid w:val="6A699654"/>
    <w:rsid w:val="6A8183B1"/>
    <w:rsid w:val="6A94F115"/>
    <w:rsid w:val="6AC8E60B"/>
    <w:rsid w:val="6AC9DD13"/>
    <w:rsid w:val="6AFF6DC7"/>
    <w:rsid w:val="6B16BD83"/>
    <w:rsid w:val="6B557E82"/>
    <w:rsid w:val="6B56D27A"/>
    <w:rsid w:val="6B6CB6F5"/>
    <w:rsid w:val="6B76D82D"/>
    <w:rsid w:val="6B7786DD"/>
    <w:rsid w:val="6B9BAF77"/>
    <w:rsid w:val="6BA16C58"/>
    <w:rsid w:val="6BA7403E"/>
    <w:rsid w:val="6BDFBF4A"/>
    <w:rsid w:val="6BF3EB0B"/>
    <w:rsid w:val="6C1EDF7E"/>
    <w:rsid w:val="6C584468"/>
    <w:rsid w:val="6C5E3DB7"/>
    <w:rsid w:val="6C6841C6"/>
    <w:rsid w:val="6CAC41C9"/>
    <w:rsid w:val="6CB8E966"/>
    <w:rsid w:val="6CD4E1C8"/>
    <w:rsid w:val="6CEAB4D6"/>
    <w:rsid w:val="6D249798"/>
    <w:rsid w:val="6D303413"/>
    <w:rsid w:val="6D3F8F49"/>
    <w:rsid w:val="6D41D919"/>
    <w:rsid w:val="6D44D48C"/>
    <w:rsid w:val="6D61F9AC"/>
    <w:rsid w:val="6D6C9FCF"/>
    <w:rsid w:val="6D7879F7"/>
    <w:rsid w:val="6D80EE8D"/>
    <w:rsid w:val="6D833B38"/>
    <w:rsid w:val="6D87361F"/>
    <w:rsid w:val="6D8C9D17"/>
    <w:rsid w:val="6DA385F9"/>
    <w:rsid w:val="6DA9B6E9"/>
    <w:rsid w:val="6DBEA393"/>
    <w:rsid w:val="6DC37951"/>
    <w:rsid w:val="6DC7A14C"/>
    <w:rsid w:val="6DE1E924"/>
    <w:rsid w:val="6DE5CDD2"/>
    <w:rsid w:val="6DE8DAF6"/>
    <w:rsid w:val="6DF615BF"/>
    <w:rsid w:val="6E00E3D5"/>
    <w:rsid w:val="6E157A6A"/>
    <w:rsid w:val="6E213BC6"/>
    <w:rsid w:val="6E29776C"/>
    <w:rsid w:val="6E45450B"/>
    <w:rsid w:val="6E462332"/>
    <w:rsid w:val="6E57C4FD"/>
    <w:rsid w:val="6E5E341C"/>
    <w:rsid w:val="6E858069"/>
    <w:rsid w:val="6EB6D65B"/>
    <w:rsid w:val="6ED91384"/>
    <w:rsid w:val="6ED9EAB9"/>
    <w:rsid w:val="6EF00A68"/>
    <w:rsid w:val="6F0E7326"/>
    <w:rsid w:val="6F0EB35C"/>
    <w:rsid w:val="6F1987B9"/>
    <w:rsid w:val="6F3107FE"/>
    <w:rsid w:val="6F3DC49B"/>
    <w:rsid w:val="6F655CE9"/>
    <w:rsid w:val="6F6CE0A8"/>
    <w:rsid w:val="6F8CCA88"/>
    <w:rsid w:val="6F957552"/>
    <w:rsid w:val="6FB986CD"/>
    <w:rsid w:val="6FEC4C79"/>
    <w:rsid w:val="700BEE03"/>
    <w:rsid w:val="7020DD15"/>
    <w:rsid w:val="70378AA6"/>
    <w:rsid w:val="703E3ACD"/>
    <w:rsid w:val="703EF677"/>
    <w:rsid w:val="7048E46B"/>
    <w:rsid w:val="7067BF76"/>
    <w:rsid w:val="706FC7B5"/>
    <w:rsid w:val="70862108"/>
    <w:rsid w:val="70A201EC"/>
    <w:rsid w:val="70A49EFF"/>
    <w:rsid w:val="70B39C78"/>
    <w:rsid w:val="7105935F"/>
    <w:rsid w:val="7132C0B1"/>
    <w:rsid w:val="7141E813"/>
    <w:rsid w:val="716AADC8"/>
    <w:rsid w:val="716F4CA9"/>
    <w:rsid w:val="71964269"/>
    <w:rsid w:val="71AC686D"/>
    <w:rsid w:val="71D90D5D"/>
    <w:rsid w:val="71ECF93B"/>
    <w:rsid w:val="721E6706"/>
    <w:rsid w:val="721EFC5F"/>
    <w:rsid w:val="725A4875"/>
    <w:rsid w:val="7268A61C"/>
    <w:rsid w:val="72B86FDC"/>
    <w:rsid w:val="731F8379"/>
    <w:rsid w:val="7345E681"/>
    <w:rsid w:val="735BF29E"/>
    <w:rsid w:val="73687766"/>
    <w:rsid w:val="736A3B73"/>
    <w:rsid w:val="73951EA6"/>
    <w:rsid w:val="7399C0E2"/>
    <w:rsid w:val="73A39746"/>
    <w:rsid w:val="73C411C2"/>
    <w:rsid w:val="73DAD17F"/>
    <w:rsid w:val="73DCC07D"/>
    <w:rsid w:val="73E7D7D4"/>
    <w:rsid w:val="74031060"/>
    <w:rsid w:val="740372D6"/>
    <w:rsid w:val="740A864F"/>
    <w:rsid w:val="7410D90B"/>
    <w:rsid w:val="745B0379"/>
    <w:rsid w:val="746270F7"/>
    <w:rsid w:val="748AF55E"/>
    <w:rsid w:val="74969F50"/>
    <w:rsid w:val="74A0C3A3"/>
    <w:rsid w:val="74AA8008"/>
    <w:rsid w:val="74BCC5DE"/>
    <w:rsid w:val="74CE0185"/>
    <w:rsid w:val="74E061C7"/>
    <w:rsid w:val="74F2D3BB"/>
    <w:rsid w:val="75008B80"/>
    <w:rsid w:val="7527DD71"/>
    <w:rsid w:val="75BBB3A7"/>
    <w:rsid w:val="75BC7015"/>
    <w:rsid w:val="75C9B4B0"/>
    <w:rsid w:val="75CCD414"/>
    <w:rsid w:val="75D9CD39"/>
    <w:rsid w:val="75E52743"/>
    <w:rsid w:val="75FECF5B"/>
    <w:rsid w:val="76294774"/>
    <w:rsid w:val="7641FCD5"/>
    <w:rsid w:val="765B2945"/>
    <w:rsid w:val="767E3C9A"/>
    <w:rsid w:val="76809846"/>
    <w:rsid w:val="7684911A"/>
    <w:rsid w:val="768EF77D"/>
    <w:rsid w:val="76D6A853"/>
    <w:rsid w:val="77005A49"/>
    <w:rsid w:val="77449EDD"/>
    <w:rsid w:val="7793C950"/>
    <w:rsid w:val="77C1FCEC"/>
    <w:rsid w:val="77CBC3C3"/>
    <w:rsid w:val="77F3DF14"/>
    <w:rsid w:val="77FBBBAA"/>
    <w:rsid w:val="77FD5115"/>
    <w:rsid w:val="7804C0F2"/>
    <w:rsid w:val="7810FBC2"/>
    <w:rsid w:val="78359DCD"/>
    <w:rsid w:val="7841DA75"/>
    <w:rsid w:val="784F04B5"/>
    <w:rsid w:val="785A17A3"/>
    <w:rsid w:val="7860631B"/>
    <w:rsid w:val="7864480D"/>
    <w:rsid w:val="787A0D0B"/>
    <w:rsid w:val="7880195B"/>
    <w:rsid w:val="789621CB"/>
    <w:rsid w:val="78C60458"/>
    <w:rsid w:val="78CC3AF2"/>
    <w:rsid w:val="78F17890"/>
    <w:rsid w:val="78F9F0F2"/>
    <w:rsid w:val="7906329D"/>
    <w:rsid w:val="796BCC43"/>
    <w:rsid w:val="796CFA38"/>
    <w:rsid w:val="796FF029"/>
    <w:rsid w:val="798A2AA4"/>
    <w:rsid w:val="798F3064"/>
    <w:rsid w:val="79FE02E7"/>
    <w:rsid w:val="7A2FCD99"/>
    <w:rsid w:val="7A564540"/>
    <w:rsid w:val="7A61A3E8"/>
    <w:rsid w:val="7A6AEC82"/>
    <w:rsid w:val="7A9A2756"/>
    <w:rsid w:val="7AA43AE1"/>
    <w:rsid w:val="7AAADB69"/>
    <w:rsid w:val="7AB5E732"/>
    <w:rsid w:val="7ABB5BAE"/>
    <w:rsid w:val="7AFD2841"/>
    <w:rsid w:val="7AFF95F3"/>
    <w:rsid w:val="7B0C5B9F"/>
    <w:rsid w:val="7B1A8E1A"/>
    <w:rsid w:val="7B1AF4CD"/>
    <w:rsid w:val="7B2505BF"/>
    <w:rsid w:val="7B258E7B"/>
    <w:rsid w:val="7B2FDFE3"/>
    <w:rsid w:val="7B445F5B"/>
    <w:rsid w:val="7B5C3DEF"/>
    <w:rsid w:val="7B753F6A"/>
    <w:rsid w:val="7B8678A5"/>
    <w:rsid w:val="7B8AD055"/>
    <w:rsid w:val="7BAF5BA7"/>
    <w:rsid w:val="7BBA87F0"/>
    <w:rsid w:val="7BCB7AD8"/>
    <w:rsid w:val="7BE924CD"/>
    <w:rsid w:val="7BEDF4D0"/>
    <w:rsid w:val="7C1FCEAD"/>
    <w:rsid w:val="7C395919"/>
    <w:rsid w:val="7C532815"/>
    <w:rsid w:val="7C6B6B58"/>
    <w:rsid w:val="7C805E9F"/>
    <w:rsid w:val="7CABBC78"/>
    <w:rsid w:val="7CE0237E"/>
    <w:rsid w:val="7CE1CEAD"/>
    <w:rsid w:val="7CF7CB6D"/>
    <w:rsid w:val="7D3253B3"/>
    <w:rsid w:val="7D3AF70B"/>
    <w:rsid w:val="7D5635F7"/>
    <w:rsid w:val="7D5EB191"/>
    <w:rsid w:val="7D67F976"/>
    <w:rsid w:val="7D78D8EC"/>
    <w:rsid w:val="7D844A61"/>
    <w:rsid w:val="7D98D8BF"/>
    <w:rsid w:val="7DA30181"/>
    <w:rsid w:val="7DAA29C1"/>
    <w:rsid w:val="7DBB41D3"/>
    <w:rsid w:val="7E052FA0"/>
    <w:rsid w:val="7E09F6C5"/>
    <w:rsid w:val="7E40F1C0"/>
    <w:rsid w:val="7E4655B1"/>
    <w:rsid w:val="7E47ECC4"/>
    <w:rsid w:val="7E808FF7"/>
    <w:rsid w:val="7E86330E"/>
    <w:rsid w:val="7EA67F31"/>
    <w:rsid w:val="7ECD6623"/>
    <w:rsid w:val="7ECFFF0A"/>
    <w:rsid w:val="7ED74BE3"/>
    <w:rsid w:val="7F12157C"/>
    <w:rsid w:val="7F1B6F22"/>
    <w:rsid w:val="7F234B84"/>
    <w:rsid w:val="7F2419B0"/>
    <w:rsid w:val="7F4A372E"/>
    <w:rsid w:val="7FA0021C"/>
    <w:rsid w:val="7FC5CA5E"/>
    <w:rsid w:val="7FDFBC73"/>
    <w:rsid w:val="7FE299C8"/>
    <w:rsid w:val="7FE4E3DB"/>
    <w:rsid w:val="7FF9A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34186"/>
  <w15:chartTrackingRefBased/>
  <w15:docId w15:val="{9ADE1B2C-3214-4603-968B-C09A6A73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A14"/>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semiHidden/>
    <w:unhideWhenUsed/>
    <w:qFormat/>
    <w:rsid w:val="00CB5A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A14"/>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6C"/>
    <w:pPr>
      <w:tabs>
        <w:tab w:val="center" w:pos="4680"/>
        <w:tab w:val="right" w:pos="9360"/>
      </w:tabs>
    </w:pPr>
  </w:style>
  <w:style w:type="character" w:customStyle="1" w:styleId="HeaderChar">
    <w:name w:val="Header Char"/>
    <w:basedOn w:val="DefaultParagraphFont"/>
    <w:link w:val="Header"/>
    <w:uiPriority w:val="99"/>
    <w:rsid w:val="00BF23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36C"/>
    <w:pPr>
      <w:tabs>
        <w:tab w:val="center" w:pos="4680"/>
        <w:tab w:val="right" w:pos="9360"/>
      </w:tabs>
    </w:pPr>
  </w:style>
  <w:style w:type="character" w:customStyle="1" w:styleId="FooterChar">
    <w:name w:val="Footer Char"/>
    <w:basedOn w:val="DefaultParagraphFont"/>
    <w:link w:val="Footer"/>
    <w:uiPriority w:val="99"/>
    <w:rsid w:val="00BF236C"/>
    <w:rPr>
      <w:rFonts w:ascii="Times New Roman" w:eastAsia="Times New Roman" w:hAnsi="Times New Roman" w:cs="Times New Roman"/>
      <w:sz w:val="24"/>
      <w:szCs w:val="24"/>
    </w:rPr>
  </w:style>
  <w:style w:type="paragraph" w:styleId="ListParagraph">
    <w:name w:val="List Paragraph"/>
    <w:basedOn w:val="Normal"/>
    <w:uiPriority w:val="34"/>
    <w:qFormat/>
    <w:rsid w:val="00BF236C"/>
    <w:pPr>
      <w:ind w:left="720"/>
      <w:contextualSpacing/>
    </w:pPr>
  </w:style>
  <w:style w:type="paragraph" w:styleId="FootnoteText">
    <w:name w:val="footnote text"/>
    <w:aliases w:val="FT"/>
    <w:basedOn w:val="Normal"/>
    <w:link w:val="FootnoteTextChar"/>
    <w:uiPriority w:val="99"/>
    <w:unhideWhenUsed/>
    <w:rsid w:val="00C94761"/>
    <w:rPr>
      <w:sz w:val="20"/>
      <w:szCs w:val="20"/>
    </w:rPr>
  </w:style>
  <w:style w:type="character" w:customStyle="1" w:styleId="FootnoteTextChar">
    <w:name w:val="Footnote Text Char"/>
    <w:aliases w:val="FT Char"/>
    <w:basedOn w:val="DefaultParagraphFont"/>
    <w:link w:val="FootnoteText"/>
    <w:uiPriority w:val="99"/>
    <w:rsid w:val="00C9476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94761"/>
    <w:rPr>
      <w:vertAlign w:val="superscript"/>
    </w:rPr>
  </w:style>
  <w:style w:type="character" w:styleId="Hyperlink">
    <w:name w:val="Hyperlink"/>
    <w:basedOn w:val="DefaultParagraphFont"/>
    <w:uiPriority w:val="99"/>
    <w:unhideWhenUsed/>
    <w:rsid w:val="00C94761"/>
    <w:rPr>
      <w:color w:val="0000FF"/>
      <w:u w:val="single"/>
    </w:rPr>
  </w:style>
  <w:style w:type="paragraph" w:styleId="BodyText">
    <w:name w:val="Body Text"/>
    <w:basedOn w:val="Normal"/>
    <w:link w:val="BodyTextChar"/>
    <w:rsid w:val="00D9160B"/>
    <w:pPr>
      <w:spacing w:line="480" w:lineRule="auto"/>
      <w:jc w:val="both"/>
    </w:pPr>
  </w:style>
  <w:style w:type="character" w:customStyle="1" w:styleId="BodyTextChar">
    <w:name w:val="Body Text Char"/>
    <w:basedOn w:val="DefaultParagraphFont"/>
    <w:link w:val="BodyText"/>
    <w:rsid w:val="00D916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A22"/>
    <w:rPr>
      <w:sz w:val="16"/>
      <w:szCs w:val="16"/>
    </w:rPr>
  </w:style>
  <w:style w:type="paragraph" w:styleId="CommentText">
    <w:name w:val="annotation text"/>
    <w:basedOn w:val="Normal"/>
    <w:link w:val="CommentTextChar"/>
    <w:uiPriority w:val="99"/>
    <w:semiHidden/>
    <w:unhideWhenUsed/>
    <w:rsid w:val="00B52A22"/>
    <w:rPr>
      <w:sz w:val="20"/>
      <w:szCs w:val="20"/>
    </w:rPr>
  </w:style>
  <w:style w:type="character" w:customStyle="1" w:styleId="CommentTextChar">
    <w:name w:val="Comment Text Char"/>
    <w:basedOn w:val="DefaultParagraphFont"/>
    <w:link w:val="CommentText"/>
    <w:uiPriority w:val="99"/>
    <w:semiHidden/>
    <w:rsid w:val="00B52A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A22"/>
    <w:rPr>
      <w:b/>
      <w:bCs/>
    </w:rPr>
  </w:style>
  <w:style w:type="character" w:customStyle="1" w:styleId="CommentSubjectChar">
    <w:name w:val="Comment Subject Char"/>
    <w:basedOn w:val="CommentTextChar"/>
    <w:link w:val="CommentSubject"/>
    <w:uiPriority w:val="99"/>
    <w:semiHidden/>
    <w:rsid w:val="00B52A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2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2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95A85"/>
    <w:rPr>
      <w:color w:val="954F72" w:themeColor="followedHyperlink"/>
      <w:u w:val="single"/>
    </w:rPr>
  </w:style>
  <w:style w:type="table" w:styleId="TableGrid">
    <w:name w:val="Table Grid"/>
    <w:basedOn w:val="TableNormal"/>
    <w:uiPriority w:val="39"/>
    <w:rsid w:val="0036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54A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EC40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E03E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D6869"/>
    <w:pPr>
      <w:spacing w:after="0" w:line="240" w:lineRule="auto"/>
    </w:pPr>
  </w:style>
  <w:style w:type="character" w:customStyle="1" w:styleId="Heading1Char">
    <w:name w:val="Heading 1 Char"/>
    <w:basedOn w:val="DefaultParagraphFont"/>
    <w:link w:val="Heading1"/>
    <w:uiPriority w:val="9"/>
    <w:rsid w:val="000E1A14"/>
    <w:rPr>
      <w:rFonts w:asciiTheme="majorHAnsi" w:eastAsiaTheme="majorEastAsia" w:hAnsiTheme="majorHAnsi" w:cs="Times New Roman"/>
      <w:color w:val="2E74B5" w:themeColor="accent1" w:themeShade="BF"/>
      <w:sz w:val="32"/>
      <w:szCs w:val="32"/>
    </w:rPr>
  </w:style>
  <w:style w:type="character" w:customStyle="1" w:styleId="Heading3Char">
    <w:name w:val="Heading 3 Char"/>
    <w:basedOn w:val="DefaultParagraphFont"/>
    <w:link w:val="Heading3"/>
    <w:uiPriority w:val="9"/>
    <w:rsid w:val="000E1A14"/>
    <w:rPr>
      <w:rFonts w:asciiTheme="majorHAnsi" w:eastAsiaTheme="majorEastAsia" w:hAnsiTheme="majorHAnsi" w:cs="Times New Roman"/>
      <w:color w:val="1F4D78" w:themeColor="accent1" w:themeShade="7F"/>
      <w:sz w:val="24"/>
      <w:szCs w:val="24"/>
    </w:rPr>
  </w:style>
  <w:style w:type="character" w:styleId="Strong">
    <w:name w:val="Strong"/>
    <w:basedOn w:val="DefaultParagraphFont"/>
    <w:uiPriority w:val="22"/>
    <w:qFormat/>
    <w:rsid w:val="0053156F"/>
    <w:rPr>
      <w:rFonts w:cs="Times New Roman"/>
      <w:b/>
      <w:bCs/>
    </w:rPr>
  </w:style>
  <w:style w:type="character" w:styleId="Emphasis">
    <w:name w:val="Emphasis"/>
    <w:basedOn w:val="DefaultParagraphFont"/>
    <w:uiPriority w:val="20"/>
    <w:qFormat/>
    <w:rsid w:val="0053156F"/>
    <w:rPr>
      <w:rFonts w:cs="Times New Roman"/>
      <w:i/>
      <w:iCs/>
    </w:rPr>
  </w:style>
  <w:style w:type="character" w:customStyle="1" w:styleId="Heading2Char">
    <w:name w:val="Heading 2 Char"/>
    <w:basedOn w:val="DefaultParagraphFont"/>
    <w:link w:val="Heading2"/>
    <w:uiPriority w:val="9"/>
    <w:semiHidden/>
    <w:rsid w:val="00CB5AC5"/>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8B1D67"/>
    <w:rPr>
      <w:color w:val="605E5C"/>
      <w:shd w:val="clear" w:color="auto" w:fill="E1DFDD"/>
    </w:rPr>
  </w:style>
  <w:style w:type="paragraph" w:styleId="NormalWeb">
    <w:name w:val="Normal (Web)"/>
    <w:basedOn w:val="Normal"/>
    <w:uiPriority w:val="99"/>
    <w:unhideWhenUsed/>
    <w:rsid w:val="00805C26"/>
    <w:pPr>
      <w:spacing w:before="100" w:beforeAutospacing="1" w:after="100" w:afterAutospacing="1"/>
    </w:pPr>
  </w:style>
  <w:style w:type="paragraph" w:customStyle="1" w:styleId="ColorfulShading-Accent31">
    <w:name w:val="Colorful Shading - Accent 31"/>
    <w:basedOn w:val="Normal"/>
    <w:uiPriority w:val="34"/>
    <w:qFormat/>
    <w:rsid w:val="00EB7275"/>
    <w:pPr>
      <w:ind w:left="720"/>
      <w:contextualSpacing/>
    </w:pPr>
    <w:rPr>
      <w:rFonts w:eastAsia="Calibri"/>
    </w:rPr>
  </w:style>
  <w:style w:type="character" w:customStyle="1" w:styleId="normaltextrun">
    <w:name w:val="normaltextrun"/>
    <w:basedOn w:val="DefaultParagraphFont"/>
    <w:rsid w:val="00A62054"/>
  </w:style>
  <w:style w:type="paragraph" w:customStyle="1" w:styleId="Default">
    <w:name w:val="Default"/>
    <w:rsid w:val="00BD31D5"/>
    <w:pPr>
      <w:autoSpaceDE w:val="0"/>
      <w:autoSpaceDN w:val="0"/>
      <w:adjustRightInd w:val="0"/>
      <w:spacing w:after="0" w:line="240" w:lineRule="auto"/>
    </w:pPr>
    <w:rPr>
      <w:rFonts w:ascii="Calibri" w:hAnsi="Calibri" w:cs="Calibri"/>
      <w:color w:val="000000"/>
      <w:sz w:val="24"/>
      <w:szCs w:val="24"/>
    </w:rPr>
  </w:style>
  <w:style w:type="paragraph" w:customStyle="1" w:styleId="css-158dogj">
    <w:name w:val="css-158dogj"/>
    <w:basedOn w:val="Normal"/>
    <w:rsid w:val="002B7204"/>
    <w:pPr>
      <w:spacing w:before="100" w:beforeAutospacing="1" w:after="100" w:afterAutospacing="1"/>
    </w:pPr>
  </w:style>
  <w:style w:type="paragraph" w:customStyle="1" w:styleId="font--body">
    <w:name w:val="font--body"/>
    <w:basedOn w:val="Normal"/>
    <w:rsid w:val="00EE17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464">
      <w:bodyDiv w:val="1"/>
      <w:marLeft w:val="0"/>
      <w:marRight w:val="0"/>
      <w:marTop w:val="0"/>
      <w:marBottom w:val="0"/>
      <w:divBdr>
        <w:top w:val="none" w:sz="0" w:space="0" w:color="auto"/>
        <w:left w:val="none" w:sz="0" w:space="0" w:color="auto"/>
        <w:bottom w:val="none" w:sz="0" w:space="0" w:color="auto"/>
        <w:right w:val="none" w:sz="0" w:space="0" w:color="auto"/>
      </w:divBdr>
    </w:div>
    <w:div w:id="120734819">
      <w:bodyDiv w:val="1"/>
      <w:marLeft w:val="0"/>
      <w:marRight w:val="0"/>
      <w:marTop w:val="0"/>
      <w:marBottom w:val="0"/>
      <w:divBdr>
        <w:top w:val="none" w:sz="0" w:space="0" w:color="auto"/>
        <w:left w:val="none" w:sz="0" w:space="0" w:color="auto"/>
        <w:bottom w:val="none" w:sz="0" w:space="0" w:color="auto"/>
        <w:right w:val="none" w:sz="0" w:space="0" w:color="auto"/>
      </w:divBdr>
    </w:div>
    <w:div w:id="200630962">
      <w:bodyDiv w:val="1"/>
      <w:marLeft w:val="0"/>
      <w:marRight w:val="0"/>
      <w:marTop w:val="0"/>
      <w:marBottom w:val="0"/>
      <w:divBdr>
        <w:top w:val="none" w:sz="0" w:space="0" w:color="auto"/>
        <w:left w:val="none" w:sz="0" w:space="0" w:color="auto"/>
        <w:bottom w:val="none" w:sz="0" w:space="0" w:color="auto"/>
        <w:right w:val="none" w:sz="0" w:space="0" w:color="auto"/>
      </w:divBdr>
    </w:div>
    <w:div w:id="203058961">
      <w:bodyDiv w:val="1"/>
      <w:marLeft w:val="0"/>
      <w:marRight w:val="0"/>
      <w:marTop w:val="0"/>
      <w:marBottom w:val="0"/>
      <w:divBdr>
        <w:top w:val="none" w:sz="0" w:space="0" w:color="auto"/>
        <w:left w:val="none" w:sz="0" w:space="0" w:color="auto"/>
        <w:bottom w:val="none" w:sz="0" w:space="0" w:color="auto"/>
        <w:right w:val="none" w:sz="0" w:space="0" w:color="auto"/>
      </w:divBdr>
    </w:div>
    <w:div w:id="211501228">
      <w:bodyDiv w:val="1"/>
      <w:marLeft w:val="0"/>
      <w:marRight w:val="0"/>
      <w:marTop w:val="0"/>
      <w:marBottom w:val="0"/>
      <w:divBdr>
        <w:top w:val="none" w:sz="0" w:space="0" w:color="auto"/>
        <w:left w:val="none" w:sz="0" w:space="0" w:color="auto"/>
        <w:bottom w:val="none" w:sz="0" w:space="0" w:color="auto"/>
        <w:right w:val="none" w:sz="0" w:space="0" w:color="auto"/>
      </w:divBdr>
    </w:div>
    <w:div w:id="221868766">
      <w:bodyDiv w:val="1"/>
      <w:marLeft w:val="0"/>
      <w:marRight w:val="0"/>
      <w:marTop w:val="0"/>
      <w:marBottom w:val="0"/>
      <w:divBdr>
        <w:top w:val="none" w:sz="0" w:space="0" w:color="auto"/>
        <w:left w:val="none" w:sz="0" w:space="0" w:color="auto"/>
        <w:bottom w:val="none" w:sz="0" w:space="0" w:color="auto"/>
        <w:right w:val="none" w:sz="0" w:space="0" w:color="auto"/>
      </w:divBdr>
    </w:div>
    <w:div w:id="391008000">
      <w:bodyDiv w:val="1"/>
      <w:marLeft w:val="0"/>
      <w:marRight w:val="0"/>
      <w:marTop w:val="0"/>
      <w:marBottom w:val="0"/>
      <w:divBdr>
        <w:top w:val="none" w:sz="0" w:space="0" w:color="auto"/>
        <w:left w:val="none" w:sz="0" w:space="0" w:color="auto"/>
        <w:bottom w:val="none" w:sz="0" w:space="0" w:color="auto"/>
        <w:right w:val="none" w:sz="0" w:space="0" w:color="auto"/>
      </w:divBdr>
    </w:div>
    <w:div w:id="445122678">
      <w:bodyDiv w:val="1"/>
      <w:marLeft w:val="0"/>
      <w:marRight w:val="0"/>
      <w:marTop w:val="0"/>
      <w:marBottom w:val="0"/>
      <w:divBdr>
        <w:top w:val="none" w:sz="0" w:space="0" w:color="auto"/>
        <w:left w:val="none" w:sz="0" w:space="0" w:color="auto"/>
        <w:bottom w:val="none" w:sz="0" w:space="0" w:color="auto"/>
        <w:right w:val="none" w:sz="0" w:space="0" w:color="auto"/>
      </w:divBdr>
    </w:div>
    <w:div w:id="494341296">
      <w:bodyDiv w:val="1"/>
      <w:marLeft w:val="0"/>
      <w:marRight w:val="0"/>
      <w:marTop w:val="0"/>
      <w:marBottom w:val="0"/>
      <w:divBdr>
        <w:top w:val="none" w:sz="0" w:space="0" w:color="auto"/>
        <w:left w:val="none" w:sz="0" w:space="0" w:color="auto"/>
        <w:bottom w:val="none" w:sz="0" w:space="0" w:color="auto"/>
        <w:right w:val="none" w:sz="0" w:space="0" w:color="auto"/>
      </w:divBdr>
    </w:div>
    <w:div w:id="573049802">
      <w:bodyDiv w:val="1"/>
      <w:marLeft w:val="0"/>
      <w:marRight w:val="0"/>
      <w:marTop w:val="0"/>
      <w:marBottom w:val="0"/>
      <w:divBdr>
        <w:top w:val="none" w:sz="0" w:space="0" w:color="auto"/>
        <w:left w:val="none" w:sz="0" w:space="0" w:color="auto"/>
        <w:bottom w:val="none" w:sz="0" w:space="0" w:color="auto"/>
        <w:right w:val="none" w:sz="0" w:space="0" w:color="auto"/>
      </w:divBdr>
    </w:div>
    <w:div w:id="645166829">
      <w:bodyDiv w:val="1"/>
      <w:marLeft w:val="0"/>
      <w:marRight w:val="0"/>
      <w:marTop w:val="0"/>
      <w:marBottom w:val="0"/>
      <w:divBdr>
        <w:top w:val="none" w:sz="0" w:space="0" w:color="auto"/>
        <w:left w:val="none" w:sz="0" w:space="0" w:color="auto"/>
        <w:bottom w:val="none" w:sz="0" w:space="0" w:color="auto"/>
        <w:right w:val="none" w:sz="0" w:space="0" w:color="auto"/>
      </w:divBdr>
    </w:div>
    <w:div w:id="679700552">
      <w:bodyDiv w:val="1"/>
      <w:marLeft w:val="0"/>
      <w:marRight w:val="0"/>
      <w:marTop w:val="0"/>
      <w:marBottom w:val="0"/>
      <w:divBdr>
        <w:top w:val="none" w:sz="0" w:space="0" w:color="auto"/>
        <w:left w:val="none" w:sz="0" w:space="0" w:color="auto"/>
        <w:bottom w:val="none" w:sz="0" w:space="0" w:color="auto"/>
        <w:right w:val="none" w:sz="0" w:space="0" w:color="auto"/>
      </w:divBdr>
    </w:div>
    <w:div w:id="711074485">
      <w:bodyDiv w:val="1"/>
      <w:marLeft w:val="0"/>
      <w:marRight w:val="0"/>
      <w:marTop w:val="0"/>
      <w:marBottom w:val="0"/>
      <w:divBdr>
        <w:top w:val="none" w:sz="0" w:space="0" w:color="auto"/>
        <w:left w:val="none" w:sz="0" w:space="0" w:color="auto"/>
        <w:bottom w:val="none" w:sz="0" w:space="0" w:color="auto"/>
        <w:right w:val="none" w:sz="0" w:space="0" w:color="auto"/>
      </w:divBdr>
    </w:div>
    <w:div w:id="763840013">
      <w:bodyDiv w:val="1"/>
      <w:marLeft w:val="0"/>
      <w:marRight w:val="0"/>
      <w:marTop w:val="0"/>
      <w:marBottom w:val="0"/>
      <w:divBdr>
        <w:top w:val="none" w:sz="0" w:space="0" w:color="auto"/>
        <w:left w:val="none" w:sz="0" w:space="0" w:color="auto"/>
        <w:bottom w:val="none" w:sz="0" w:space="0" w:color="auto"/>
        <w:right w:val="none" w:sz="0" w:space="0" w:color="auto"/>
      </w:divBdr>
      <w:divsChild>
        <w:div w:id="1221214211">
          <w:marLeft w:val="0"/>
          <w:marRight w:val="0"/>
          <w:marTop w:val="0"/>
          <w:marBottom w:val="0"/>
          <w:divBdr>
            <w:top w:val="none" w:sz="0" w:space="0" w:color="auto"/>
            <w:left w:val="none" w:sz="0" w:space="0" w:color="auto"/>
            <w:bottom w:val="none" w:sz="0" w:space="0" w:color="auto"/>
            <w:right w:val="none" w:sz="0" w:space="0" w:color="auto"/>
          </w:divBdr>
        </w:div>
        <w:div w:id="1511334455">
          <w:marLeft w:val="0"/>
          <w:marRight w:val="0"/>
          <w:marTop w:val="0"/>
          <w:marBottom w:val="0"/>
          <w:divBdr>
            <w:top w:val="none" w:sz="0" w:space="0" w:color="auto"/>
            <w:left w:val="none" w:sz="0" w:space="0" w:color="auto"/>
            <w:bottom w:val="none" w:sz="0" w:space="0" w:color="auto"/>
            <w:right w:val="none" w:sz="0" w:space="0" w:color="auto"/>
          </w:divBdr>
        </w:div>
      </w:divsChild>
    </w:div>
    <w:div w:id="883060243">
      <w:bodyDiv w:val="1"/>
      <w:marLeft w:val="0"/>
      <w:marRight w:val="0"/>
      <w:marTop w:val="0"/>
      <w:marBottom w:val="0"/>
      <w:divBdr>
        <w:top w:val="none" w:sz="0" w:space="0" w:color="auto"/>
        <w:left w:val="none" w:sz="0" w:space="0" w:color="auto"/>
        <w:bottom w:val="none" w:sz="0" w:space="0" w:color="auto"/>
        <w:right w:val="none" w:sz="0" w:space="0" w:color="auto"/>
      </w:divBdr>
    </w:div>
    <w:div w:id="897011955">
      <w:bodyDiv w:val="1"/>
      <w:marLeft w:val="0"/>
      <w:marRight w:val="0"/>
      <w:marTop w:val="0"/>
      <w:marBottom w:val="0"/>
      <w:divBdr>
        <w:top w:val="none" w:sz="0" w:space="0" w:color="auto"/>
        <w:left w:val="none" w:sz="0" w:space="0" w:color="auto"/>
        <w:bottom w:val="none" w:sz="0" w:space="0" w:color="auto"/>
        <w:right w:val="none" w:sz="0" w:space="0" w:color="auto"/>
      </w:divBdr>
    </w:div>
    <w:div w:id="918977525">
      <w:bodyDiv w:val="1"/>
      <w:marLeft w:val="0"/>
      <w:marRight w:val="0"/>
      <w:marTop w:val="0"/>
      <w:marBottom w:val="0"/>
      <w:divBdr>
        <w:top w:val="none" w:sz="0" w:space="0" w:color="auto"/>
        <w:left w:val="none" w:sz="0" w:space="0" w:color="auto"/>
        <w:bottom w:val="none" w:sz="0" w:space="0" w:color="auto"/>
        <w:right w:val="none" w:sz="0" w:space="0" w:color="auto"/>
      </w:divBdr>
    </w:div>
    <w:div w:id="980230601">
      <w:bodyDiv w:val="1"/>
      <w:marLeft w:val="0"/>
      <w:marRight w:val="0"/>
      <w:marTop w:val="0"/>
      <w:marBottom w:val="0"/>
      <w:divBdr>
        <w:top w:val="none" w:sz="0" w:space="0" w:color="auto"/>
        <w:left w:val="none" w:sz="0" w:space="0" w:color="auto"/>
        <w:bottom w:val="none" w:sz="0" w:space="0" w:color="auto"/>
        <w:right w:val="none" w:sz="0" w:space="0" w:color="auto"/>
      </w:divBdr>
    </w:div>
    <w:div w:id="1001933163">
      <w:bodyDiv w:val="1"/>
      <w:marLeft w:val="0"/>
      <w:marRight w:val="0"/>
      <w:marTop w:val="0"/>
      <w:marBottom w:val="0"/>
      <w:divBdr>
        <w:top w:val="none" w:sz="0" w:space="0" w:color="auto"/>
        <w:left w:val="none" w:sz="0" w:space="0" w:color="auto"/>
        <w:bottom w:val="none" w:sz="0" w:space="0" w:color="auto"/>
        <w:right w:val="none" w:sz="0" w:space="0" w:color="auto"/>
      </w:divBdr>
    </w:div>
    <w:div w:id="1033576727">
      <w:bodyDiv w:val="1"/>
      <w:marLeft w:val="0"/>
      <w:marRight w:val="0"/>
      <w:marTop w:val="0"/>
      <w:marBottom w:val="0"/>
      <w:divBdr>
        <w:top w:val="none" w:sz="0" w:space="0" w:color="auto"/>
        <w:left w:val="none" w:sz="0" w:space="0" w:color="auto"/>
        <w:bottom w:val="none" w:sz="0" w:space="0" w:color="auto"/>
        <w:right w:val="none" w:sz="0" w:space="0" w:color="auto"/>
      </w:divBdr>
    </w:div>
    <w:div w:id="1115949743">
      <w:bodyDiv w:val="1"/>
      <w:marLeft w:val="0"/>
      <w:marRight w:val="0"/>
      <w:marTop w:val="0"/>
      <w:marBottom w:val="0"/>
      <w:divBdr>
        <w:top w:val="none" w:sz="0" w:space="0" w:color="auto"/>
        <w:left w:val="none" w:sz="0" w:space="0" w:color="auto"/>
        <w:bottom w:val="none" w:sz="0" w:space="0" w:color="auto"/>
        <w:right w:val="none" w:sz="0" w:space="0" w:color="auto"/>
      </w:divBdr>
    </w:div>
    <w:div w:id="1159075589">
      <w:bodyDiv w:val="1"/>
      <w:marLeft w:val="0"/>
      <w:marRight w:val="0"/>
      <w:marTop w:val="0"/>
      <w:marBottom w:val="0"/>
      <w:divBdr>
        <w:top w:val="none" w:sz="0" w:space="0" w:color="auto"/>
        <w:left w:val="none" w:sz="0" w:space="0" w:color="auto"/>
        <w:bottom w:val="none" w:sz="0" w:space="0" w:color="auto"/>
        <w:right w:val="none" w:sz="0" w:space="0" w:color="auto"/>
      </w:divBdr>
    </w:div>
    <w:div w:id="1223786468">
      <w:bodyDiv w:val="1"/>
      <w:marLeft w:val="0"/>
      <w:marRight w:val="0"/>
      <w:marTop w:val="0"/>
      <w:marBottom w:val="0"/>
      <w:divBdr>
        <w:top w:val="none" w:sz="0" w:space="0" w:color="auto"/>
        <w:left w:val="none" w:sz="0" w:space="0" w:color="auto"/>
        <w:bottom w:val="none" w:sz="0" w:space="0" w:color="auto"/>
        <w:right w:val="none" w:sz="0" w:space="0" w:color="auto"/>
      </w:divBdr>
    </w:div>
    <w:div w:id="1235163197">
      <w:bodyDiv w:val="1"/>
      <w:marLeft w:val="0"/>
      <w:marRight w:val="0"/>
      <w:marTop w:val="0"/>
      <w:marBottom w:val="0"/>
      <w:divBdr>
        <w:top w:val="none" w:sz="0" w:space="0" w:color="auto"/>
        <w:left w:val="none" w:sz="0" w:space="0" w:color="auto"/>
        <w:bottom w:val="none" w:sz="0" w:space="0" w:color="auto"/>
        <w:right w:val="none" w:sz="0" w:space="0" w:color="auto"/>
      </w:divBdr>
    </w:div>
    <w:div w:id="1281843642">
      <w:bodyDiv w:val="1"/>
      <w:marLeft w:val="0"/>
      <w:marRight w:val="0"/>
      <w:marTop w:val="0"/>
      <w:marBottom w:val="0"/>
      <w:divBdr>
        <w:top w:val="none" w:sz="0" w:space="0" w:color="auto"/>
        <w:left w:val="none" w:sz="0" w:space="0" w:color="auto"/>
        <w:bottom w:val="none" w:sz="0" w:space="0" w:color="auto"/>
        <w:right w:val="none" w:sz="0" w:space="0" w:color="auto"/>
      </w:divBdr>
    </w:div>
    <w:div w:id="1282415289">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7286575">
      <w:bodyDiv w:val="1"/>
      <w:marLeft w:val="0"/>
      <w:marRight w:val="0"/>
      <w:marTop w:val="0"/>
      <w:marBottom w:val="0"/>
      <w:divBdr>
        <w:top w:val="none" w:sz="0" w:space="0" w:color="auto"/>
        <w:left w:val="none" w:sz="0" w:space="0" w:color="auto"/>
        <w:bottom w:val="none" w:sz="0" w:space="0" w:color="auto"/>
        <w:right w:val="none" w:sz="0" w:space="0" w:color="auto"/>
      </w:divBdr>
    </w:div>
    <w:div w:id="1555315627">
      <w:bodyDiv w:val="1"/>
      <w:marLeft w:val="0"/>
      <w:marRight w:val="0"/>
      <w:marTop w:val="0"/>
      <w:marBottom w:val="0"/>
      <w:divBdr>
        <w:top w:val="none" w:sz="0" w:space="0" w:color="auto"/>
        <w:left w:val="none" w:sz="0" w:space="0" w:color="auto"/>
        <w:bottom w:val="none" w:sz="0" w:space="0" w:color="auto"/>
        <w:right w:val="none" w:sz="0" w:space="0" w:color="auto"/>
      </w:divBdr>
    </w:div>
    <w:div w:id="1604024950">
      <w:bodyDiv w:val="1"/>
      <w:marLeft w:val="0"/>
      <w:marRight w:val="0"/>
      <w:marTop w:val="0"/>
      <w:marBottom w:val="0"/>
      <w:divBdr>
        <w:top w:val="none" w:sz="0" w:space="0" w:color="auto"/>
        <w:left w:val="none" w:sz="0" w:space="0" w:color="auto"/>
        <w:bottom w:val="none" w:sz="0" w:space="0" w:color="auto"/>
        <w:right w:val="none" w:sz="0" w:space="0" w:color="auto"/>
      </w:divBdr>
    </w:div>
    <w:div w:id="1644582800">
      <w:bodyDiv w:val="1"/>
      <w:marLeft w:val="0"/>
      <w:marRight w:val="0"/>
      <w:marTop w:val="0"/>
      <w:marBottom w:val="0"/>
      <w:divBdr>
        <w:top w:val="none" w:sz="0" w:space="0" w:color="auto"/>
        <w:left w:val="none" w:sz="0" w:space="0" w:color="auto"/>
        <w:bottom w:val="none" w:sz="0" w:space="0" w:color="auto"/>
        <w:right w:val="none" w:sz="0" w:space="0" w:color="auto"/>
      </w:divBdr>
    </w:div>
    <w:div w:id="1717074014">
      <w:bodyDiv w:val="1"/>
      <w:marLeft w:val="0"/>
      <w:marRight w:val="0"/>
      <w:marTop w:val="0"/>
      <w:marBottom w:val="0"/>
      <w:divBdr>
        <w:top w:val="none" w:sz="0" w:space="0" w:color="auto"/>
        <w:left w:val="none" w:sz="0" w:space="0" w:color="auto"/>
        <w:bottom w:val="none" w:sz="0" w:space="0" w:color="auto"/>
        <w:right w:val="none" w:sz="0" w:space="0" w:color="auto"/>
      </w:divBdr>
    </w:div>
    <w:div w:id="1739594667">
      <w:bodyDiv w:val="1"/>
      <w:marLeft w:val="0"/>
      <w:marRight w:val="0"/>
      <w:marTop w:val="0"/>
      <w:marBottom w:val="0"/>
      <w:divBdr>
        <w:top w:val="none" w:sz="0" w:space="0" w:color="auto"/>
        <w:left w:val="none" w:sz="0" w:space="0" w:color="auto"/>
        <w:bottom w:val="none" w:sz="0" w:space="0" w:color="auto"/>
        <w:right w:val="none" w:sz="0" w:space="0" w:color="auto"/>
      </w:divBdr>
    </w:div>
    <w:div w:id="1772121518">
      <w:bodyDiv w:val="1"/>
      <w:marLeft w:val="0"/>
      <w:marRight w:val="0"/>
      <w:marTop w:val="0"/>
      <w:marBottom w:val="0"/>
      <w:divBdr>
        <w:top w:val="none" w:sz="0" w:space="0" w:color="auto"/>
        <w:left w:val="none" w:sz="0" w:space="0" w:color="auto"/>
        <w:bottom w:val="none" w:sz="0" w:space="0" w:color="auto"/>
        <w:right w:val="none" w:sz="0" w:space="0" w:color="auto"/>
      </w:divBdr>
    </w:div>
    <w:div w:id="1776166067">
      <w:bodyDiv w:val="1"/>
      <w:marLeft w:val="0"/>
      <w:marRight w:val="0"/>
      <w:marTop w:val="0"/>
      <w:marBottom w:val="0"/>
      <w:divBdr>
        <w:top w:val="none" w:sz="0" w:space="0" w:color="auto"/>
        <w:left w:val="none" w:sz="0" w:space="0" w:color="auto"/>
        <w:bottom w:val="none" w:sz="0" w:space="0" w:color="auto"/>
        <w:right w:val="none" w:sz="0" w:space="0" w:color="auto"/>
      </w:divBdr>
    </w:div>
    <w:div w:id="1864325470">
      <w:bodyDiv w:val="1"/>
      <w:marLeft w:val="0"/>
      <w:marRight w:val="0"/>
      <w:marTop w:val="0"/>
      <w:marBottom w:val="0"/>
      <w:divBdr>
        <w:top w:val="none" w:sz="0" w:space="0" w:color="auto"/>
        <w:left w:val="none" w:sz="0" w:space="0" w:color="auto"/>
        <w:bottom w:val="none" w:sz="0" w:space="0" w:color="auto"/>
        <w:right w:val="none" w:sz="0" w:space="0" w:color="auto"/>
      </w:divBdr>
    </w:div>
    <w:div w:id="1874882462">
      <w:bodyDiv w:val="1"/>
      <w:marLeft w:val="0"/>
      <w:marRight w:val="0"/>
      <w:marTop w:val="0"/>
      <w:marBottom w:val="0"/>
      <w:divBdr>
        <w:top w:val="none" w:sz="0" w:space="0" w:color="auto"/>
        <w:left w:val="none" w:sz="0" w:space="0" w:color="auto"/>
        <w:bottom w:val="none" w:sz="0" w:space="0" w:color="auto"/>
        <w:right w:val="none" w:sz="0" w:space="0" w:color="auto"/>
      </w:divBdr>
      <w:divsChild>
        <w:div w:id="1990401911">
          <w:marLeft w:val="0"/>
          <w:marRight w:val="0"/>
          <w:marTop w:val="0"/>
          <w:marBottom w:val="0"/>
          <w:divBdr>
            <w:top w:val="none" w:sz="0" w:space="0" w:color="auto"/>
            <w:left w:val="none" w:sz="0" w:space="0" w:color="auto"/>
            <w:bottom w:val="none" w:sz="0" w:space="0" w:color="auto"/>
            <w:right w:val="none" w:sz="0" w:space="0" w:color="auto"/>
          </w:divBdr>
          <w:divsChild>
            <w:div w:id="124013156">
              <w:marLeft w:val="0"/>
              <w:marRight w:val="0"/>
              <w:marTop w:val="0"/>
              <w:marBottom w:val="0"/>
              <w:divBdr>
                <w:top w:val="none" w:sz="0" w:space="0" w:color="C0C0C0"/>
                <w:left w:val="none" w:sz="0" w:space="0" w:color="C0C0C0"/>
                <w:bottom w:val="none" w:sz="0" w:space="0" w:color="C0C0C0"/>
                <w:right w:val="none" w:sz="0" w:space="0" w:color="C0C0C0"/>
              </w:divBdr>
              <w:divsChild>
                <w:div w:id="697704050">
                  <w:marLeft w:val="0"/>
                  <w:marRight w:val="0"/>
                  <w:marTop w:val="0"/>
                  <w:marBottom w:val="0"/>
                  <w:divBdr>
                    <w:top w:val="none" w:sz="0" w:space="0" w:color="auto"/>
                    <w:left w:val="none" w:sz="0" w:space="0" w:color="auto"/>
                    <w:bottom w:val="none" w:sz="0" w:space="0" w:color="auto"/>
                    <w:right w:val="none" w:sz="0" w:space="0" w:color="auto"/>
                  </w:divBdr>
                  <w:divsChild>
                    <w:div w:id="815410887">
                      <w:marLeft w:val="0"/>
                      <w:marRight w:val="0"/>
                      <w:marTop w:val="0"/>
                      <w:marBottom w:val="0"/>
                      <w:divBdr>
                        <w:top w:val="none" w:sz="0" w:space="0" w:color="auto"/>
                        <w:left w:val="none" w:sz="0" w:space="0" w:color="auto"/>
                        <w:bottom w:val="none" w:sz="0" w:space="0" w:color="auto"/>
                        <w:right w:val="none" w:sz="0" w:space="0" w:color="auto"/>
                      </w:divBdr>
                      <w:divsChild>
                        <w:div w:id="1006440357">
                          <w:marLeft w:val="150"/>
                          <w:marRight w:val="150"/>
                          <w:marTop w:val="150"/>
                          <w:marBottom w:val="150"/>
                          <w:divBdr>
                            <w:top w:val="none" w:sz="0" w:space="0" w:color="auto"/>
                            <w:left w:val="none" w:sz="0" w:space="0" w:color="auto"/>
                            <w:bottom w:val="none" w:sz="0" w:space="0" w:color="auto"/>
                            <w:right w:val="none" w:sz="0" w:space="0" w:color="auto"/>
                          </w:divBdr>
                          <w:divsChild>
                            <w:div w:id="1964379612">
                              <w:marLeft w:val="0"/>
                              <w:marRight w:val="0"/>
                              <w:marTop w:val="0"/>
                              <w:marBottom w:val="0"/>
                              <w:divBdr>
                                <w:top w:val="none" w:sz="0" w:space="0" w:color="auto"/>
                                <w:left w:val="none" w:sz="0" w:space="0" w:color="auto"/>
                                <w:bottom w:val="none" w:sz="0" w:space="0" w:color="auto"/>
                                <w:right w:val="none" w:sz="0" w:space="0" w:color="auto"/>
                              </w:divBdr>
                              <w:divsChild>
                                <w:div w:id="1363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26649">
      <w:bodyDiv w:val="1"/>
      <w:marLeft w:val="0"/>
      <w:marRight w:val="0"/>
      <w:marTop w:val="0"/>
      <w:marBottom w:val="0"/>
      <w:divBdr>
        <w:top w:val="none" w:sz="0" w:space="0" w:color="auto"/>
        <w:left w:val="none" w:sz="0" w:space="0" w:color="auto"/>
        <w:bottom w:val="none" w:sz="0" w:space="0" w:color="auto"/>
        <w:right w:val="none" w:sz="0" w:space="0" w:color="auto"/>
      </w:divBdr>
    </w:div>
    <w:div w:id="1971277277">
      <w:bodyDiv w:val="1"/>
      <w:marLeft w:val="0"/>
      <w:marRight w:val="0"/>
      <w:marTop w:val="0"/>
      <w:marBottom w:val="0"/>
      <w:divBdr>
        <w:top w:val="none" w:sz="0" w:space="0" w:color="auto"/>
        <w:left w:val="none" w:sz="0" w:space="0" w:color="auto"/>
        <w:bottom w:val="none" w:sz="0" w:space="0" w:color="auto"/>
        <w:right w:val="none" w:sz="0" w:space="0" w:color="auto"/>
      </w:divBdr>
    </w:div>
    <w:div w:id="2022126391">
      <w:bodyDiv w:val="1"/>
      <w:marLeft w:val="0"/>
      <w:marRight w:val="0"/>
      <w:marTop w:val="0"/>
      <w:marBottom w:val="0"/>
      <w:divBdr>
        <w:top w:val="none" w:sz="0" w:space="0" w:color="auto"/>
        <w:left w:val="none" w:sz="0" w:space="0" w:color="auto"/>
        <w:bottom w:val="none" w:sz="0" w:space="0" w:color="auto"/>
        <w:right w:val="none" w:sz="0" w:space="0" w:color="auto"/>
      </w:divBdr>
    </w:div>
    <w:div w:id="2055737651">
      <w:bodyDiv w:val="1"/>
      <w:marLeft w:val="0"/>
      <w:marRight w:val="0"/>
      <w:marTop w:val="0"/>
      <w:marBottom w:val="0"/>
      <w:divBdr>
        <w:top w:val="none" w:sz="0" w:space="0" w:color="auto"/>
        <w:left w:val="none" w:sz="0" w:space="0" w:color="auto"/>
        <w:bottom w:val="none" w:sz="0" w:space="0" w:color="auto"/>
        <w:right w:val="none" w:sz="0" w:space="0" w:color="auto"/>
      </w:divBdr>
    </w:div>
    <w:div w:id="2109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nycourts.gov/whatsnew/pdf/Updated-Protocol-AttachmentA3.pdf" TargetMode="External"/><Relationship Id="rId18" Type="http://schemas.openxmlformats.org/officeDocument/2006/relationships/hyperlink" Target="https://therealdeal.com/2020/05/19/about-25-of-nyc-renters-didnt-pay-in-may-survey/" TargetMode="External"/><Relationship Id="rId26" Type="http://schemas.openxmlformats.org/officeDocument/2006/relationships/hyperlink" Target="https://aspe.hhs.gov/federal-medical-assistance-percentages-or-federal-financial-participation-state-assistance-expenditures" TargetMode="External"/><Relationship Id="rId21" Type="http://schemas.openxmlformats.org/officeDocument/2006/relationships/hyperlink" Target="https://www.congress.gov/bill/116th-congress/house-bill/6074" TargetMode="External"/><Relationship Id="rId34" Type="http://schemas.openxmlformats.org/officeDocument/2006/relationships/hyperlink" Target="http://www.law.cornell.edu/jureeka/index.php?doc=USPubLaws&amp;cong=111&amp;no=5" TargetMode="External"/><Relationship Id="rId7" Type="http://schemas.openxmlformats.org/officeDocument/2006/relationships/hyperlink" Target="https://www.governor.ny.gov/news/governor-cuomo-announces-new-york-city-enter-phase-1-reopening-june-8-and-five-regions-enter" TargetMode="External"/><Relationship Id="rId12" Type="http://schemas.openxmlformats.org/officeDocument/2006/relationships/hyperlink" Target="https://www.nytimes.com/2020/04/20/nyregion/coronavirus-nyc-numbers-unemployment.html" TargetMode="External"/><Relationship Id="rId17" Type="http://schemas.openxmlformats.org/officeDocument/2006/relationships/hyperlink" Target="https://www.nytimes.com/2020/05/21/nyregion/commercial-rent-NYC-coronavirus.html" TargetMode="External"/><Relationship Id="rId25" Type="http://schemas.openxmlformats.org/officeDocument/2006/relationships/hyperlink" Target="https://www.schumer.senate.gov/newsroom/press-releases/after-schumers-successful-push-to-include-ny-specific-measures-into-first-of-its-kind-coronavirus-bill-senate-passes-fmap-legislation-unlocking-over-6-billion-for-nys_the-most-of-any-state-and-millions-for-counties-to-support-nys-fight-to-contain-coronavirus-spread-and-cover-mounting-local-costs" TargetMode="External"/><Relationship Id="rId33" Type="http://schemas.openxmlformats.org/officeDocument/2006/relationships/hyperlink" Target="https://www.ncsl.org/blog/2020/04/22/a-quick-review-of-the-paycheck-protection-program-and-health-care-enhancement-act.aspx" TargetMode="External"/><Relationship Id="rId2" Type="http://schemas.openxmlformats.org/officeDocument/2006/relationships/hyperlink" Target="https://www1.nyc.gov/site/doh/about/press/pr2020/city-confirms-second-covid-19-case.page" TargetMode="External"/><Relationship Id="rId16" Type="http://schemas.openxmlformats.org/officeDocument/2006/relationships/hyperlink" Target="https://www.urban.org/sites/default/files/publication/102013/avoiding-a-covid-19-disaster-for-renters-and-the-housing-market_1.pdf" TargetMode="External"/><Relationship Id="rId20" Type="http://schemas.openxmlformats.org/officeDocument/2006/relationships/hyperlink" Target="file:///C:\Users\stephanieruiz\Downloads\Conor%20Dougherty%20and%20Peter%20Eavis,%20Tenants&#8217;%20Troubles%20Put%20Stress%20on%20Commercial%20Real%20Estate,%20NY%20Times,%20June%205.%202020,%20https:\www.nytimes.com\2020\06\05\business\economy\coronavirus-commercial-real-estate.html" TargetMode="External"/><Relationship Id="rId29" Type="http://schemas.openxmlformats.org/officeDocument/2006/relationships/hyperlink" Target="https://www.ncsl.org/Portals/1/Documents/statefed/COVID-19-Stimulus-Bill_3-27-20.pdf" TargetMode="External"/><Relationship Id="rId1" Type="http://schemas.openxmlformats.org/officeDocument/2006/relationships/hyperlink" Target="https://www.governor.ny.gov/news/governor-cuomo-issues-statement-regarding-novel-coronavirus-new-york" TargetMode="External"/><Relationship Id="rId6" Type="http://schemas.openxmlformats.org/officeDocument/2006/relationships/hyperlink" Target="https://www.governor.ny.gov/sites/governor.ny.gov/files/atoms/files/EO_202.8.pdf" TargetMode="External"/><Relationship Id="rId11" Type="http://schemas.openxmlformats.org/officeDocument/2006/relationships/hyperlink" Target="https://furmancenter.org/thestoop/entry/what-are-the-housing-costs-of-households-most-vulnerable-to-job-layoffs-an" TargetMode="External"/><Relationship Id="rId24" Type="http://schemas.openxmlformats.org/officeDocument/2006/relationships/hyperlink" Target="https://www.congress.gov/bill/116th-congress/house-bill/6201?q=%7B%22search%22%3A%5B%22Families+First+Coronavirus+Response+Act+%28H.R.+6201%29%22%5D%7D&amp;s=1&amp;r=2" TargetMode="External"/><Relationship Id="rId32" Type="http://schemas.openxmlformats.org/officeDocument/2006/relationships/hyperlink" Target="https://www.ncsl.org/blog/2020/04/22/a-quick-review-of-the-paycheck-protection-program-and-health-care-enhancement-act.aspx" TargetMode="External"/><Relationship Id="rId37" Type="http://schemas.openxmlformats.org/officeDocument/2006/relationships/hyperlink" Target="https://legistar.council.nyc.gov/LegislationDetail.aspx?ID=1419832&amp;GUID=5902C0D5-CDF7-492C-AD73-DFA089487BCC&amp;Options=Advanced&amp;Search" TargetMode="External"/><Relationship Id="rId5" Type="http://schemas.openxmlformats.org/officeDocument/2006/relationships/hyperlink" Target="https://www1.nyc.gov/assets/home/downloads/pdf/executive-orders/2020/eeo-98.pdf" TargetMode="External"/><Relationship Id="rId15" Type="http://schemas.openxmlformats.org/officeDocument/2006/relationships/hyperlink" Target="https://www.congress.gov/116/bills/hr748/BILLS-116hr748eas.pdf" TargetMode="External"/><Relationship Id="rId23" Type="http://schemas.openxmlformats.org/officeDocument/2006/relationships/hyperlink" Target="https://www.schumer.senate.gov/coronavirus/whats-being-done" TargetMode="External"/><Relationship Id="rId28" Type="http://schemas.openxmlformats.org/officeDocument/2006/relationships/hyperlink" Target="https://www.congress.gov/bill/116th-congress/house-bill/748/text?loclr=bloglaw" TargetMode="External"/><Relationship Id="rId36" Type="http://schemas.openxmlformats.org/officeDocument/2006/relationships/hyperlink" Target="http://www.nyc.gov/html/ops/nycstim/html/home/home.shtml" TargetMode="External"/><Relationship Id="rId10" Type="http://schemas.openxmlformats.org/officeDocument/2006/relationships/hyperlink" Target="https://www.nysra.org/uploads/1/2/1/3/121352550/restaurant_industry_impact_survey___new_york_state__2_.pdf" TargetMode="External"/><Relationship Id="rId19" Type="http://schemas.openxmlformats.org/officeDocument/2006/relationships/hyperlink" Target="https://www.washingtonpost.com/business/2020/06/03/next-big-problem-businesses-cant-or-wont-pay-their-rent-its-setting-off-dangerous-chain-reaction/" TargetMode="External"/><Relationship Id="rId31" Type="http://schemas.openxmlformats.org/officeDocument/2006/relationships/hyperlink" Target="https://www.congress.gov/bill/116th-congress/house-bill/266" TargetMode="External"/><Relationship Id="rId4" Type="http://schemas.openxmlformats.org/officeDocument/2006/relationships/hyperlink" Target="https://www.who.int/dg/speeches/detail/who-director-general-s-opening-remarks-at-the-media-briefing-on-covid-19---11-march-2020" TargetMode="External"/><Relationship Id="rId9" Type="http://schemas.openxmlformats.org/officeDocument/2006/relationships/hyperlink" Target="https://comptroller.nyc.gov/newsroom/comptroller-stringer-city-must-take-immediate-action-to-prepare-for-economic-impacts-of-covid-19-and-protect-vital-services-for-most-vulnerable-new-yorkers/" TargetMode="External"/><Relationship Id="rId14" Type="http://schemas.openxmlformats.org/officeDocument/2006/relationships/hyperlink" Target="https://www.governor.ny.gov/sites/governor.ny.gov/files/atoms/files/EO_202.28.pdf" TargetMode="External"/><Relationship Id="rId22" Type="http://schemas.openxmlformats.org/officeDocument/2006/relationships/hyperlink" Target="https://www.kff.org/global-health-policy/issue-brief/the-u-s-response-to-coronavirus-summary-of-the-coronavirus-preparedness-and-response-supplemental-appropriations-act-2020/" TargetMode="External"/><Relationship Id="rId27" Type="http://schemas.openxmlformats.org/officeDocument/2006/relationships/hyperlink" Target="https://www.kff.org/medicaid/state-indicator/federal-matching-rate-and-multiplier" TargetMode="External"/><Relationship Id="rId30" Type="http://schemas.openxmlformats.org/officeDocument/2006/relationships/hyperlink" Target="https://seanmaloney.house.gov/sites/seanmaloney.house.gov/files/CARES%20ACT-%20NEW%20YORK%20IMPACT.pdf" TargetMode="External"/><Relationship Id="rId35" Type="http://schemas.openxmlformats.org/officeDocument/2006/relationships/hyperlink" Target="http://www.recovery.gov/Pages/default.aspx" TargetMode="External"/><Relationship Id="rId8" Type="http://schemas.openxmlformats.org/officeDocument/2006/relationships/hyperlink" Target="https://forward.ny.gov/new-york-city-phase-one-industries" TargetMode="External"/><Relationship Id="rId3" Type="http://schemas.openxmlformats.org/officeDocument/2006/relationships/hyperlink" Target="https://www.governor.ny.gov/sites/governor.ny.gov/files/atoms/files/EO_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6" ma:contentTypeDescription="Create a new document." ma:contentTypeScope="" ma:versionID="add5128edb9649f84df620727d221607">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54f983931ff70883c642f53330aa6613"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E027-531A-42D3-A38B-5D0C5962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7A809-626D-4572-9833-9CE81DA3B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676CF-33C5-4ACA-8749-423441966D60}">
  <ds:schemaRefs>
    <ds:schemaRef ds:uri="http://schemas.microsoft.com/sharepoint/v3/contenttype/forms"/>
  </ds:schemaRefs>
</ds:datastoreItem>
</file>

<file path=customXml/itemProps4.xml><?xml version="1.0" encoding="utf-8"?>
<ds:datastoreItem xmlns:ds="http://schemas.openxmlformats.org/officeDocument/2006/customXml" ds:itemID="{BE9072B5-B08B-4EE9-B9C4-FBE489D0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8090</Words>
  <Characters>46114</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dc:description/>
  <cp:lastModifiedBy>DelFranco, Ruthie</cp:lastModifiedBy>
  <cp:revision>2</cp:revision>
  <cp:lastPrinted>2020-06-09T18:14:00Z</cp:lastPrinted>
  <dcterms:created xsi:type="dcterms:W3CDTF">2020-06-09T21:46:00Z</dcterms:created>
  <dcterms:modified xsi:type="dcterms:W3CDTF">2020-06-09T21:46:00Z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