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BEC55" w14:textId="2513714C" w:rsidR="00E1026D" w:rsidRPr="00235721" w:rsidRDefault="00A34EAA" w:rsidP="00A34EAA">
      <w:pPr>
        <w:jc w:val="both"/>
      </w:pPr>
      <w:bookmarkStart w:id="0" w:name="_GoBack"/>
      <w:bookmarkEnd w:id="0"/>
      <w:r w:rsidRPr="00235721">
        <w:t>DATE:</w:t>
      </w:r>
      <w:r w:rsidRPr="00235721">
        <w:tab/>
      </w:r>
      <w:r w:rsidRPr="00235721">
        <w:tab/>
      </w:r>
      <w:r w:rsidR="00413BC5">
        <w:t>April</w:t>
      </w:r>
      <w:r w:rsidR="0070253A" w:rsidRPr="00235721">
        <w:t xml:space="preserve"> </w:t>
      </w:r>
      <w:r w:rsidR="009E06BA">
        <w:t>22</w:t>
      </w:r>
      <w:r w:rsidR="0070253A" w:rsidRPr="00235721">
        <w:t>, 2020</w:t>
      </w:r>
    </w:p>
    <w:p w14:paraId="6DAE36F6" w14:textId="77777777" w:rsidR="00A34EAA" w:rsidRPr="00235721" w:rsidRDefault="00A34EAA" w:rsidP="00A34EAA">
      <w:pPr>
        <w:jc w:val="both"/>
      </w:pPr>
    </w:p>
    <w:p w14:paraId="46FD0670" w14:textId="581879B5" w:rsidR="00D65276" w:rsidRPr="00235721" w:rsidRDefault="00D65276" w:rsidP="00A34EAA">
      <w:pPr>
        <w:jc w:val="both"/>
      </w:pPr>
      <w:r w:rsidRPr="00235721">
        <w:t>TO:</w:t>
      </w:r>
      <w:r w:rsidRPr="00235721">
        <w:tab/>
      </w:r>
      <w:r w:rsidRPr="00235721">
        <w:tab/>
        <w:t xml:space="preserve">Hon. </w:t>
      </w:r>
      <w:r w:rsidR="009E06BA">
        <w:t>Corey Johnson, Speaker</w:t>
      </w:r>
    </w:p>
    <w:p w14:paraId="73ECCF7A" w14:textId="7E9EB099" w:rsidR="00D65276" w:rsidRPr="00235721" w:rsidRDefault="00D65276" w:rsidP="00A34EAA">
      <w:pPr>
        <w:ind w:left="720" w:firstLine="720"/>
        <w:jc w:val="both"/>
      </w:pPr>
      <w:r w:rsidRPr="00235721">
        <w:t>Members of the Committee</w:t>
      </w:r>
      <w:r w:rsidR="009E06BA">
        <w:t xml:space="preserve"> of the Whole</w:t>
      </w:r>
    </w:p>
    <w:p w14:paraId="5EE05E86" w14:textId="77777777" w:rsidR="00D65276" w:rsidRPr="00235721" w:rsidRDefault="00D65276" w:rsidP="00A34EAA">
      <w:pPr>
        <w:jc w:val="both"/>
      </w:pPr>
    </w:p>
    <w:p w14:paraId="2C2516C0" w14:textId="34FBBA0B" w:rsidR="00D65276" w:rsidRPr="00235721" w:rsidRDefault="00D65276" w:rsidP="00A34EAA">
      <w:pPr>
        <w:jc w:val="both"/>
      </w:pPr>
      <w:r w:rsidRPr="00235721">
        <w:t>FROM:</w:t>
      </w:r>
      <w:r w:rsidRPr="00235721">
        <w:tab/>
        <w:t>Rebecca Chasan, Senior Counsel, Finance Division</w:t>
      </w:r>
    </w:p>
    <w:p w14:paraId="5E21D763" w14:textId="02EEF587" w:rsidR="0007468E" w:rsidRPr="00235721" w:rsidRDefault="0007468E" w:rsidP="00A34EAA">
      <w:pPr>
        <w:ind w:left="720" w:firstLine="720"/>
        <w:jc w:val="both"/>
      </w:pPr>
      <w:r w:rsidRPr="00235721">
        <w:t>Noah Brick, Assistant Counsel, Finance Division</w:t>
      </w:r>
    </w:p>
    <w:p w14:paraId="27FE68E8" w14:textId="77777777" w:rsidR="008A34C5" w:rsidRPr="00235721" w:rsidRDefault="008A34C5" w:rsidP="00A34EAA">
      <w:pPr>
        <w:ind w:left="720" w:firstLine="720"/>
        <w:jc w:val="both"/>
      </w:pPr>
      <w:r w:rsidRPr="00235721">
        <w:t>Stephanie Ruiz, Assistant Counsel, Finance Division</w:t>
      </w:r>
    </w:p>
    <w:p w14:paraId="25E67D4C" w14:textId="6BB43700" w:rsidR="00D65276" w:rsidRPr="00235721" w:rsidRDefault="00D65276" w:rsidP="00A34EAA">
      <w:pPr>
        <w:jc w:val="both"/>
      </w:pPr>
    </w:p>
    <w:p w14:paraId="68A39BD7" w14:textId="207F5FD9" w:rsidR="006D5395" w:rsidRPr="00235721" w:rsidRDefault="00D65276" w:rsidP="00A34EAA">
      <w:pPr>
        <w:ind w:left="1440" w:hanging="1440"/>
        <w:jc w:val="both"/>
      </w:pPr>
      <w:r w:rsidRPr="00235721">
        <w:t>RE:</w:t>
      </w:r>
      <w:r w:rsidRPr="00235721">
        <w:tab/>
        <w:t xml:space="preserve">Committee </w:t>
      </w:r>
      <w:r w:rsidR="009E06BA">
        <w:t xml:space="preserve">of the Whole </w:t>
      </w:r>
      <w:r w:rsidRPr="00235721">
        <w:t xml:space="preserve">Agenda of </w:t>
      </w:r>
      <w:r w:rsidR="00413BC5">
        <w:t>April</w:t>
      </w:r>
      <w:r w:rsidR="002459AF" w:rsidRPr="00235721">
        <w:t xml:space="preserve"> </w:t>
      </w:r>
      <w:r w:rsidR="009E06BA">
        <w:t>22</w:t>
      </w:r>
      <w:r w:rsidR="002459AF" w:rsidRPr="00235721">
        <w:t>, 2020</w:t>
      </w:r>
      <w:r w:rsidR="004D7CE5" w:rsidRPr="00235721">
        <w:t xml:space="preserve"> – Resolution</w:t>
      </w:r>
      <w:r w:rsidR="001D5876">
        <w:t>s</w:t>
      </w:r>
      <w:r w:rsidR="002459AF" w:rsidRPr="00235721">
        <w:t xml:space="preserve"> </w:t>
      </w:r>
      <w:r w:rsidRPr="00235721">
        <w:t>approving tax exemption</w:t>
      </w:r>
      <w:r w:rsidR="001D5876">
        <w:t>s</w:t>
      </w:r>
      <w:r w:rsidRPr="00235721">
        <w:t xml:space="preserve"> for </w:t>
      </w:r>
      <w:r w:rsidR="00F2394B">
        <w:t>nine</w:t>
      </w:r>
      <w:r w:rsidR="002459AF" w:rsidRPr="00235721">
        <w:t xml:space="preserve"> </w:t>
      </w:r>
      <w:r w:rsidRPr="00235721">
        <w:t>L</w:t>
      </w:r>
      <w:r w:rsidR="001D7AC0" w:rsidRPr="00235721">
        <w:t>and Use item</w:t>
      </w:r>
      <w:r w:rsidR="00366303" w:rsidRPr="00235721">
        <w:t>s</w:t>
      </w:r>
      <w:r w:rsidR="0070253A" w:rsidRPr="00235721">
        <w:t xml:space="preserve"> (Council District</w:t>
      </w:r>
      <w:r w:rsidR="00941149" w:rsidRPr="00235721">
        <w:t>s</w:t>
      </w:r>
      <w:r w:rsidR="00413BC5">
        <w:t xml:space="preserve"> 5, 6, 7, 9, 14, 24, </w:t>
      </w:r>
      <w:r w:rsidR="001D5876">
        <w:t xml:space="preserve">and </w:t>
      </w:r>
      <w:r w:rsidR="00413BC5">
        <w:t xml:space="preserve">49) </w:t>
      </w:r>
    </w:p>
    <w:p w14:paraId="3AE244CE" w14:textId="138617CB" w:rsidR="006D5395" w:rsidRPr="00235721" w:rsidRDefault="006D5395" w:rsidP="00A34EAA">
      <w:pPr>
        <w:ind w:left="1440" w:hanging="1440"/>
        <w:jc w:val="both"/>
      </w:pPr>
    </w:p>
    <w:p w14:paraId="5F6BC6A5" w14:textId="7C71761C" w:rsidR="000E2083" w:rsidRPr="00235721" w:rsidRDefault="000E2083" w:rsidP="00A34EAA">
      <w:pPr>
        <w:pStyle w:val="MediumGrid1-Accent21"/>
        <w:ind w:left="0"/>
        <w:jc w:val="both"/>
        <w:rPr>
          <w:b/>
          <w:u w:val="single"/>
        </w:rPr>
      </w:pPr>
      <w:r w:rsidRPr="00235721">
        <w:rPr>
          <w:b/>
          <w:u w:val="single"/>
        </w:rPr>
        <w:t xml:space="preserve">Item 1: </w:t>
      </w:r>
      <w:r w:rsidR="008A34C5" w:rsidRPr="00235721">
        <w:rPr>
          <w:b/>
          <w:u w:val="single"/>
        </w:rPr>
        <w:t>1898 Harrison Avenue</w:t>
      </w:r>
    </w:p>
    <w:p w14:paraId="44B097BC" w14:textId="309E9F70" w:rsidR="000E2083" w:rsidRPr="00235721" w:rsidRDefault="000E2083" w:rsidP="00A34EAA">
      <w:pPr>
        <w:pStyle w:val="MediumGrid1-Accent21"/>
        <w:ind w:left="0"/>
        <w:jc w:val="both"/>
        <w:rPr>
          <w:b/>
          <w:u w:val="single"/>
        </w:rPr>
      </w:pPr>
    </w:p>
    <w:p w14:paraId="57AEC401" w14:textId="5FB7BBC9" w:rsidR="000B1375" w:rsidRPr="00235721" w:rsidRDefault="00DC45D1" w:rsidP="00A34EAA">
      <w:pPr>
        <w:pStyle w:val="MediumGrid1-Accent21"/>
        <w:ind w:left="0"/>
        <w:jc w:val="both"/>
      </w:pPr>
      <w:r w:rsidRPr="00235721">
        <w:t>1898 Harrison Avenue</w:t>
      </w:r>
      <w:r w:rsidR="000B1375" w:rsidRPr="00235721">
        <w:t xml:space="preserve"> is a </w:t>
      </w:r>
      <w:r w:rsidR="00F165E0" w:rsidRPr="00235721">
        <w:t>54-unit building located in University Heights-Morris Heights</w:t>
      </w:r>
      <w:r w:rsidR="000B1375" w:rsidRPr="00235721">
        <w:t xml:space="preserve">. </w:t>
      </w:r>
      <w:r w:rsidR="00F165E0" w:rsidRPr="00235721">
        <w:t>T</w:t>
      </w:r>
      <w:r w:rsidR="000B1375" w:rsidRPr="00235721">
        <w:t xml:space="preserve">he </w:t>
      </w:r>
      <w:r w:rsidR="00F165E0" w:rsidRPr="00235721">
        <w:t xml:space="preserve">54 </w:t>
      </w:r>
      <w:r w:rsidR="000B1375" w:rsidRPr="00235721">
        <w:t>units</w:t>
      </w:r>
      <w:r w:rsidR="00F165E0" w:rsidRPr="00235721">
        <w:t xml:space="preserve"> include 34 one-bedroom units, 14 two-bedroom units (inclusive of one superintendent unit), and </w:t>
      </w:r>
      <w:r w:rsidR="003732C2">
        <w:t>six</w:t>
      </w:r>
      <w:r w:rsidR="00F165E0" w:rsidRPr="00235721">
        <w:t xml:space="preserve"> three-</w:t>
      </w:r>
      <w:r w:rsidR="000B1375" w:rsidRPr="00235721">
        <w:t>bedroom units.</w:t>
      </w:r>
    </w:p>
    <w:p w14:paraId="66A244C2" w14:textId="77777777" w:rsidR="000B1375" w:rsidRPr="00235721" w:rsidRDefault="000B1375" w:rsidP="00A34EAA">
      <w:pPr>
        <w:pStyle w:val="MediumGrid1-Accent21"/>
        <w:ind w:left="0"/>
        <w:jc w:val="both"/>
      </w:pPr>
    </w:p>
    <w:p w14:paraId="60AF8AA9" w14:textId="79038E48" w:rsidR="004C619F" w:rsidRPr="00235721" w:rsidRDefault="00E0282F" w:rsidP="00A34EAA">
      <w:pPr>
        <w:pStyle w:val="MediumGrid1-Accent21"/>
        <w:ind w:left="0"/>
        <w:jc w:val="both"/>
      </w:pPr>
      <w:r w:rsidRPr="00235721">
        <w:t xml:space="preserve">1898 Harrison Avenue was built in 1926, taken by the City through in rem foreclosure in 2003, and </w:t>
      </w:r>
      <w:r w:rsidR="004C619F" w:rsidRPr="00235721">
        <w:t>under the Department of Housing Preservation and Development’s (HPD) Third Party Transfer</w:t>
      </w:r>
      <w:r w:rsidR="003732C2">
        <w:t xml:space="preserve"> (TPT)</w:t>
      </w:r>
      <w:r w:rsidR="004C619F" w:rsidRPr="00235721">
        <w:t xml:space="preserve"> program </w:t>
      </w:r>
      <w:r w:rsidRPr="00235721">
        <w:t xml:space="preserve">deeded to Urban Homesteading Assistance Board (UHAB) Housing Development </w:t>
      </w:r>
      <w:r w:rsidR="004C619F" w:rsidRPr="00235721">
        <w:t xml:space="preserve">Fund </w:t>
      </w:r>
      <w:r w:rsidRPr="00235721">
        <w:t>Corporation (HDFC) in 2005.</w:t>
      </w:r>
    </w:p>
    <w:p w14:paraId="20D20F71" w14:textId="77777777" w:rsidR="004C619F" w:rsidRPr="00235721" w:rsidRDefault="004C619F" w:rsidP="00A34EAA">
      <w:pPr>
        <w:pStyle w:val="MediumGrid1-Accent21"/>
        <w:ind w:left="0"/>
        <w:jc w:val="both"/>
      </w:pPr>
    </w:p>
    <w:p w14:paraId="32C791B3" w14:textId="360A415D" w:rsidR="00F165E0" w:rsidRPr="00235721" w:rsidRDefault="004C619F" w:rsidP="00A34EAA">
      <w:pPr>
        <w:pStyle w:val="MediumGrid1-Accent21"/>
        <w:ind w:left="0"/>
        <w:jc w:val="both"/>
      </w:pPr>
      <w:r w:rsidRPr="00235721">
        <w:t xml:space="preserve">UHAB HDFC </w:t>
      </w:r>
      <w:r w:rsidR="00E0282F" w:rsidRPr="00235721">
        <w:t>received a 40-year Article XI</w:t>
      </w:r>
      <w:r w:rsidR="00BF645D">
        <w:t xml:space="preserve"> property tax exemption</w:t>
      </w:r>
      <w:r w:rsidR="00E0282F" w:rsidRPr="00235721">
        <w:t xml:space="preserve"> and oversaw a renovation in anticipation that the building would be converted to a limited-equity cooperative</w:t>
      </w:r>
      <w:r w:rsidR="00BF645D">
        <w:t>.</w:t>
      </w:r>
      <w:r w:rsidR="00E0282F" w:rsidRPr="00235721">
        <w:t xml:space="preserve"> </w:t>
      </w:r>
      <w:r w:rsidR="00BF645D">
        <w:t>B</w:t>
      </w:r>
      <w:r w:rsidR="00E0282F" w:rsidRPr="00235721">
        <w:t>ut after</w:t>
      </w:r>
      <w:r w:rsidR="00BF645D">
        <w:t xml:space="preserve"> the</w:t>
      </w:r>
      <w:r w:rsidR="00E0282F" w:rsidRPr="00235721">
        <w:t xml:space="preserve"> renovation </w:t>
      </w:r>
      <w:r w:rsidR="00BF645D">
        <w:t xml:space="preserve">was </w:t>
      </w:r>
      <w:r w:rsidR="00E0282F" w:rsidRPr="00235721">
        <w:t xml:space="preserve">completed the tenants opted not to become a co-op </w:t>
      </w:r>
      <w:r w:rsidR="002E0F98" w:rsidRPr="00235721">
        <w:t xml:space="preserve">so </w:t>
      </w:r>
      <w:r w:rsidRPr="00235721">
        <w:t xml:space="preserve">UHAB </w:t>
      </w:r>
      <w:r w:rsidR="00E0282F" w:rsidRPr="00235721">
        <w:t>deeded beneficial owner</w:t>
      </w:r>
      <w:r w:rsidRPr="00235721">
        <w:t xml:space="preserve">ship to Bronx Pro </w:t>
      </w:r>
      <w:r w:rsidR="002E0F98" w:rsidRPr="00235721">
        <w:t xml:space="preserve">New Building LLC </w:t>
      </w:r>
      <w:r w:rsidRPr="00235721">
        <w:t>to operate the building as a rental.</w:t>
      </w:r>
    </w:p>
    <w:p w14:paraId="5C0C7113" w14:textId="241E05EC" w:rsidR="00E0282F" w:rsidRPr="00235721" w:rsidRDefault="00E0282F" w:rsidP="00A34EAA">
      <w:pPr>
        <w:pStyle w:val="MediumGrid1-Accent21"/>
        <w:ind w:left="0"/>
        <w:jc w:val="both"/>
      </w:pPr>
    </w:p>
    <w:p w14:paraId="1244F192" w14:textId="16C416CA" w:rsidR="002E0F98" w:rsidRPr="00235721" w:rsidRDefault="00BF645D" w:rsidP="00A34EAA">
      <w:pPr>
        <w:pStyle w:val="MediumGrid1-Accent21"/>
        <w:ind w:left="0"/>
        <w:jc w:val="both"/>
      </w:pPr>
      <w:r>
        <w:t xml:space="preserve">Under the proposed </w:t>
      </w:r>
      <w:r w:rsidR="00E0282F" w:rsidRPr="00235721">
        <w:t>project</w:t>
      </w:r>
      <w:r>
        <w:t>, the property</w:t>
      </w:r>
      <w:r w:rsidR="00E0282F" w:rsidRPr="00235721">
        <w:t xml:space="preserve"> </w:t>
      </w:r>
      <w:r w:rsidR="00A25393" w:rsidRPr="00235721">
        <w:t>would</w:t>
      </w:r>
      <w:r w:rsidR="00E0282F" w:rsidRPr="00235721">
        <w:t xml:space="preserve"> undergo moderate rehabilitation and energy and water efficiency upgrades financed by HPD through its Green Housing Preservation Program (GHPP), including façade and masonry work, parapet replacement, low-flow fixtures, efficient appliances, LED lighting, insulation, and solar photovoltaic (PV). </w:t>
      </w:r>
      <w:r w:rsidR="002E0F98" w:rsidRPr="00235721">
        <w:t xml:space="preserve">As part of this GHPP project, HPD </w:t>
      </w:r>
      <w:r w:rsidR="00A25393" w:rsidRPr="00235721">
        <w:t>would</w:t>
      </w:r>
      <w:r w:rsidR="002E0F98" w:rsidRPr="00235721">
        <w:t xml:space="preserve"> enter into a new regulatory agreement with the HDFC and the LLC.</w:t>
      </w:r>
    </w:p>
    <w:p w14:paraId="36A33259" w14:textId="52AD4A22" w:rsidR="002E0F98" w:rsidRPr="00235721" w:rsidRDefault="002E0F98" w:rsidP="00A34EAA">
      <w:pPr>
        <w:pStyle w:val="MediumGrid1-Accent21"/>
        <w:ind w:left="0"/>
        <w:jc w:val="both"/>
      </w:pPr>
    </w:p>
    <w:p w14:paraId="0879BA56" w14:textId="6B036E1D" w:rsidR="000B1375" w:rsidRPr="00235721" w:rsidRDefault="00FA544D" w:rsidP="00A34EAA">
      <w:pPr>
        <w:pStyle w:val="MediumGrid1-Accent21"/>
        <w:ind w:left="0"/>
        <w:jc w:val="both"/>
      </w:pPr>
      <w:r w:rsidRPr="00235721">
        <w:t>HPD is requesting that the C</w:t>
      </w:r>
      <w:r w:rsidR="002E0F98" w:rsidRPr="00235721">
        <w:t xml:space="preserve">ouncil replace the existing </w:t>
      </w:r>
      <w:r w:rsidR="00BF645D">
        <w:t>exemption</w:t>
      </w:r>
      <w:r w:rsidR="002E0F98" w:rsidRPr="00235721">
        <w:t xml:space="preserve"> with a new 40-year Article XI </w:t>
      </w:r>
      <w:r w:rsidR="00BF645D">
        <w:t xml:space="preserve">property </w:t>
      </w:r>
      <w:r w:rsidR="002E0F98" w:rsidRPr="00235721">
        <w:t xml:space="preserve">tax exemption to be coterminous with the new regulatory agreement. </w:t>
      </w:r>
      <w:r w:rsidR="00BB3C51" w:rsidRPr="00235721">
        <w:t xml:space="preserve">The </w:t>
      </w:r>
      <w:r w:rsidR="000B1375" w:rsidRPr="00235721">
        <w:t xml:space="preserve">superseding regulatory agreement </w:t>
      </w:r>
      <w:r w:rsidR="00BB3C51" w:rsidRPr="00235721">
        <w:t xml:space="preserve">would require that </w:t>
      </w:r>
      <w:r w:rsidR="008C6822" w:rsidRPr="00235721">
        <w:t>five</w:t>
      </w:r>
      <w:r w:rsidR="00BB3C51" w:rsidRPr="00235721">
        <w:t xml:space="preserve"> units be leased to formerly homeless households with incomes up to 5</w:t>
      </w:r>
      <w:r w:rsidR="000B1375" w:rsidRPr="00235721">
        <w:t xml:space="preserve">0% of </w:t>
      </w:r>
      <w:r w:rsidR="00BB3C51" w:rsidRPr="00235721">
        <w:t xml:space="preserve">Area Median Income (AMI), 18 units be leased to households with incomes up to 60% AMI, 20 units be leased to households with incomes up to 90% AMI, and </w:t>
      </w:r>
      <w:r w:rsidR="00BF645D">
        <w:t>ten</w:t>
      </w:r>
      <w:r w:rsidR="00BF645D" w:rsidRPr="00235721">
        <w:t xml:space="preserve"> </w:t>
      </w:r>
      <w:r w:rsidR="00BB3C51" w:rsidRPr="00235721">
        <w:t>units be leased to household with incomes up to 120% AMI.</w:t>
      </w:r>
    </w:p>
    <w:p w14:paraId="697A4B7C" w14:textId="77777777" w:rsidR="00230FC7" w:rsidRPr="00235721" w:rsidRDefault="00230FC7" w:rsidP="00A34EAA">
      <w:pPr>
        <w:pStyle w:val="MediumGrid1-Accent21"/>
        <w:ind w:left="0"/>
        <w:jc w:val="both"/>
        <w:rPr>
          <w:b/>
          <w:u w:val="single"/>
        </w:rPr>
      </w:pPr>
    </w:p>
    <w:p w14:paraId="422BF6E2" w14:textId="77777777" w:rsidR="00337397" w:rsidRPr="00235721" w:rsidRDefault="00337397" w:rsidP="00A34EAA">
      <w:pPr>
        <w:pStyle w:val="MediumGrid1-Accent21"/>
        <w:ind w:left="0"/>
        <w:jc w:val="both"/>
        <w:rPr>
          <w:u w:val="single"/>
        </w:rPr>
      </w:pPr>
      <w:r w:rsidRPr="00235721">
        <w:rPr>
          <w:u w:val="single"/>
        </w:rPr>
        <w:t>Summary</w:t>
      </w:r>
      <w:r w:rsidRPr="00235721">
        <w:t xml:space="preserve">: </w:t>
      </w:r>
    </w:p>
    <w:p w14:paraId="17625EBA" w14:textId="75E6F2CA" w:rsidR="00362436" w:rsidRPr="00235721" w:rsidRDefault="00362436" w:rsidP="00A34EAA">
      <w:pPr>
        <w:pStyle w:val="ListParagraph"/>
        <w:numPr>
          <w:ilvl w:val="0"/>
          <w:numId w:val="1"/>
        </w:numPr>
        <w:contextualSpacing w:val="0"/>
        <w:jc w:val="both"/>
      </w:pPr>
      <w:r w:rsidRPr="00235721">
        <w:t xml:space="preserve">Borough – </w:t>
      </w:r>
      <w:r w:rsidR="00BB3C51" w:rsidRPr="00235721">
        <w:t>Bronx</w:t>
      </w:r>
    </w:p>
    <w:p w14:paraId="304B4955" w14:textId="12649ADA" w:rsidR="0038380E" w:rsidRPr="00235721" w:rsidRDefault="00170186" w:rsidP="00A34EAA">
      <w:pPr>
        <w:pStyle w:val="ListParagraph"/>
        <w:numPr>
          <w:ilvl w:val="0"/>
          <w:numId w:val="1"/>
        </w:numPr>
        <w:contextualSpacing w:val="0"/>
        <w:jc w:val="both"/>
      </w:pPr>
      <w:r w:rsidRPr="00235721">
        <w:rPr>
          <w:color w:val="000000"/>
        </w:rPr>
        <w:t xml:space="preserve">Block </w:t>
      </w:r>
      <w:r w:rsidR="00BB3C51" w:rsidRPr="00235721">
        <w:rPr>
          <w:color w:val="000000"/>
        </w:rPr>
        <w:t>2869, Lot 87</w:t>
      </w:r>
    </w:p>
    <w:p w14:paraId="1EC3B611" w14:textId="10E5E894" w:rsidR="00362436" w:rsidRPr="00235721" w:rsidRDefault="00362436" w:rsidP="00A34EAA">
      <w:pPr>
        <w:pStyle w:val="ListParagraph"/>
        <w:numPr>
          <w:ilvl w:val="0"/>
          <w:numId w:val="1"/>
        </w:numPr>
        <w:contextualSpacing w:val="0"/>
        <w:jc w:val="both"/>
      </w:pPr>
      <w:r w:rsidRPr="00235721">
        <w:t xml:space="preserve">Council District – </w:t>
      </w:r>
      <w:r w:rsidR="00BB3C51" w:rsidRPr="00235721">
        <w:t>14</w:t>
      </w:r>
    </w:p>
    <w:p w14:paraId="552C5ACE" w14:textId="3EE6E742" w:rsidR="00362436" w:rsidRPr="00235721" w:rsidRDefault="00362436" w:rsidP="00A34EAA">
      <w:pPr>
        <w:pStyle w:val="ListParagraph"/>
        <w:numPr>
          <w:ilvl w:val="0"/>
          <w:numId w:val="1"/>
        </w:numPr>
        <w:contextualSpacing w:val="0"/>
        <w:jc w:val="both"/>
      </w:pPr>
      <w:r w:rsidRPr="00235721">
        <w:t xml:space="preserve">Council Member – </w:t>
      </w:r>
      <w:r w:rsidR="00BB3C51" w:rsidRPr="00235721">
        <w:t>Cabrera</w:t>
      </w:r>
    </w:p>
    <w:p w14:paraId="21A46642" w14:textId="77777777" w:rsidR="00362436" w:rsidRPr="00235721" w:rsidRDefault="00362436" w:rsidP="00A34EAA">
      <w:pPr>
        <w:pStyle w:val="ListParagraph"/>
        <w:numPr>
          <w:ilvl w:val="0"/>
          <w:numId w:val="1"/>
        </w:numPr>
        <w:contextualSpacing w:val="0"/>
        <w:jc w:val="both"/>
      </w:pPr>
      <w:r w:rsidRPr="00235721">
        <w:lastRenderedPageBreak/>
        <w:t>Council Member approval –Yes</w:t>
      </w:r>
    </w:p>
    <w:p w14:paraId="3AF3A826" w14:textId="4C0E2D87" w:rsidR="00362436" w:rsidRPr="00235721" w:rsidRDefault="008A34C5" w:rsidP="00A34EAA">
      <w:pPr>
        <w:pStyle w:val="ListParagraph"/>
        <w:numPr>
          <w:ilvl w:val="0"/>
          <w:numId w:val="1"/>
        </w:numPr>
        <w:contextualSpacing w:val="0"/>
        <w:jc w:val="both"/>
      </w:pPr>
      <w:r w:rsidRPr="00235721">
        <w:t xml:space="preserve">Number of buildings – </w:t>
      </w:r>
      <w:r w:rsidR="00BB3C51" w:rsidRPr="00235721">
        <w:t>1</w:t>
      </w:r>
    </w:p>
    <w:p w14:paraId="3086A028" w14:textId="18C7E043" w:rsidR="00362436" w:rsidRPr="00235721" w:rsidRDefault="00362436" w:rsidP="00A34EAA">
      <w:pPr>
        <w:pStyle w:val="ListParagraph"/>
        <w:numPr>
          <w:ilvl w:val="0"/>
          <w:numId w:val="1"/>
        </w:numPr>
        <w:contextualSpacing w:val="0"/>
        <w:jc w:val="both"/>
      </w:pPr>
      <w:r w:rsidRPr="00235721">
        <w:t xml:space="preserve">Number of units – </w:t>
      </w:r>
      <w:r w:rsidR="00BB3C51" w:rsidRPr="00235721">
        <w:t>54 (inclusive of one superintendent unit)</w:t>
      </w:r>
    </w:p>
    <w:p w14:paraId="37BAFD04" w14:textId="608E7548" w:rsidR="00362436" w:rsidRPr="00235721" w:rsidRDefault="0038380E" w:rsidP="00A34EAA">
      <w:pPr>
        <w:pStyle w:val="ListParagraph"/>
        <w:numPr>
          <w:ilvl w:val="0"/>
          <w:numId w:val="1"/>
        </w:numPr>
        <w:contextualSpacing w:val="0"/>
        <w:jc w:val="both"/>
      </w:pPr>
      <w:r w:rsidRPr="00235721">
        <w:t xml:space="preserve">Type of exemption – </w:t>
      </w:r>
      <w:r w:rsidR="00BB3C51" w:rsidRPr="00235721">
        <w:t xml:space="preserve">Article XI, full, 40 years </w:t>
      </w:r>
    </w:p>
    <w:p w14:paraId="1B895E2B" w14:textId="5A3F6638" w:rsidR="00362436" w:rsidRPr="00235721" w:rsidRDefault="00362436" w:rsidP="00A34EAA">
      <w:pPr>
        <w:pStyle w:val="ListParagraph"/>
        <w:numPr>
          <w:ilvl w:val="0"/>
          <w:numId w:val="1"/>
        </w:numPr>
        <w:contextualSpacing w:val="0"/>
        <w:jc w:val="both"/>
      </w:pPr>
      <w:r w:rsidRPr="00235721">
        <w:t xml:space="preserve">Population – </w:t>
      </w:r>
      <w:r w:rsidR="00BB3C51" w:rsidRPr="00235721">
        <w:t>affordable rental housing</w:t>
      </w:r>
    </w:p>
    <w:p w14:paraId="7FEE57AE" w14:textId="3CA41180" w:rsidR="00362436" w:rsidRPr="00235721" w:rsidRDefault="00362436" w:rsidP="00A34EAA">
      <w:pPr>
        <w:pStyle w:val="ListParagraph"/>
        <w:numPr>
          <w:ilvl w:val="0"/>
          <w:numId w:val="1"/>
        </w:numPr>
        <w:contextualSpacing w:val="0"/>
        <w:jc w:val="both"/>
      </w:pPr>
      <w:r w:rsidRPr="00235721">
        <w:t xml:space="preserve">Sponsor – </w:t>
      </w:r>
      <w:r w:rsidR="00BB3C51" w:rsidRPr="00235721">
        <w:t>UHAB HDFC, BP New Building LLC, Bronx Pro Group</w:t>
      </w:r>
    </w:p>
    <w:p w14:paraId="75A6BA06" w14:textId="52A1E29E" w:rsidR="00362436" w:rsidRPr="00235721" w:rsidRDefault="00362436" w:rsidP="00A34EAA">
      <w:pPr>
        <w:pStyle w:val="ListParagraph"/>
        <w:numPr>
          <w:ilvl w:val="0"/>
          <w:numId w:val="1"/>
        </w:numPr>
        <w:contextualSpacing w:val="0"/>
        <w:jc w:val="both"/>
      </w:pPr>
      <w:r w:rsidRPr="00235721">
        <w:t xml:space="preserve">Purpose – </w:t>
      </w:r>
      <w:r w:rsidR="00BB3C51" w:rsidRPr="00235721">
        <w:t>preservation</w:t>
      </w:r>
    </w:p>
    <w:p w14:paraId="5A65CA54" w14:textId="6A4573A6" w:rsidR="008A34C5" w:rsidRPr="00235721" w:rsidRDefault="00362436" w:rsidP="00A34EAA">
      <w:pPr>
        <w:pStyle w:val="ListParagraph"/>
        <w:numPr>
          <w:ilvl w:val="0"/>
          <w:numId w:val="1"/>
        </w:numPr>
        <w:contextualSpacing w:val="0"/>
        <w:jc w:val="both"/>
      </w:pPr>
      <w:r w:rsidRPr="00235721">
        <w:t>Cost to t</w:t>
      </w:r>
      <w:r w:rsidR="008A34C5" w:rsidRPr="00235721">
        <w:t xml:space="preserve">he city – </w:t>
      </w:r>
      <w:r w:rsidR="00BB3C51" w:rsidRPr="00235721">
        <w:t>$2.7 million</w:t>
      </w:r>
    </w:p>
    <w:p w14:paraId="3C359CF8" w14:textId="77777777" w:rsidR="00362436" w:rsidRPr="00235721" w:rsidRDefault="00362436" w:rsidP="00A34EAA">
      <w:pPr>
        <w:pStyle w:val="ListParagraph"/>
        <w:numPr>
          <w:ilvl w:val="0"/>
          <w:numId w:val="1"/>
        </w:numPr>
        <w:contextualSpacing w:val="0"/>
        <w:jc w:val="both"/>
      </w:pPr>
      <w:r w:rsidRPr="00235721">
        <w:t xml:space="preserve">Housing Code Violations </w:t>
      </w:r>
    </w:p>
    <w:p w14:paraId="6FD3B6C0" w14:textId="0DABB262" w:rsidR="00362436" w:rsidRPr="00235721" w:rsidRDefault="00362436" w:rsidP="00A34EAA">
      <w:pPr>
        <w:pStyle w:val="ListParagraph"/>
        <w:numPr>
          <w:ilvl w:val="1"/>
          <w:numId w:val="1"/>
        </w:numPr>
        <w:contextualSpacing w:val="0"/>
        <w:jc w:val="both"/>
      </w:pPr>
      <w:r w:rsidRPr="00235721">
        <w:t xml:space="preserve">Class A – </w:t>
      </w:r>
      <w:r w:rsidR="00BB3C51" w:rsidRPr="00235721">
        <w:t>4</w:t>
      </w:r>
    </w:p>
    <w:p w14:paraId="2816C9BB" w14:textId="54BD39F5" w:rsidR="00362436" w:rsidRPr="00235721" w:rsidRDefault="00362436" w:rsidP="00A34EAA">
      <w:pPr>
        <w:pStyle w:val="ListParagraph"/>
        <w:numPr>
          <w:ilvl w:val="1"/>
          <w:numId w:val="1"/>
        </w:numPr>
        <w:contextualSpacing w:val="0"/>
        <w:jc w:val="both"/>
      </w:pPr>
      <w:r w:rsidRPr="00235721">
        <w:t xml:space="preserve">Class B – </w:t>
      </w:r>
      <w:r w:rsidR="00BB3C51" w:rsidRPr="00235721">
        <w:t>4</w:t>
      </w:r>
    </w:p>
    <w:p w14:paraId="0D45C6A8" w14:textId="3E3B8657" w:rsidR="00362436" w:rsidRPr="00235721" w:rsidRDefault="00362436" w:rsidP="00A34EAA">
      <w:pPr>
        <w:pStyle w:val="ListParagraph"/>
        <w:numPr>
          <w:ilvl w:val="1"/>
          <w:numId w:val="1"/>
        </w:numPr>
        <w:contextualSpacing w:val="0"/>
        <w:jc w:val="both"/>
      </w:pPr>
      <w:r w:rsidRPr="00235721">
        <w:t xml:space="preserve">Class C – </w:t>
      </w:r>
      <w:r w:rsidR="00BB3C51" w:rsidRPr="00235721">
        <w:t>5</w:t>
      </w:r>
    </w:p>
    <w:p w14:paraId="7F023A5E" w14:textId="722437F8" w:rsidR="00E1026D" w:rsidRPr="00235721" w:rsidRDefault="00362436" w:rsidP="00A34EAA">
      <w:pPr>
        <w:pStyle w:val="ListParagraph"/>
        <w:numPr>
          <w:ilvl w:val="0"/>
          <w:numId w:val="1"/>
        </w:numPr>
        <w:contextualSpacing w:val="0"/>
        <w:jc w:val="both"/>
      </w:pPr>
      <w:r w:rsidRPr="00235721">
        <w:t xml:space="preserve">AMI target – </w:t>
      </w:r>
      <w:r w:rsidR="00BB3C51" w:rsidRPr="00235721">
        <w:t>5 units at 50%, 18 units at 60%, 20 units at 90%, and 10 units at 120%</w:t>
      </w:r>
    </w:p>
    <w:p w14:paraId="257FDDCF" w14:textId="6EE9C979" w:rsidR="00506A5B" w:rsidRPr="00235721" w:rsidRDefault="00506A5B" w:rsidP="00A34EAA">
      <w:pPr>
        <w:jc w:val="both"/>
      </w:pPr>
    </w:p>
    <w:p w14:paraId="003FB602" w14:textId="4E135C6E" w:rsidR="00191944" w:rsidRPr="00235721" w:rsidRDefault="008A34C5" w:rsidP="00A34EAA">
      <w:pPr>
        <w:jc w:val="both"/>
        <w:rPr>
          <w:b/>
          <w:u w:val="single"/>
        </w:rPr>
      </w:pPr>
      <w:r w:rsidRPr="00235721">
        <w:rPr>
          <w:b/>
          <w:u w:val="single"/>
        </w:rPr>
        <w:t>Item 2: Grace Senior Housing</w:t>
      </w:r>
    </w:p>
    <w:p w14:paraId="57CDB6A2" w14:textId="28B1DF15" w:rsidR="00191944" w:rsidRPr="00235721" w:rsidRDefault="00191944" w:rsidP="00A34EAA">
      <w:pPr>
        <w:jc w:val="both"/>
        <w:rPr>
          <w:b/>
          <w:u w:val="single"/>
        </w:rPr>
      </w:pPr>
    </w:p>
    <w:p w14:paraId="73CDCC90" w14:textId="62B0CB08" w:rsidR="00FA544D" w:rsidRPr="00235721" w:rsidRDefault="008C6822" w:rsidP="00A34EAA">
      <w:pPr>
        <w:jc w:val="both"/>
      </w:pPr>
      <w:r w:rsidRPr="00235721">
        <w:t xml:space="preserve">Grace Senior Housing is </w:t>
      </w:r>
      <w:r w:rsidR="00FA544D" w:rsidRPr="00235721">
        <w:t xml:space="preserve">a senior housing </w:t>
      </w:r>
      <w:r w:rsidR="005B4019" w:rsidRPr="00235721">
        <w:t>development</w:t>
      </w:r>
      <w:r w:rsidRPr="00235721">
        <w:t xml:space="preserve"> at 155-02 90th Avenue </w:t>
      </w:r>
      <w:r w:rsidR="00FA544D" w:rsidRPr="00235721">
        <w:t>in Jamaica, Queens</w:t>
      </w:r>
      <w:r w:rsidRPr="00235721">
        <w:t xml:space="preserve">. </w:t>
      </w:r>
      <w:r w:rsidR="00FA544D" w:rsidRPr="00235721">
        <w:t>Its 80 units include 20 studio units, 59 one-bedroom units, and one two-bedroom superintendent unit.</w:t>
      </w:r>
    </w:p>
    <w:p w14:paraId="4C7400F7" w14:textId="03E2561B" w:rsidR="00FA544D" w:rsidRPr="00235721" w:rsidRDefault="00FA544D" w:rsidP="00A34EAA">
      <w:pPr>
        <w:pStyle w:val="MediumGrid1-Accent21"/>
        <w:ind w:left="0"/>
        <w:jc w:val="both"/>
      </w:pPr>
    </w:p>
    <w:p w14:paraId="5F33477C" w14:textId="640973BC" w:rsidR="00FA544D" w:rsidRPr="00235721" w:rsidRDefault="00FA544D" w:rsidP="00A34EAA">
      <w:pPr>
        <w:pStyle w:val="MediumGrid1-Accent21"/>
        <w:ind w:left="0"/>
        <w:jc w:val="both"/>
      </w:pPr>
      <w:r w:rsidRPr="00235721">
        <w:t xml:space="preserve">The Council approved a partial 40-year Article XI </w:t>
      </w:r>
      <w:r w:rsidR="00BF645D">
        <w:t xml:space="preserve">property tax </w:t>
      </w:r>
      <w:r w:rsidRPr="00235721">
        <w:t xml:space="preserve">exemption in 1990 </w:t>
      </w:r>
      <w:r w:rsidR="00D45839" w:rsidRPr="00235721">
        <w:t xml:space="preserve">for Grace Episcopal Church and Grace Episcopal Church Jamaica Senior Citizens HDFC to subsidize </w:t>
      </w:r>
      <w:r w:rsidR="00BF645D">
        <w:t xml:space="preserve">the </w:t>
      </w:r>
      <w:r w:rsidR="00D45839" w:rsidRPr="00235721">
        <w:t xml:space="preserve">development. </w:t>
      </w:r>
      <w:r w:rsidR="008C6822" w:rsidRPr="00235721">
        <w:t>T</w:t>
      </w:r>
      <w:r w:rsidRPr="00235721">
        <w:t>he property is also under a Housing Assistance Payments (HAP) Section 8 contract, under which tenants pay only 30% of their income in rent and the U.S. Department of Housing and Urban Development (HUD) makes payments to the landlord.</w:t>
      </w:r>
      <w:r w:rsidR="008C6822" w:rsidRPr="00235721">
        <w:t xml:space="preserve"> Current tenant rents average about 16% of the HAP contract rents.</w:t>
      </w:r>
    </w:p>
    <w:p w14:paraId="5091BFEF" w14:textId="77777777" w:rsidR="00FA544D" w:rsidRPr="00235721" w:rsidRDefault="00FA544D" w:rsidP="00A34EAA">
      <w:pPr>
        <w:pStyle w:val="MediumGrid1-Accent21"/>
        <w:ind w:left="0"/>
        <w:jc w:val="both"/>
      </w:pPr>
    </w:p>
    <w:p w14:paraId="217D54C8" w14:textId="0983687D" w:rsidR="008C6822" w:rsidRPr="00235721" w:rsidRDefault="00FA544D" w:rsidP="00A34EAA">
      <w:pPr>
        <w:jc w:val="both"/>
      </w:pPr>
      <w:r w:rsidRPr="00235721">
        <w:t xml:space="preserve">The HDFC is refinancing its existing HUD mortgage and </w:t>
      </w:r>
      <w:r w:rsidR="008C6822" w:rsidRPr="00235721">
        <w:t xml:space="preserve">plans on </w:t>
      </w:r>
      <w:r w:rsidRPr="00235721">
        <w:t xml:space="preserve">using </w:t>
      </w:r>
      <w:r w:rsidR="008C6822" w:rsidRPr="00235721">
        <w:t xml:space="preserve">its </w:t>
      </w:r>
      <w:r w:rsidRPr="00235721">
        <w:t xml:space="preserve">equity to complete moderate rehabilitation to </w:t>
      </w:r>
      <w:r w:rsidR="008C6822" w:rsidRPr="00235721">
        <w:t xml:space="preserve">its </w:t>
      </w:r>
      <w:r w:rsidRPr="00235721">
        <w:t xml:space="preserve">building. HPD is requesting that the Council </w:t>
      </w:r>
      <w:r w:rsidR="008C6822" w:rsidRPr="00235721">
        <w:t xml:space="preserve">approve a new partial 40-year Article XI </w:t>
      </w:r>
      <w:r w:rsidR="00BF645D">
        <w:t xml:space="preserve">property </w:t>
      </w:r>
      <w:r w:rsidR="008C6822" w:rsidRPr="00235721">
        <w:t xml:space="preserve">tax exemption. The </w:t>
      </w:r>
      <w:r w:rsidRPr="00235721">
        <w:t xml:space="preserve">HDFC </w:t>
      </w:r>
      <w:r w:rsidR="008C6822" w:rsidRPr="00235721">
        <w:t xml:space="preserve">would </w:t>
      </w:r>
      <w:r w:rsidRPr="00235721">
        <w:t xml:space="preserve">enter into a </w:t>
      </w:r>
      <w:r w:rsidR="008C6822" w:rsidRPr="00235721">
        <w:t xml:space="preserve">new </w:t>
      </w:r>
      <w:r w:rsidRPr="00235721">
        <w:t>HPD regulatory agreement restricting the use of the development to rental housing for seniors</w:t>
      </w:r>
      <w:r w:rsidR="008C6822" w:rsidRPr="00235721">
        <w:t xml:space="preserve"> with incomes up to 50% AMI.</w:t>
      </w:r>
    </w:p>
    <w:p w14:paraId="0F7EF5CB" w14:textId="77777777" w:rsidR="00FA544D" w:rsidRPr="00235721" w:rsidRDefault="00FA544D" w:rsidP="00A34EAA">
      <w:pPr>
        <w:pStyle w:val="MediumGrid1-Accent21"/>
        <w:ind w:left="0"/>
        <w:jc w:val="both"/>
        <w:rPr>
          <w:b/>
          <w:bCs/>
          <w:color w:val="222222"/>
          <w:shd w:val="clear" w:color="auto" w:fill="FFFFFF"/>
        </w:rPr>
      </w:pPr>
    </w:p>
    <w:p w14:paraId="1A256652" w14:textId="77777777" w:rsidR="00191944" w:rsidRPr="00235721" w:rsidRDefault="00191944" w:rsidP="00A34EAA">
      <w:pPr>
        <w:pStyle w:val="MediumGrid1-Accent21"/>
        <w:ind w:left="0"/>
        <w:jc w:val="both"/>
        <w:rPr>
          <w:u w:val="single"/>
        </w:rPr>
      </w:pPr>
      <w:r w:rsidRPr="00235721">
        <w:rPr>
          <w:u w:val="single"/>
        </w:rPr>
        <w:t>Summary</w:t>
      </w:r>
      <w:r w:rsidRPr="00235721">
        <w:t xml:space="preserve">: </w:t>
      </w:r>
    </w:p>
    <w:p w14:paraId="27D30D4A" w14:textId="7328FA97" w:rsidR="00191944" w:rsidRPr="00235721" w:rsidRDefault="00191944" w:rsidP="00A34EAA">
      <w:pPr>
        <w:pStyle w:val="ListParagraph"/>
        <w:numPr>
          <w:ilvl w:val="0"/>
          <w:numId w:val="1"/>
        </w:numPr>
        <w:contextualSpacing w:val="0"/>
        <w:jc w:val="both"/>
      </w:pPr>
      <w:r w:rsidRPr="00235721">
        <w:t xml:space="preserve">Borough – </w:t>
      </w:r>
      <w:r w:rsidR="008C6822" w:rsidRPr="00235721">
        <w:t>Queens</w:t>
      </w:r>
    </w:p>
    <w:p w14:paraId="66B19DE2" w14:textId="7E7DB5E7" w:rsidR="00191944" w:rsidRPr="00235721" w:rsidRDefault="00191944" w:rsidP="00A34EAA">
      <w:pPr>
        <w:pStyle w:val="ListParagraph"/>
        <w:numPr>
          <w:ilvl w:val="0"/>
          <w:numId w:val="1"/>
        </w:numPr>
        <w:contextualSpacing w:val="0"/>
        <w:jc w:val="both"/>
      </w:pPr>
      <w:r w:rsidRPr="00235721">
        <w:rPr>
          <w:color w:val="000000"/>
        </w:rPr>
        <w:t xml:space="preserve">Block </w:t>
      </w:r>
      <w:r w:rsidR="008C6822" w:rsidRPr="00235721">
        <w:rPr>
          <w:color w:val="000000"/>
        </w:rPr>
        <w:t>9754, Lot 1</w:t>
      </w:r>
    </w:p>
    <w:p w14:paraId="4702C450" w14:textId="3CF13603" w:rsidR="00191944" w:rsidRPr="00235721" w:rsidRDefault="00191944" w:rsidP="00A34EAA">
      <w:pPr>
        <w:pStyle w:val="ListParagraph"/>
        <w:numPr>
          <w:ilvl w:val="0"/>
          <w:numId w:val="1"/>
        </w:numPr>
        <w:contextualSpacing w:val="0"/>
        <w:jc w:val="both"/>
      </w:pPr>
      <w:r w:rsidRPr="00235721">
        <w:t xml:space="preserve">Council District – </w:t>
      </w:r>
      <w:r w:rsidR="008C6822" w:rsidRPr="00235721">
        <w:t>24</w:t>
      </w:r>
    </w:p>
    <w:p w14:paraId="50320967" w14:textId="11103C90" w:rsidR="00191944" w:rsidRPr="00235721" w:rsidRDefault="00191944" w:rsidP="00A34EAA">
      <w:pPr>
        <w:pStyle w:val="ListParagraph"/>
        <w:numPr>
          <w:ilvl w:val="0"/>
          <w:numId w:val="1"/>
        </w:numPr>
        <w:contextualSpacing w:val="0"/>
        <w:jc w:val="both"/>
      </w:pPr>
      <w:r w:rsidRPr="00235721">
        <w:t xml:space="preserve">Council Member – </w:t>
      </w:r>
      <w:r w:rsidR="008C6822" w:rsidRPr="00235721">
        <w:t>Lancman</w:t>
      </w:r>
    </w:p>
    <w:p w14:paraId="2A9F942E" w14:textId="77777777" w:rsidR="00191944" w:rsidRPr="00235721" w:rsidRDefault="00191944" w:rsidP="00A34EAA">
      <w:pPr>
        <w:pStyle w:val="ListParagraph"/>
        <w:numPr>
          <w:ilvl w:val="0"/>
          <w:numId w:val="1"/>
        </w:numPr>
        <w:contextualSpacing w:val="0"/>
        <w:jc w:val="both"/>
      </w:pPr>
      <w:r w:rsidRPr="00235721">
        <w:t>Council Member approval –Yes</w:t>
      </w:r>
    </w:p>
    <w:p w14:paraId="4704616E" w14:textId="01B9458A" w:rsidR="00191944" w:rsidRPr="00235721" w:rsidRDefault="00191944" w:rsidP="00A34EAA">
      <w:pPr>
        <w:pStyle w:val="ListParagraph"/>
        <w:numPr>
          <w:ilvl w:val="0"/>
          <w:numId w:val="1"/>
        </w:numPr>
        <w:contextualSpacing w:val="0"/>
        <w:jc w:val="both"/>
      </w:pPr>
      <w:r w:rsidRPr="00235721">
        <w:t xml:space="preserve">Number of buildings – </w:t>
      </w:r>
      <w:r w:rsidR="008C6822" w:rsidRPr="00235721">
        <w:t>1</w:t>
      </w:r>
    </w:p>
    <w:p w14:paraId="0E1AA60F" w14:textId="7E64649D" w:rsidR="00191944" w:rsidRPr="00235721" w:rsidRDefault="00191944" w:rsidP="00A34EAA">
      <w:pPr>
        <w:pStyle w:val="ListParagraph"/>
        <w:numPr>
          <w:ilvl w:val="0"/>
          <w:numId w:val="1"/>
        </w:numPr>
        <w:contextualSpacing w:val="0"/>
        <w:jc w:val="both"/>
      </w:pPr>
      <w:r w:rsidRPr="00235721">
        <w:t xml:space="preserve">Number of units – </w:t>
      </w:r>
      <w:r w:rsidR="008C6822" w:rsidRPr="00235721">
        <w:t>80 (inclusive of one superintendent unit)</w:t>
      </w:r>
    </w:p>
    <w:p w14:paraId="2F6152E9" w14:textId="6D5EF508" w:rsidR="00191944" w:rsidRPr="00235721" w:rsidRDefault="00191944" w:rsidP="00A34EAA">
      <w:pPr>
        <w:pStyle w:val="ListParagraph"/>
        <w:numPr>
          <w:ilvl w:val="0"/>
          <w:numId w:val="1"/>
        </w:numPr>
        <w:contextualSpacing w:val="0"/>
        <w:jc w:val="both"/>
      </w:pPr>
      <w:r w:rsidRPr="00235721">
        <w:t xml:space="preserve">Type of exemption – </w:t>
      </w:r>
      <w:r w:rsidR="008C6822" w:rsidRPr="00235721">
        <w:t>Article XI, partial, 40 years</w:t>
      </w:r>
    </w:p>
    <w:p w14:paraId="43B676BB" w14:textId="6668578A" w:rsidR="00191944" w:rsidRPr="00235721" w:rsidRDefault="00191944" w:rsidP="00A34EAA">
      <w:pPr>
        <w:pStyle w:val="ListParagraph"/>
        <w:numPr>
          <w:ilvl w:val="0"/>
          <w:numId w:val="1"/>
        </w:numPr>
        <w:contextualSpacing w:val="0"/>
        <w:jc w:val="both"/>
      </w:pPr>
      <w:r w:rsidRPr="00235721">
        <w:t xml:space="preserve">Population – </w:t>
      </w:r>
      <w:r w:rsidR="008C6822" w:rsidRPr="00235721">
        <w:t>affordable senior rental housing</w:t>
      </w:r>
    </w:p>
    <w:p w14:paraId="49F5C5B7" w14:textId="5B795FE5" w:rsidR="00191944" w:rsidRPr="00235721" w:rsidRDefault="00191944" w:rsidP="00A34EAA">
      <w:pPr>
        <w:pStyle w:val="ListParagraph"/>
        <w:numPr>
          <w:ilvl w:val="0"/>
          <w:numId w:val="1"/>
        </w:numPr>
        <w:contextualSpacing w:val="0"/>
        <w:jc w:val="both"/>
      </w:pPr>
      <w:r w:rsidRPr="00235721">
        <w:t xml:space="preserve">Sponsor – </w:t>
      </w:r>
      <w:r w:rsidR="008C6822" w:rsidRPr="00235721">
        <w:t>Grace Episcopal Church Jamaica Senior Citizens HDFC</w:t>
      </w:r>
    </w:p>
    <w:p w14:paraId="74AED8E4" w14:textId="3DCE6D79" w:rsidR="00191944" w:rsidRPr="00235721" w:rsidRDefault="00191944" w:rsidP="00A34EAA">
      <w:pPr>
        <w:pStyle w:val="ListParagraph"/>
        <w:numPr>
          <w:ilvl w:val="0"/>
          <w:numId w:val="1"/>
        </w:numPr>
        <w:contextualSpacing w:val="0"/>
        <w:jc w:val="both"/>
      </w:pPr>
      <w:r w:rsidRPr="00235721">
        <w:t xml:space="preserve">Purpose – </w:t>
      </w:r>
      <w:r w:rsidR="00D45839" w:rsidRPr="00235721">
        <w:t>preservation</w:t>
      </w:r>
    </w:p>
    <w:p w14:paraId="72C393BE" w14:textId="47B8EBA1" w:rsidR="00191944" w:rsidRPr="00235721" w:rsidRDefault="00191944" w:rsidP="00A34EAA">
      <w:pPr>
        <w:pStyle w:val="ListParagraph"/>
        <w:numPr>
          <w:ilvl w:val="0"/>
          <w:numId w:val="1"/>
        </w:numPr>
        <w:contextualSpacing w:val="0"/>
        <w:jc w:val="both"/>
      </w:pPr>
      <w:r w:rsidRPr="00235721">
        <w:lastRenderedPageBreak/>
        <w:t xml:space="preserve">Cost to the city – </w:t>
      </w:r>
      <w:r w:rsidR="00D45839" w:rsidRPr="00235721">
        <w:t>$1.6 million</w:t>
      </w:r>
    </w:p>
    <w:p w14:paraId="5407D609" w14:textId="77777777" w:rsidR="00191944" w:rsidRPr="00235721" w:rsidRDefault="00191944" w:rsidP="00A34EAA">
      <w:pPr>
        <w:pStyle w:val="ListParagraph"/>
        <w:numPr>
          <w:ilvl w:val="0"/>
          <w:numId w:val="1"/>
        </w:numPr>
        <w:contextualSpacing w:val="0"/>
        <w:jc w:val="both"/>
      </w:pPr>
      <w:r w:rsidRPr="00235721">
        <w:t xml:space="preserve">Housing Code Violations </w:t>
      </w:r>
    </w:p>
    <w:p w14:paraId="570BBB0C" w14:textId="09163814" w:rsidR="00191944" w:rsidRPr="00235721" w:rsidRDefault="00191944" w:rsidP="00A34EAA">
      <w:pPr>
        <w:pStyle w:val="ListParagraph"/>
        <w:numPr>
          <w:ilvl w:val="1"/>
          <w:numId w:val="1"/>
        </w:numPr>
        <w:contextualSpacing w:val="0"/>
        <w:jc w:val="both"/>
      </w:pPr>
      <w:r w:rsidRPr="00235721">
        <w:t xml:space="preserve">Class B – </w:t>
      </w:r>
      <w:r w:rsidR="00D45839" w:rsidRPr="00235721">
        <w:t>1</w:t>
      </w:r>
      <w:r w:rsidRPr="00235721">
        <w:t xml:space="preserve"> </w:t>
      </w:r>
    </w:p>
    <w:p w14:paraId="78139A24" w14:textId="6C90F494" w:rsidR="00191944" w:rsidRPr="00235721" w:rsidRDefault="00191944" w:rsidP="00A34EAA">
      <w:pPr>
        <w:pStyle w:val="ListParagraph"/>
        <w:numPr>
          <w:ilvl w:val="0"/>
          <w:numId w:val="1"/>
        </w:numPr>
        <w:contextualSpacing w:val="0"/>
        <w:jc w:val="both"/>
      </w:pPr>
      <w:r w:rsidRPr="00235721">
        <w:t xml:space="preserve">AMI target – </w:t>
      </w:r>
      <w:r w:rsidR="00D45839" w:rsidRPr="00235721">
        <w:t>50% of AMI</w:t>
      </w:r>
    </w:p>
    <w:p w14:paraId="7AD29100" w14:textId="77777777" w:rsidR="00191944" w:rsidRPr="00235721" w:rsidRDefault="00191944" w:rsidP="00A34EAA">
      <w:pPr>
        <w:jc w:val="both"/>
      </w:pPr>
    </w:p>
    <w:p w14:paraId="19B1C10E" w14:textId="4AEDE274" w:rsidR="008A34C5" w:rsidRPr="00235721" w:rsidRDefault="008A34C5" w:rsidP="00A34EAA">
      <w:pPr>
        <w:jc w:val="both"/>
        <w:rPr>
          <w:b/>
          <w:u w:val="single"/>
        </w:rPr>
      </w:pPr>
      <w:r w:rsidRPr="00235721">
        <w:rPr>
          <w:b/>
          <w:u w:val="single"/>
        </w:rPr>
        <w:t>Item 3: HP Morningside Heights Portfolio HDFC.YR15.FY20</w:t>
      </w:r>
    </w:p>
    <w:p w14:paraId="2D5DEEE1" w14:textId="0D2BCC18" w:rsidR="00191944" w:rsidRPr="00235721" w:rsidRDefault="00191944" w:rsidP="00A34EAA">
      <w:pPr>
        <w:jc w:val="both"/>
        <w:rPr>
          <w:b/>
          <w:u w:val="single"/>
        </w:rPr>
      </w:pPr>
    </w:p>
    <w:p w14:paraId="4E4C2E97" w14:textId="028A53AE" w:rsidR="00AC2777" w:rsidRPr="00235721" w:rsidRDefault="00D45839" w:rsidP="00A34EAA">
      <w:pPr>
        <w:jc w:val="both"/>
      </w:pPr>
      <w:r w:rsidRPr="00235721">
        <w:t xml:space="preserve">Black Spruce Management LLC proposes to acquire </w:t>
      </w:r>
      <w:r w:rsidR="00BD4B32" w:rsidRPr="00235721">
        <w:t xml:space="preserve">a portfolio </w:t>
      </w:r>
      <w:r w:rsidR="00AC2777" w:rsidRPr="00235721">
        <w:t xml:space="preserve">of 48 buildings in Morningside Heights. </w:t>
      </w:r>
      <w:r w:rsidR="00BD4B32" w:rsidRPr="00235721">
        <w:t xml:space="preserve">The </w:t>
      </w:r>
      <w:r w:rsidR="00AC2777" w:rsidRPr="00235721">
        <w:t xml:space="preserve">portfolio’s </w:t>
      </w:r>
      <w:r w:rsidR="00BD4B32" w:rsidRPr="00235721">
        <w:t xml:space="preserve">679 residential units consist of </w:t>
      </w:r>
      <w:r w:rsidR="00486A1C">
        <w:t>eight</w:t>
      </w:r>
      <w:r w:rsidR="00486A1C" w:rsidRPr="00235721">
        <w:t xml:space="preserve"> </w:t>
      </w:r>
      <w:r w:rsidR="00BD4B32" w:rsidRPr="00235721">
        <w:t xml:space="preserve">studios, 167 one-bedroom units, 258 two-bedrooms units, 191 three-bedroom units, 50 four-bedroom units, </w:t>
      </w:r>
      <w:r w:rsidR="00486A1C">
        <w:t>five</w:t>
      </w:r>
      <w:r w:rsidR="00BD4B32" w:rsidRPr="00235721">
        <w:t xml:space="preserve"> five-bedroom units, and </w:t>
      </w:r>
      <w:r w:rsidR="00486A1C">
        <w:t>three</w:t>
      </w:r>
      <w:r w:rsidR="00486A1C" w:rsidRPr="00235721">
        <w:t xml:space="preserve"> </w:t>
      </w:r>
      <w:r w:rsidR="00BD4B32" w:rsidRPr="00235721">
        <w:t xml:space="preserve">superintendent units. </w:t>
      </w:r>
      <w:r w:rsidR="00AC2777" w:rsidRPr="00235721">
        <w:t>There are also 13 commercial units.</w:t>
      </w:r>
    </w:p>
    <w:p w14:paraId="2A6D923A" w14:textId="7ACD2F54" w:rsidR="00BD4B32" w:rsidRPr="00235721" w:rsidRDefault="00BD4B32" w:rsidP="00A34EAA">
      <w:pPr>
        <w:jc w:val="both"/>
      </w:pPr>
    </w:p>
    <w:p w14:paraId="16A56180" w14:textId="22D4ED33" w:rsidR="00BD4B32" w:rsidRPr="00235721" w:rsidRDefault="00BD4B32" w:rsidP="00A34EAA">
      <w:pPr>
        <w:jc w:val="both"/>
      </w:pPr>
      <w:r w:rsidRPr="00235721">
        <w:t xml:space="preserve">Black Spruce LLC </w:t>
      </w:r>
      <w:r w:rsidR="00A25393" w:rsidRPr="00235721">
        <w:t>would</w:t>
      </w:r>
      <w:r w:rsidRPr="00235721">
        <w:t xml:space="preserve"> control the portfolio through five</w:t>
      </w:r>
      <w:r w:rsidR="00486A1C">
        <w:t xml:space="preserve"> </w:t>
      </w:r>
      <w:r w:rsidRPr="00235721">
        <w:t>single</w:t>
      </w:r>
      <w:r w:rsidR="00486A1C">
        <w:t>-</w:t>
      </w:r>
      <w:r w:rsidRPr="00235721">
        <w:t>purpose entities</w:t>
      </w:r>
      <w:bookmarkStart w:id="1" w:name="_Hlk32916509"/>
      <w:r w:rsidR="00486A1C">
        <w:t>:</w:t>
      </w:r>
      <w:r w:rsidRPr="00235721">
        <w:t xml:space="preserve"> </w:t>
      </w:r>
      <w:bookmarkEnd w:id="1"/>
      <w:r w:rsidRPr="00235721">
        <w:t>Columbus Affordable Housing LLC, 109</w:t>
      </w:r>
      <w:r w:rsidRPr="00235721">
        <w:rPr>
          <w:vertAlign w:val="superscript"/>
        </w:rPr>
        <w:t>th</w:t>
      </w:r>
      <w:r w:rsidRPr="00235721">
        <w:t xml:space="preserve"> Affordable Housing LLC, 114</w:t>
      </w:r>
      <w:r w:rsidRPr="00235721">
        <w:rPr>
          <w:vertAlign w:val="superscript"/>
        </w:rPr>
        <w:t>th</w:t>
      </w:r>
      <w:r w:rsidRPr="00235721">
        <w:t xml:space="preserve"> Affordable Housing LLC, 115</w:t>
      </w:r>
      <w:r w:rsidRPr="00235721">
        <w:rPr>
          <w:vertAlign w:val="superscript"/>
        </w:rPr>
        <w:t>th</w:t>
      </w:r>
      <w:r w:rsidRPr="00235721">
        <w:t xml:space="preserve"> Affordable Housing LLC, and Amsterdam Affordable Housing LLC (collectively, the LLCs)</w:t>
      </w:r>
      <w:r w:rsidR="00AC2777" w:rsidRPr="00235721">
        <w:t xml:space="preserve">. </w:t>
      </w:r>
      <w:r w:rsidRPr="00235721">
        <w:t xml:space="preserve">HP Morningside Heights Portfolio HDFC </w:t>
      </w:r>
      <w:r w:rsidR="00A25393" w:rsidRPr="00235721">
        <w:t>would</w:t>
      </w:r>
      <w:r w:rsidRPr="00235721">
        <w:t xml:space="preserve"> be the legal owner.</w:t>
      </w:r>
    </w:p>
    <w:p w14:paraId="2956F9A5" w14:textId="44D11E74" w:rsidR="00BD4B32" w:rsidRPr="00235721" w:rsidRDefault="00BD4B32" w:rsidP="00A34EAA">
      <w:pPr>
        <w:jc w:val="both"/>
      </w:pPr>
    </w:p>
    <w:p w14:paraId="315766FD" w14:textId="6CEDD7BA" w:rsidR="00A90144" w:rsidRPr="00235721" w:rsidRDefault="00AC2777" w:rsidP="00A34EAA">
      <w:pPr>
        <w:jc w:val="both"/>
      </w:pPr>
      <w:r w:rsidRPr="00235721">
        <w:t xml:space="preserve">HPD is requesting that the Council approve a partial 40-year Article XI </w:t>
      </w:r>
      <w:r w:rsidR="00486A1C">
        <w:t xml:space="preserve">property </w:t>
      </w:r>
      <w:r w:rsidRPr="00235721">
        <w:t xml:space="preserve">tax exemption. </w:t>
      </w:r>
      <w:r w:rsidR="00A90144" w:rsidRPr="00235721">
        <w:t>Currently, the portfolio has 33 rent</w:t>
      </w:r>
      <w:r w:rsidR="00486A1C">
        <w:t>-</w:t>
      </w:r>
      <w:r w:rsidR="00A90144" w:rsidRPr="00235721">
        <w:t>controlled units, 381 rent</w:t>
      </w:r>
      <w:r w:rsidR="00486A1C">
        <w:t>-</w:t>
      </w:r>
      <w:r w:rsidR="00A90144" w:rsidRPr="00235721">
        <w:t>stabilized units</w:t>
      </w:r>
      <w:r w:rsidR="00486A1C">
        <w:t>,</w:t>
      </w:r>
      <w:r w:rsidR="00A90144" w:rsidRPr="00235721">
        <w:t xml:space="preserve"> and 262 market rate units. Following closing, the HDFC</w:t>
      </w:r>
      <w:r w:rsidR="00486A1C">
        <w:t>,</w:t>
      </w:r>
      <w:r w:rsidR="00A90144" w:rsidRPr="00235721">
        <w:t xml:space="preserve"> the LLCs</w:t>
      </w:r>
      <w:r w:rsidR="00486A1C">
        <w:t>, and HPD</w:t>
      </w:r>
      <w:r w:rsidR="00A90144" w:rsidRPr="00235721">
        <w:t xml:space="preserve"> would enter into regulatory agreements that </w:t>
      </w:r>
      <w:r w:rsidR="00A25393" w:rsidRPr="00235721">
        <w:t>would</w:t>
      </w:r>
      <w:r w:rsidR="00A90144" w:rsidRPr="00235721">
        <w:t xml:space="preserve"> require stabilization of 97 of the market rate units and which would require that 54 units be leased to households with incomes up to 30% of AMI, 168 units be leased to households with incomes up to 50% AMI, 72 units be leased to households with incomes up to 80% AMI, 210 units be leased to households with incomes up to 100% AMI, seven units be leased to households with incomes up to 110% AMI, </w:t>
      </w:r>
      <w:r w:rsidR="000E02D6" w:rsidRPr="00235721">
        <w:t xml:space="preserve">and that </w:t>
      </w:r>
      <w:r w:rsidR="00A90144" w:rsidRPr="00235721">
        <w:t>165 units</w:t>
      </w:r>
      <w:r w:rsidRPr="00235721">
        <w:t xml:space="preserve"> be market rate</w:t>
      </w:r>
      <w:r w:rsidR="000E02D6" w:rsidRPr="00235721">
        <w:t>.</w:t>
      </w:r>
    </w:p>
    <w:p w14:paraId="7F41E82F" w14:textId="77777777" w:rsidR="00D45839" w:rsidRPr="00235721" w:rsidRDefault="00D45839" w:rsidP="00A34EAA">
      <w:pPr>
        <w:jc w:val="both"/>
        <w:rPr>
          <w:b/>
          <w:u w:val="single"/>
        </w:rPr>
      </w:pPr>
    </w:p>
    <w:p w14:paraId="73728862" w14:textId="77777777" w:rsidR="00191944" w:rsidRPr="00235721" w:rsidRDefault="00191944" w:rsidP="00A34EAA">
      <w:pPr>
        <w:pStyle w:val="MediumGrid1-Accent21"/>
        <w:ind w:left="0"/>
        <w:jc w:val="both"/>
        <w:rPr>
          <w:u w:val="single"/>
        </w:rPr>
      </w:pPr>
      <w:r w:rsidRPr="00235721">
        <w:rPr>
          <w:u w:val="single"/>
        </w:rPr>
        <w:t>Summary</w:t>
      </w:r>
      <w:r w:rsidRPr="00235721">
        <w:t xml:space="preserve">: </w:t>
      </w:r>
    </w:p>
    <w:p w14:paraId="0BE706E0" w14:textId="5BC31B50" w:rsidR="00191944" w:rsidRPr="00235721" w:rsidRDefault="00191944" w:rsidP="00A34EAA">
      <w:pPr>
        <w:pStyle w:val="ListParagraph"/>
        <w:numPr>
          <w:ilvl w:val="0"/>
          <w:numId w:val="1"/>
        </w:numPr>
        <w:contextualSpacing w:val="0"/>
        <w:jc w:val="both"/>
      </w:pPr>
      <w:r w:rsidRPr="00235721">
        <w:t xml:space="preserve">Borough – </w:t>
      </w:r>
      <w:r w:rsidR="00AC2777" w:rsidRPr="00235721">
        <w:t>Manhattan</w:t>
      </w:r>
    </w:p>
    <w:p w14:paraId="38FF68D0" w14:textId="103DAF66" w:rsidR="00191944" w:rsidRPr="00235721" w:rsidRDefault="00191944" w:rsidP="00A34EAA">
      <w:pPr>
        <w:pStyle w:val="ListParagraph"/>
        <w:numPr>
          <w:ilvl w:val="0"/>
          <w:numId w:val="1"/>
        </w:numPr>
        <w:contextualSpacing w:val="0"/>
        <w:jc w:val="both"/>
      </w:pPr>
      <w:r w:rsidRPr="00235721">
        <w:rPr>
          <w:color w:val="000000"/>
        </w:rPr>
        <w:t xml:space="preserve">Block </w:t>
      </w:r>
      <w:r w:rsidR="00AC2777" w:rsidRPr="00235721">
        <w:rPr>
          <w:color w:val="000000"/>
        </w:rPr>
        <w:t>1831, Lots 8, 9, 13, 14, 18, and 121; Block 1848, Lots 4, 5, 7, 8, 9, 10, 11, 12, 13, 14, 15, 17 and 18; Block 1860, Lots 31, 32, and 33; Block 1861, Lots 59, 60, and 61; Block 1862, Lot 2; Block 1863, Lots 45, 46, 54, 55, and 56; Block 1880, Lots 37, 39, 42, and 44; Block 1881, Lots 7, 8, 9, 10, 11, 12, 15, 19, 24, 25, 26, 27, and 28</w:t>
      </w:r>
    </w:p>
    <w:p w14:paraId="698FEA05" w14:textId="09712118" w:rsidR="00AC2777" w:rsidRPr="00235721" w:rsidRDefault="00191944" w:rsidP="00A34EAA">
      <w:pPr>
        <w:pStyle w:val="ListParagraph"/>
        <w:numPr>
          <w:ilvl w:val="0"/>
          <w:numId w:val="1"/>
        </w:numPr>
        <w:contextualSpacing w:val="0"/>
        <w:jc w:val="both"/>
      </w:pPr>
      <w:r w:rsidRPr="00235721">
        <w:t>Council District</w:t>
      </w:r>
      <w:r w:rsidR="00AC2777" w:rsidRPr="00235721">
        <w:t>s</w:t>
      </w:r>
      <w:r w:rsidRPr="00235721">
        <w:t xml:space="preserve"> –</w:t>
      </w:r>
      <w:r w:rsidR="00AC2777" w:rsidRPr="00235721">
        <w:t xml:space="preserve"> 7 and 9</w:t>
      </w:r>
    </w:p>
    <w:p w14:paraId="67FB3EB0" w14:textId="395855B9" w:rsidR="00191944" w:rsidRPr="00235721" w:rsidRDefault="00191944" w:rsidP="00A34EAA">
      <w:pPr>
        <w:pStyle w:val="ListParagraph"/>
        <w:numPr>
          <w:ilvl w:val="0"/>
          <w:numId w:val="1"/>
        </w:numPr>
        <w:contextualSpacing w:val="0"/>
        <w:jc w:val="both"/>
      </w:pPr>
      <w:r w:rsidRPr="00235721">
        <w:t>Council Member</w:t>
      </w:r>
      <w:r w:rsidR="00AC2777" w:rsidRPr="00235721">
        <w:t>s</w:t>
      </w:r>
      <w:r w:rsidRPr="00235721">
        <w:t xml:space="preserve"> – </w:t>
      </w:r>
      <w:r w:rsidR="00AC2777" w:rsidRPr="00235721">
        <w:t>Levine and Perkins</w:t>
      </w:r>
    </w:p>
    <w:p w14:paraId="2CA0CEB0" w14:textId="77777777" w:rsidR="00191944" w:rsidRPr="00235721" w:rsidRDefault="00191944" w:rsidP="00A34EAA">
      <w:pPr>
        <w:pStyle w:val="ListParagraph"/>
        <w:numPr>
          <w:ilvl w:val="0"/>
          <w:numId w:val="1"/>
        </w:numPr>
        <w:contextualSpacing w:val="0"/>
        <w:jc w:val="both"/>
      </w:pPr>
      <w:r w:rsidRPr="00235721">
        <w:t>Council Member approval –Yes</w:t>
      </w:r>
    </w:p>
    <w:p w14:paraId="30260D3B" w14:textId="5D22885E" w:rsidR="00191944" w:rsidRPr="00235721" w:rsidRDefault="00191944" w:rsidP="00A34EAA">
      <w:pPr>
        <w:pStyle w:val="ListParagraph"/>
        <w:numPr>
          <w:ilvl w:val="0"/>
          <w:numId w:val="1"/>
        </w:numPr>
        <w:contextualSpacing w:val="0"/>
        <w:jc w:val="both"/>
      </w:pPr>
      <w:r w:rsidRPr="00235721">
        <w:t xml:space="preserve">Number of buildings – </w:t>
      </w:r>
      <w:r w:rsidR="00AC2777" w:rsidRPr="00235721">
        <w:t>48</w:t>
      </w:r>
    </w:p>
    <w:p w14:paraId="3ED65B5D" w14:textId="66C8C682" w:rsidR="00191944" w:rsidRPr="00235721" w:rsidRDefault="00191944" w:rsidP="00A34EAA">
      <w:pPr>
        <w:pStyle w:val="ListParagraph"/>
        <w:numPr>
          <w:ilvl w:val="0"/>
          <w:numId w:val="1"/>
        </w:numPr>
        <w:contextualSpacing w:val="0"/>
        <w:jc w:val="both"/>
      </w:pPr>
      <w:r w:rsidRPr="00235721">
        <w:t xml:space="preserve">Number of units – </w:t>
      </w:r>
      <w:r w:rsidR="00AC2777" w:rsidRPr="00235721">
        <w:t>679</w:t>
      </w:r>
    </w:p>
    <w:p w14:paraId="407BCAD6" w14:textId="498F810E" w:rsidR="00191944" w:rsidRPr="00235721" w:rsidRDefault="00191944" w:rsidP="00A34EAA">
      <w:pPr>
        <w:pStyle w:val="ListParagraph"/>
        <w:numPr>
          <w:ilvl w:val="0"/>
          <w:numId w:val="1"/>
        </w:numPr>
        <w:contextualSpacing w:val="0"/>
        <w:jc w:val="both"/>
      </w:pPr>
      <w:r w:rsidRPr="00235721">
        <w:t xml:space="preserve">Type of exemption – </w:t>
      </w:r>
      <w:r w:rsidR="00AC2777" w:rsidRPr="00235721">
        <w:t>Article XI, partial, 40-year</w:t>
      </w:r>
    </w:p>
    <w:p w14:paraId="7EFE9EAA" w14:textId="1C624EAE" w:rsidR="00AC2777" w:rsidRPr="00235721" w:rsidRDefault="00191944" w:rsidP="00A34EAA">
      <w:pPr>
        <w:pStyle w:val="ListParagraph"/>
        <w:numPr>
          <w:ilvl w:val="0"/>
          <w:numId w:val="1"/>
        </w:numPr>
        <w:contextualSpacing w:val="0"/>
        <w:jc w:val="both"/>
      </w:pPr>
      <w:r w:rsidRPr="00235721">
        <w:t>Population –</w:t>
      </w:r>
      <w:r w:rsidR="00AC2777" w:rsidRPr="00235721">
        <w:t>affordable rental housing</w:t>
      </w:r>
    </w:p>
    <w:p w14:paraId="0919C9A3" w14:textId="54AA789F" w:rsidR="00AC2777" w:rsidRPr="00235721" w:rsidRDefault="00AC2777" w:rsidP="00A34EAA">
      <w:pPr>
        <w:pStyle w:val="ListParagraph"/>
        <w:numPr>
          <w:ilvl w:val="0"/>
          <w:numId w:val="1"/>
        </w:numPr>
        <w:contextualSpacing w:val="0"/>
        <w:jc w:val="both"/>
      </w:pPr>
      <w:r w:rsidRPr="00235721">
        <w:t>Sponsor – Black Spruce</w:t>
      </w:r>
      <w:r w:rsidR="00A1521F" w:rsidRPr="00235721">
        <w:t xml:space="preserve"> Management</w:t>
      </w:r>
      <w:r w:rsidRPr="00235721">
        <w:t xml:space="preserve"> LLC, Columbus Affordable Housing LLC, 109th Affordable Housing LLC, 114th Affordable Housing LLC,115th Affordable Housing LLC, and Amsterdam Affordable Housing LLC, HP Morningside Heights Portfolio HDFC, </w:t>
      </w:r>
      <w:proofErr w:type="spellStart"/>
      <w:r w:rsidRPr="00235721">
        <w:t>Nieuw</w:t>
      </w:r>
      <w:proofErr w:type="spellEnd"/>
      <w:r w:rsidRPr="00235721">
        <w:t xml:space="preserve"> Amsterdam Property Management LLC</w:t>
      </w:r>
    </w:p>
    <w:p w14:paraId="3D5918A7" w14:textId="77777777" w:rsidR="00AC2777" w:rsidRPr="00235721" w:rsidRDefault="00AC2777" w:rsidP="00A34EAA">
      <w:pPr>
        <w:pStyle w:val="ListParagraph"/>
        <w:numPr>
          <w:ilvl w:val="0"/>
          <w:numId w:val="1"/>
        </w:numPr>
        <w:contextualSpacing w:val="0"/>
        <w:jc w:val="both"/>
      </w:pPr>
      <w:r w:rsidRPr="00235721">
        <w:t>Purpose – preservation</w:t>
      </w:r>
    </w:p>
    <w:p w14:paraId="68215B97" w14:textId="020C7325" w:rsidR="00191944" w:rsidRPr="00235721" w:rsidRDefault="00AC2777" w:rsidP="00A34EAA">
      <w:pPr>
        <w:pStyle w:val="ListParagraph"/>
        <w:numPr>
          <w:ilvl w:val="0"/>
          <w:numId w:val="1"/>
        </w:numPr>
        <w:contextualSpacing w:val="0"/>
        <w:jc w:val="both"/>
      </w:pPr>
      <w:r w:rsidRPr="00235721">
        <w:t>Cost to the city – $29.2 million</w:t>
      </w:r>
    </w:p>
    <w:p w14:paraId="5658EA58" w14:textId="77777777" w:rsidR="00191944" w:rsidRPr="00235721" w:rsidRDefault="00191944" w:rsidP="00A34EAA">
      <w:pPr>
        <w:pStyle w:val="ListParagraph"/>
        <w:numPr>
          <w:ilvl w:val="0"/>
          <w:numId w:val="1"/>
        </w:numPr>
        <w:contextualSpacing w:val="0"/>
        <w:jc w:val="both"/>
      </w:pPr>
      <w:r w:rsidRPr="00235721">
        <w:t xml:space="preserve">Housing Code Violations </w:t>
      </w:r>
    </w:p>
    <w:p w14:paraId="2C231374" w14:textId="2F0E01BE" w:rsidR="00191944" w:rsidRPr="00235721" w:rsidRDefault="00191944" w:rsidP="00A34EAA">
      <w:pPr>
        <w:pStyle w:val="ListParagraph"/>
        <w:numPr>
          <w:ilvl w:val="1"/>
          <w:numId w:val="1"/>
        </w:numPr>
        <w:contextualSpacing w:val="0"/>
        <w:jc w:val="both"/>
      </w:pPr>
      <w:r w:rsidRPr="00235721">
        <w:t xml:space="preserve">Class A – </w:t>
      </w:r>
      <w:r w:rsidR="00AC2777" w:rsidRPr="00235721">
        <w:t>23</w:t>
      </w:r>
    </w:p>
    <w:p w14:paraId="58AE08AE" w14:textId="25613054" w:rsidR="00191944" w:rsidRPr="00235721" w:rsidRDefault="00191944" w:rsidP="00A34EAA">
      <w:pPr>
        <w:pStyle w:val="ListParagraph"/>
        <w:numPr>
          <w:ilvl w:val="1"/>
          <w:numId w:val="1"/>
        </w:numPr>
        <w:contextualSpacing w:val="0"/>
        <w:jc w:val="both"/>
      </w:pPr>
      <w:r w:rsidRPr="00235721">
        <w:t xml:space="preserve">Class B – </w:t>
      </w:r>
      <w:r w:rsidR="00AC2777" w:rsidRPr="00235721">
        <w:t>59</w:t>
      </w:r>
    </w:p>
    <w:p w14:paraId="278FD640" w14:textId="3005A84B" w:rsidR="00191944" w:rsidRPr="00235721" w:rsidRDefault="00191944" w:rsidP="00A34EAA">
      <w:pPr>
        <w:pStyle w:val="ListParagraph"/>
        <w:numPr>
          <w:ilvl w:val="1"/>
          <w:numId w:val="1"/>
        </w:numPr>
        <w:contextualSpacing w:val="0"/>
        <w:jc w:val="both"/>
      </w:pPr>
      <w:r w:rsidRPr="00235721">
        <w:t xml:space="preserve">Class C – </w:t>
      </w:r>
      <w:r w:rsidR="00AC2777" w:rsidRPr="00235721">
        <w:t>20</w:t>
      </w:r>
    </w:p>
    <w:p w14:paraId="12374EAF" w14:textId="43395A20" w:rsidR="00191944" w:rsidRPr="00235721" w:rsidRDefault="00191944" w:rsidP="00A34EAA">
      <w:pPr>
        <w:pStyle w:val="ListParagraph"/>
        <w:numPr>
          <w:ilvl w:val="0"/>
          <w:numId w:val="1"/>
        </w:numPr>
        <w:jc w:val="both"/>
      </w:pPr>
      <w:r w:rsidRPr="00235721">
        <w:t xml:space="preserve">AMI target – </w:t>
      </w:r>
      <w:r w:rsidR="00AC2777" w:rsidRPr="00235721">
        <w:t xml:space="preserve">54 units at 30% AMI, 168 units at 50% AMI, 72 units at 80% AMI, 210 units at 100% AMI, 7 units at 110% AMI, 165 units at market rate, and </w:t>
      </w:r>
      <w:r w:rsidR="00326EF2">
        <w:t>three</w:t>
      </w:r>
      <w:r w:rsidR="00AC2777" w:rsidRPr="00235721">
        <w:t xml:space="preserve"> </w:t>
      </w:r>
      <w:r w:rsidR="00486A1C">
        <w:t xml:space="preserve">superintendent </w:t>
      </w:r>
      <w:r w:rsidR="00AC2777" w:rsidRPr="00235721">
        <w:t xml:space="preserve">units </w:t>
      </w:r>
    </w:p>
    <w:p w14:paraId="45A5FD3F" w14:textId="77777777" w:rsidR="001F723E" w:rsidRPr="00235721" w:rsidRDefault="001F723E" w:rsidP="00A34EAA">
      <w:pPr>
        <w:pStyle w:val="ListParagraph"/>
        <w:jc w:val="both"/>
      </w:pPr>
    </w:p>
    <w:p w14:paraId="33E37320" w14:textId="24C0C44C" w:rsidR="008A34C5" w:rsidRPr="00235721" w:rsidRDefault="008A34C5" w:rsidP="00A34EAA">
      <w:pPr>
        <w:jc w:val="both"/>
        <w:rPr>
          <w:b/>
          <w:u w:val="single"/>
        </w:rPr>
      </w:pPr>
      <w:r w:rsidRPr="00235721">
        <w:rPr>
          <w:b/>
          <w:u w:val="single"/>
        </w:rPr>
        <w:t>Item 4: Turin House</w:t>
      </w:r>
    </w:p>
    <w:p w14:paraId="125E8AEC" w14:textId="79E6A2A9" w:rsidR="00191944" w:rsidRPr="00235721" w:rsidRDefault="00191944" w:rsidP="00A34EAA">
      <w:pPr>
        <w:jc w:val="both"/>
      </w:pPr>
    </w:p>
    <w:p w14:paraId="1FFB39AA" w14:textId="2B526C20" w:rsidR="001F723E" w:rsidRPr="00235721" w:rsidRDefault="001F723E" w:rsidP="00A34EAA">
      <w:pPr>
        <w:jc w:val="both"/>
      </w:pPr>
      <w:r w:rsidRPr="00235721">
        <w:t>Turin House is a 19-story limited-equity HDFC cooperative at 609 Columbus Avenue</w:t>
      </w:r>
      <w:r w:rsidR="0037150D" w:rsidRPr="00235721">
        <w:t xml:space="preserve"> on the Upper West Side</w:t>
      </w:r>
      <w:r w:rsidRPr="00235721">
        <w:t>. Its</w:t>
      </w:r>
      <w:r w:rsidR="001908D6" w:rsidRPr="00235721">
        <w:t xml:space="preserve"> </w:t>
      </w:r>
      <w:r w:rsidRPr="00235721">
        <w:t>189 residential units consist of nine studio units, 45 one-bedroom units, 90 two-bedroom units (inclusive of one superintendent unit), 36 three-bedroom apartments, and nine four-bedroom apartments.</w:t>
      </w:r>
      <w:r w:rsidR="001908D6" w:rsidRPr="00235721">
        <w:t xml:space="preserve"> There are also two commercial units and 48 residential parking spaces (inclusive of one superintendent parking space).</w:t>
      </w:r>
    </w:p>
    <w:p w14:paraId="3D1C34F7" w14:textId="6E6F42F0" w:rsidR="001F723E" w:rsidRPr="00235721" w:rsidRDefault="001F723E" w:rsidP="00A34EAA">
      <w:pPr>
        <w:jc w:val="both"/>
      </w:pPr>
    </w:p>
    <w:p w14:paraId="6463D872" w14:textId="54A4A038" w:rsidR="004348A8" w:rsidRPr="00235721" w:rsidRDefault="001908D6" w:rsidP="00A34EAA">
      <w:pPr>
        <w:jc w:val="both"/>
      </w:pPr>
      <w:r w:rsidRPr="00235721">
        <w:t xml:space="preserve">In December 2018, the HDFC entered into a 40-year partial Article XI </w:t>
      </w:r>
      <w:r w:rsidR="00486A1C">
        <w:t xml:space="preserve">property </w:t>
      </w:r>
      <w:r w:rsidRPr="00235721">
        <w:t>tax exemption, retroactive to the October 2009 expiration date of a previous tax exemption. A physical needs assessment to develop the scope of work for a moderate rehabilitation revealed more extensive capital requirements</w:t>
      </w:r>
      <w:r w:rsidR="00486A1C">
        <w:t xml:space="preserve"> than initially assumed</w:t>
      </w:r>
      <w:r w:rsidRPr="00235721">
        <w:t xml:space="preserve">. The </w:t>
      </w:r>
      <w:r w:rsidR="00846B5D" w:rsidRPr="00235721">
        <w:t>HDFC</w:t>
      </w:r>
      <w:r w:rsidRPr="00235721">
        <w:t xml:space="preserve"> </w:t>
      </w:r>
      <w:r w:rsidR="00A25393" w:rsidRPr="00235721">
        <w:t>would</w:t>
      </w:r>
      <w:r w:rsidRPr="00235721">
        <w:t xml:space="preserve"> finance the rehabilitation of the </w:t>
      </w:r>
      <w:r w:rsidR="00486A1C">
        <w:t>property</w:t>
      </w:r>
      <w:r w:rsidRPr="00235721">
        <w:t xml:space="preserve"> with loans from the New York City Housing Development Corporation (HDC) and HPD. </w:t>
      </w:r>
      <w:r w:rsidR="004348A8" w:rsidRPr="00235721">
        <w:t>A full Article XI exemption, effective on the signing of the regulatory agreement</w:t>
      </w:r>
      <w:r w:rsidR="00486A1C">
        <w:t>,</w:t>
      </w:r>
      <w:r w:rsidR="004348A8" w:rsidRPr="00235721">
        <w:t xml:space="preserve"> </w:t>
      </w:r>
      <w:r w:rsidR="00846B5D" w:rsidRPr="00235721">
        <w:t>would</w:t>
      </w:r>
      <w:r w:rsidR="004348A8" w:rsidRPr="00235721">
        <w:t xml:space="preserve"> allow the project to leverage a larger HDC first mortgage and decrease the amount of City </w:t>
      </w:r>
      <w:r w:rsidR="00486A1C">
        <w:t>c</w:t>
      </w:r>
      <w:r w:rsidR="004348A8" w:rsidRPr="00235721">
        <w:t>apital needed to complete the moderate rehabilitation of this project.</w:t>
      </w:r>
    </w:p>
    <w:p w14:paraId="3001A962" w14:textId="77777777" w:rsidR="001908D6" w:rsidRPr="00235721" w:rsidRDefault="001908D6" w:rsidP="00A34EAA">
      <w:pPr>
        <w:jc w:val="both"/>
      </w:pPr>
    </w:p>
    <w:p w14:paraId="37A7AD68" w14:textId="4AA374E3" w:rsidR="001908D6" w:rsidRPr="00235721" w:rsidRDefault="001908D6" w:rsidP="00A34EAA">
      <w:pPr>
        <w:jc w:val="both"/>
      </w:pPr>
      <w:r w:rsidRPr="00235721">
        <w:t xml:space="preserve">HPD is requesting that the Council approve a full 40-year Article XI </w:t>
      </w:r>
      <w:r w:rsidR="00486A1C">
        <w:t xml:space="preserve">property </w:t>
      </w:r>
      <w:r w:rsidRPr="00235721">
        <w:t xml:space="preserve">tax exemption, retroactive to October 2009. The </w:t>
      </w:r>
      <w:r w:rsidR="00486A1C">
        <w:t>HDFC</w:t>
      </w:r>
      <w:r w:rsidRPr="00235721">
        <w:t xml:space="preserve">, HDC, and HPD </w:t>
      </w:r>
      <w:r w:rsidR="00846B5D" w:rsidRPr="00235721">
        <w:t>would</w:t>
      </w:r>
      <w:r w:rsidRPr="00235721">
        <w:t xml:space="preserve"> enter into a regulatory agreement requiring that units be sold </w:t>
      </w:r>
      <w:r w:rsidR="00486A1C">
        <w:t xml:space="preserve">only </w:t>
      </w:r>
      <w:r w:rsidRPr="00235721">
        <w:t>to households with incomes up to 165% AMI</w:t>
      </w:r>
      <w:r w:rsidR="004348A8" w:rsidRPr="00235721">
        <w:t>.</w:t>
      </w:r>
    </w:p>
    <w:p w14:paraId="2D190F19" w14:textId="77777777" w:rsidR="001F723E" w:rsidRPr="00235721" w:rsidRDefault="001F723E" w:rsidP="00A34EAA">
      <w:pPr>
        <w:jc w:val="both"/>
      </w:pPr>
    </w:p>
    <w:p w14:paraId="5978F41C" w14:textId="77777777" w:rsidR="00191944" w:rsidRPr="00235721" w:rsidRDefault="00191944" w:rsidP="00A34EAA">
      <w:pPr>
        <w:pStyle w:val="MediumGrid1-Accent21"/>
        <w:ind w:left="0"/>
        <w:jc w:val="both"/>
        <w:rPr>
          <w:u w:val="single"/>
        </w:rPr>
      </w:pPr>
      <w:r w:rsidRPr="00235721">
        <w:rPr>
          <w:u w:val="single"/>
        </w:rPr>
        <w:t>Summary</w:t>
      </w:r>
      <w:r w:rsidRPr="00235721">
        <w:t xml:space="preserve">: </w:t>
      </w:r>
    </w:p>
    <w:p w14:paraId="1039BD47" w14:textId="627E202E" w:rsidR="00191944" w:rsidRPr="00235721" w:rsidRDefault="00191944" w:rsidP="00A34EAA">
      <w:pPr>
        <w:pStyle w:val="ListParagraph"/>
        <w:numPr>
          <w:ilvl w:val="0"/>
          <w:numId w:val="1"/>
        </w:numPr>
        <w:contextualSpacing w:val="0"/>
        <w:jc w:val="both"/>
      </w:pPr>
      <w:r w:rsidRPr="00235721">
        <w:t xml:space="preserve">Borough – </w:t>
      </w:r>
      <w:r w:rsidR="004348A8" w:rsidRPr="00235721">
        <w:t>Manhattan</w:t>
      </w:r>
    </w:p>
    <w:p w14:paraId="121EFDE0" w14:textId="0905EDCA" w:rsidR="00191944" w:rsidRPr="00235721" w:rsidRDefault="00191944" w:rsidP="00A34EAA">
      <w:pPr>
        <w:pStyle w:val="ListParagraph"/>
        <w:numPr>
          <w:ilvl w:val="0"/>
          <w:numId w:val="1"/>
        </w:numPr>
        <w:contextualSpacing w:val="0"/>
        <w:jc w:val="both"/>
      </w:pPr>
      <w:r w:rsidRPr="00235721">
        <w:rPr>
          <w:color w:val="000000"/>
        </w:rPr>
        <w:t xml:space="preserve">Block </w:t>
      </w:r>
      <w:r w:rsidR="004348A8" w:rsidRPr="00235721">
        <w:rPr>
          <w:color w:val="000000"/>
        </w:rPr>
        <w:t>1203, Lot 1</w:t>
      </w:r>
    </w:p>
    <w:p w14:paraId="49FE2CE0" w14:textId="75CA527C" w:rsidR="00191944" w:rsidRPr="00235721" w:rsidRDefault="00191944" w:rsidP="00A34EAA">
      <w:pPr>
        <w:pStyle w:val="ListParagraph"/>
        <w:numPr>
          <w:ilvl w:val="0"/>
          <w:numId w:val="1"/>
        </w:numPr>
        <w:contextualSpacing w:val="0"/>
        <w:jc w:val="both"/>
      </w:pPr>
      <w:r w:rsidRPr="00235721">
        <w:t xml:space="preserve">Council District – </w:t>
      </w:r>
      <w:r w:rsidR="004348A8" w:rsidRPr="00235721">
        <w:t>6</w:t>
      </w:r>
    </w:p>
    <w:p w14:paraId="370C778D" w14:textId="2EC2FA5A" w:rsidR="00191944" w:rsidRPr="00235721" w:rsidRDefault="00191944" w:rsidP="00A34EAA">
      <w:pPr>
        <w:pStyle w:val="ListParagraph"/>
        <w:numPr>
          <w:ilvl w:val="0"/>
          <w:numId w:val="1"/>
        </w:numPr>
        <w:contextualSpacing w:val="0"/>
        <w:jc w:val="both"/>
      </w:pPr>
      <w:r w:rsidRPr="00235721">
        <w:t xml:space="preserve">Council Member – </w:t>
      </w:r>
      <w:r w:rsidR="004348A8" w:rsidRPr="00235721">
        <w:t>Rosenthal</w:t>
      </w:r>
    </w:p>
    <w:p w14:paraId="74531E75" w14:textId="77777777" w:rsidR="00191944" w:rsidRPr="00235721" w:rsidRDefault="00191944" w:rsidP="00A34EAA">
      <w:pPr>
        <w:pStyle w:val="ListParagraph"/>
        <w:numPr>
          <w:ilvl w:val="0"/>
          <w:numId w:val="1"/>
        </w:numPr>
        <w:contextualSpacing w:val="0"/>
        <w:jc w:val="both"/>
      </w:pPr>
      <w:r w:rsidRPr="00235721">
        <w:t>Council Member approval –Yes</w:t>
      </w:r>
    </w:p>
    <w:p w14:paraId="33C45E39" w14:textId="61F794C5" w:rsidR="00191944" w:rsidRPr="00235721" w:rsidRDefault="00191944" w:rsidP="00A34EAA">
      <w:pPr>
        <w:pStyle w:val="ListParagraph"/>
        <w:numPr>
          <w:ilvl w:val="0"/>
          <w:numId w:val="1"/>
        </w:numPr>
        <w:contextualSpacing w:val="0"/>
        <w:jc w:val="both"/>
      </w:pPr>
      <w:r w:rsidRPr="00235721">
        <w:t xml:space="preserve">Number of buildings – </w:t>
      </w:r>
      <w:r w:rsidR="004348A8" w:rsidRPr="00235721">
        <w:t>1</w:t>
      </w:r>
    </w:p>
    <w:p w14:paraId="0F5F83F5" w14:textId="02669BED" w:rsidR="00191944" w:rsidRPr="00235721" w:rsidRDefault="00191944" w:rsidP="00A34EAA">
      <w:pPr>
        <w:pStyle w:val="ListParagraph"/>
        <w:numPr>
          <w:ilvl w:val="0"/>
          <w:numId w:val="1"/>
        </w:numPr>
        <w:contextualSpacing w:val="0"/>
        <w:jc w:val="both"/>
      </w:pPr>
      <w:r w:rsidRPr="00235721">
        <w:t xml:space="preserve">Number of units – </w:t>
      </w:r>
      <w:r w:rsidR="004348A8" w:rsidRPr="00235721">
        <w:t>189</w:t>
      </w:r>
    </w:p>
    <w:p w14:paraId="5E55F9E9" w14:textId="3DFB39CF" w:rsidR="00191944" w:rsidRPr="00235721" w:rsidRDefault="004348A8" w:rsidP="00A34EAA">
      <w:pPr>
        <w:pStyle w:val="ListParagraph"/>
        <w:numPr>
          <w:ilvl w:val="0"/>
          <w:numId w:val="1"/>
        </w:numPr>
        <w:contextualSpacing w:val="0"/>
        <w:jc w:val="both"/>
      </w:pPr>
      <w:r w:rsidRPr="00235721">
        <w:t>Type of exemption – Article XI, full, 40 years</w:t>
      </w:r>
    </w:p>
    <w:p w14:paraId="23614A6B" w14:textId="08DE15D3" w:rsidR="00191944" w:rsidRPr="00235721" w:rsidRDefault="00191944" w:rsidP="00A34EAA">
      <w:pPr>
        <w:pStyle w:val="ListParagraph"/>
        <w:numPr>
          <w:ilvl w:val="0"/>
          <w:numId w:val="1"/>
        </w:numPr>
        <w:contextualSpacing w:val="0"/>
        <w:jc w:val="both"/>
      </w:pPr>
      <w:r w:rsidRPr="00235721">
        <w:t xml:space="preserve">Population – </w:t>
      </w:r>
      <w:r w:rsidR="004348A8" w:rsidRPr="00235721">
        <w:t>affordable homeownership</w:t>
      </w:r>
    </w:p>
    <w:p w14:paraId="6670BE7D" w14:textId="6A1889CE" w:rsidR="00191944" w:rsidRPr="00235721" w:rsidRDefault="00191944" w:rsidP="00A34EAA">
      <w:pPr>
        <w:pStyle w:val="ListParagraph"/>
        <w:numPr>
          <w:ilvl w:val="0"/>
          <w:numId w:val="1"/>
        </w:numPr>
        <w:contextualSpacing w:val="0"/>
        <w:jc w:val="both"/>
      </w:pPr>
      <w:r w:rsidRPr="00235721">
        <w:t xml:space="preserve">Sponsor – </w:t>
      </w:r>
      <w:r w:rsidR="004348A8" w:rsidRPr="00235721">
        <w:t>Turin HDFC</w:t>
      </w:r>
    </w:p>
    <w:p w14:paraId="0E48B687" w14:textId="4B106AD3" w:rsidR="00191944" w:rsidRPr="00235721" w:rsidRDefault="00191944" w:rsidP="00A34EAA">
      <w:pPr>
        <w:pStyle w:val="ListParagraph"/>
        <w:numPr>
          <w:ilvl w:val="0"/>
          <w:numId w:val="1"/>
        </w:numPr>
        <w:contextualSpacing w:val="0"/>
        <w:jc w:val="both"/>
      </w:pPr>
      <w:r w:rsidRPr="00235721">
        <w:t xml:space="preserve">Purpose – </w:t>
      </w:r>
      <w:r w:rsidR="004348A8" w:rsidRPr="00235721">
        <w:t>preservation</w:t>
      </w:r>
    </w:p>
    <w:p w14:paraId="168F08DA" w14:textId="6112D343" w:rsidR="00191944" w:rsidRPr="00235721" w:rsidRDefault="00191944" w:rsidP="00A34EAA">
      <w:pPr>
        <w:pStyle w:val="ListParagraph"/>
        <w:numPr>
          <w:ilvl w:val="0"/>
          <w:numId w:val="1"/>
        </w:numPr>
        <w:contextualSpacing w:val="0"/>
        <w:jc w:val="both"/>
      </w:pPr>
      <w:r w:rsidRPr="00235721">
        <w:t xml:space="preserve">Cost to the city – </w:t>
      </w:r>
      <w:r w:rsidR="004348A8" w:rsidRPr="00235721">
        <w:t>$10.7 million</w:t>
      </w:r>
    </w:p>
    <w:p w14:paraId="08534254" w14:textId="3DFCA98A" w:rsidR="00191944" w:rsidRPr="00235721" w:rsidRDefault="004348A8" w:rsidP="00A34EAA">
      <w:pPr>
        <w:pStyle w:val="ListParagraph"/>
        <w:numPr>
          <w:ilvl w:val="0"/>
          <w:numId w:val="1"/>
        </w:numPr>
        <w:contextualSpacing w:val="0"/>
        <w:jc w:val="both"/>
      </w:pPr>
      <w:r w:rsidRPr="00235721">
        <w:t>Housing Code Violations</w:t>
      </w:r>
    </w:p>
    <w:p w14:paraId="7D244DA7" w14:textId="35D00D93" w:rsidR="00191944" w:rsidRPr="00235721" w:rsidRDefault="00191944" w:rsidP="00A34EAA">
      <w:pPr>
        <w:pStyle w:val="ListParagraph"/>
        <w:numPr>
          <w:ilvl w:val="1"/>
          <w:numId w:val="1"/>
        </w:numPr>
        <w:contextualSpacing w:val="0"/>
        <w:jc w:val="both"/>
      </w:pPr>
      <w:r w:rsidRPr="00235721">
        <w:t xml:space="preserve">Class A – </w:t>
      </w:r>
      <w:r w:rsidR="004348A8" w:rsidRPr="00235721">
        <w:t>3</w:t>
      </w:r>
    </w:p>
    <w:p w14:paraId="74C40842" w14:textId="38043321" w:rsidR="00191944" w:rsidRPr="00235721" w:rsidRDefault="00191944" w:rsidP="00A34EAA">
      <w:pPr>
        <w:pStyle w:val="ListParagraph"/>
        <w:numPr>
          <w:ilvl w:val="1"/>
          <w:numId w:val="1"/>
        </w:numPr>
        <w:contextualSpacing w:val="0"/>
        <w:jc w:val="both"/>
      </w:pPr>
      <w:r w:rsidRPr="00235721">
        <w:t xml:space="preserve">Class B – </w:t>
      </w:r>
      <w:r w:rsidR="004348A8" w:rsidRPr="00235721">
        <w:t>5</w:t>
      </w:r>
    </w:p>
    <w:p w14:paraId="1F7DD147" w14:textId="51A0CA05" w:rsidR="00191944" w:rsidRPr="00235721" w:rsidRDefault="00191944" w:rsidP="00A34EAA">
      <w:pPr>
        <w:pStyle w:val="ListParagraph"/>
        <w:numPr>
          <w:ilvl w:val="1"/>
          <w:numId w:val="1"/>
        </w:numPr>
        <w:contextualSpacing w:val="0"/>
        <w:jc w:val="both"/>
      </w:pPr>
      <w:r w:rsidRPr="00235721">
        <w:t xml:space="preserve">Class C – </w:t>
      </w:r>
      <w:r w:rsidR="004348A8" w:rsidRPr="00235721">
        <w:t>1</w:t>
      </w:r>
    </w:p>
    <w:p w14:paraId="2073040D" w14:textId="2AB1F335" w:rsidR="004348A8" w:rsidRPr="00235721" w:rsidRDefault="004348A8" w:rsidP="00A34EAA">
      <w:pPr>
        <w:pStyle w:val="ListParagraph"/>
        <w:numPr>
          <w:ilvl w:val="1"/>
          <w:numId w:val="1"/>
        </w:numPr>
        <w:contextualSpacing w:val="0"/>
        <w:jc w:val="both"/>
      </w:pPr>
      <w:r w:rsidRPr="00235721">
        <w:t xml:space="preserve">Class I – 1 </w:t>
      </w:r>
    </w:p>
    <w:p w14:paraId="38D249AA" w14:textId="7BC7FB8F" w:rsidR="00191944" w:rsidRPr="00235721" w:rsidRDefault="00191944" w:rsidP="00A34EAA">
      <w:pPr>
        <w:pStyle w:val="ListParagraph"/>
        <w:numPr>
          <w:ilvl w:val="0"/>
          <w:numId w:val="1"/>
        </w:numPr>
        <w:contextualSpacing w:val="0"/>
        <w:jc w:val="both"/>
      </w:pPr>
      <w:r w:rsidRPr="00235721">
        <w:t xml:space="preserve">AMI target – </w:t>
      </w:r>
      <w:r w:rsidR="004348A8" w:rsidRPr="00235721">
        <w:t>165% AMI</w:t>
      </w:r>
    </w:p>
    <w:p w14:paraId="5F405E89" w14:textId="4424DE79" w:rsidR="00191944" w:rsidRPr="00235721" w:rsidRDefault="00191944" w:rsidP="00A34EAA">
      <w:pPr>
        <w:jc w:val="both"/>
        <w:rPr>
          <w:b/>
          <w:u w:val="single"/>
        </w:rPr>
      </w:pPr>
    </w:p>
    <w:p w14:paraId="00213B48" w14:textId="11BCC858" w:rsidR="008A34C5" w:rsidRPr="00235721" w:rsidRDefault="008A34C5" w:rsidP="00A34EAA">
      <w:pPr>
        <w:jc w:val="both"/>
        <w:rPr>
          <w:b/>
          <w:u w:val="single"/>
        </w:rPr>
      </w:pPr>
      <w:r w:rsidRPr="00235721">
        <w:rPr>
          <w:b/>
          <w:u w:val="single"/>
        </w:rPr>
        <w:t>Item 5: Schreiber</w:t>
      </w:r>
    </w:p>
    <w:p w14:paraId="097C52F8" w14:textId="154E4ACB" w:rsidR="00191944" w:rsidRPr="00235721" w:rsidRDefault="00191944" w:rsidP="00A34EAA">
      <w:pPr>
        <w:jc w:val="both"/>
        <w:rPr>
          <w:b/>
          <w:u w:val="single"/>
        </w:rPr>
      </w:pPr>
    </w:p>
    <w:p w14:paraId="77980929" w14:textId="420A87A6" w:rsidR="008C2E54" w:rsidRPr="00235721" w:rsidRDefault="008C2E54" w:rsidP="00A34EAA">
      <w:pPr>
        <w:jc w:val="both"/>
      </w:pPr>
      <w:r w:rsidRPr="00235721">
        <w:t xml:space="preserve">Schreiber is a five-building portfolio located in the Hamilton Heights neighborhood in Manhattan. Its 182 residential units include 21 studio units (inclusive of one superintendent unit), 110 one-bedroom units (inclusive of one superintendent unit), 43 two-bedroom units, and </w:t>
      </w:r>
      <w:r w:rsidR="00486A1C">
        <w:t>eight</w:t>
      </w:r>
      <w:r w:rsidRPr="00235721">
        <w:t xml:space="preserve"> three-bedroom units. There are also two commercial units.</w:t>
      </w:r>
    </w:p>
    <w:p w14:paraId="5340180B" w14:textId="22A527B9" w:rsidR="008C2E54" w:rsidRPr="00235721" w:rsidRDefault="008C2E54" w:rsidP="00A34EAA">
      <w:pPr>
        <w:jc w:val="both"/>
      </w:pPr>
    </w:p>
    <w:p w14:paraId="63AD3B12" w14:textId="13BFDB2C" w:rsidR="00287F2B" w:rsidRPr="00235721" w:rsidRDefault="00A34EAA" w:rsidP="00287F2B">
      <w:pPr>
        <w:jc w:val="both"/>
      </w:pPr>
      <w:r w:rsidRPr="00235721">
        <w:t xml:space="preserve">Under the proposed project, </w:t>
      </w:r>
      <w:r w:rsidR="008C2E54" w:rsidRPr="00235721">
        <w:t xml:space="preserve">Black Spruce Management LLC </w:t>
      </w:r>
      <w:r w:rsidRPr="00235721">
        <w:t xml:space="preserve">would </w:t>
      </w:r>
      <w:r w:rsidR="008C2E54" w:rsidRPr="00235721">
        <w:t xml:space="preserve">purchase the portfolio </w:t>
      </w:r>
      <w:r w:rsidRPr="00235721">
        <w:t xml:space="preserve">and </w:t>
      </w:r>
      <w:r w:rsidR="008C2E54" w:rsidRPr="00235721">
        <w:t xml:space="preserve">would </w:t>
      </w:r>
      <w:r w:rsidRPr="00235721">
        <w:t>operate the buildings through J Robinson Park LLC</w:t>
      </w:r>
      <w:r w:rsidR="00B4355E" w:rsidRPr="00235721">
        <w:t>.</w:t>
      </w:r>
      <w:r w:rsidRPr="00235721">
        <w:t xml:space="preserve"> WHGA Robinson Park HDFC would</w:t>
      </w:r>
      <w:r w:rsidR="00B4355E" w:rsidRPr="00235721">
        <w:t xml:space="preserve"> </w:t>
      </w:r>
      <w:r w:rsidRPr="00235721">
        <w:t>be the legal owner</w:t>
      </w:r>
      <w:r w:rsidR="00B4355E" w:rsidRPr="00235721">
        <w:t xml:space="preserve">. HPD is requesting that the Council approve a partial 40-year Article XI </w:t>
      </w:r>
      <w:r w:rsidR="00486A1C">
        <w:t xml:space="preserve">property </w:t>
      </w:r>
      <w:r w:rsidR="00B4355E" w:rsidRPr="00235721">
        <w:t>tax exemption. The HDFC</w:t>
      </w:r>
      <w:r w:rsidR="00486A1C">
        <w:t>,</w:t>
      </w:r>
      <w:r w:rsidR="00B4355E" w:rsidRPr="00235721">
        <w:t xml:space="preserve"> the LLC</w:t>
      </w:r>
      <w:r w:rsidR="00486A1C">
        <w:t>, and HPD</w:t>
      </w:r>
      <w:r w:rsidR="00B4355E" w:rsidRPr="00235721">
        <w:t xml:space="preserve"> would enter into a regulator</w:t>
      </w:r>
      <w:r w:rsidR="00A1521F" w:rsidRPr="00235721">
        <w:t>y</w:t>
      </w:r>
      <w:r w:rsidR="00B4355E" w:rsidRPr="00235721">
        <w:t xml:space="preserve"> agreement </w:t>
      </w:r>
      <w:r w:rsidR="008C2E54" w:rsidRPr="00235721">
        <w:t>covering the full portfolio, of which 64% is currently unregulated and 36% is restricted solely though rent stabilization.</w:t>
      </w:r>
      <w:r w:rsidR="00B4355E" w:rsidRPr="00235721">
        <w:t xml:space="preserve"> The agreement would require that</w:t>
      </w:r>
      <w:r w:rsidR="00287F2B" w:rsidRPr="00235721">
        <w:t xml:space="preserve"> 24 units be leased to households with incomes up to 55% of AMI, </w:t>
      </w:r>
      <w:r w:rsidR="000E02D6" w:rsidRPr="00235721">
        <w:t xml:space="preserve">12 </w:t>
      </w:r>
      <w:r w:rsidR="00287F2B" w:rsidRPr="00235721">
        <w:t xml:space="preserve">units be leased to households with incomes up to </w:t>
      </w:r>
      <w:r w:rsidR="000E02D6" w:rsidRPr="00235721">
        <w:t>65</w:t>
      </w:r>
      <w:r w:rsidR="00287F2B" w:rsidRPr="00235721">
        <w:t xml:space="preserve">% AMI, </w:t>
      </w:r>
      <w:r w:rsidR="00486A1C">
        <w:t>ten</w:t>
      </w:r>
      <w:r w:rsidR="00287F2B" w:rsidRPr="00235721">
        <w:t xml:space="preserve"> units be leased to households with incomes up to </w:t>
      </w:r>
      <w:r w:rsidR="000E02D6" w:rsidRPr="00235721">
        <w:t>85</w:t>
      </w:r>
      <w:r w:rsidR="00287F2B" w:rsidRPr="00235721">
        <w:t xml:space="preserve">% AMI, </w:t>
      </w:r>
      <w:r w:rsidR="000E02D6" w:rsidRPr="00235721">
        <w:t xml:space="preserve">53 </w:t>
      </w:r>
      <w:r w:rsidR="00287F2B" w:rsidRPr="00235721">
        <w:t>units be leased to household</w:t>
      </w:r>
      <w:r w:rsidR="000E02D6" w:rsidRPr="00235721">
        <w:t>s</w:t>
      </w:r>
      <w:r w:rsidR="00287F2B" w:rsidRPr="00235721">
        <w:t xml:space="preserve"> with incomes up to </w:t>
      </w:r>
      <w:r w:rsidR="000E02D6" w:rsidRPr="00235721">
        <w:t>100</w:t>
      </w:r>
      <w:r w:rsidR="00287F2B" w:rsidRPr="00235721">
        <w:t>% AMI</w:t>
      </w:r>
      <w:r w:rsidR="000E02D6" w:rsidRPr="00235721">
        <w:t>, 11 units be leased to households with incomes up to 110% AMI, and 70 units be leased</w:t>
      </w:r>
      <w:r w:rsidR="00A1521F" w:rsidRPr="00235721">
        <w:t xml:space="preserve"> to households with incomes up to 125% AMI</w:t>
      </w:r>
      <w:r w:rsidR="00287F2B" w:rsidRPr="00235721">
        <w:t>.</w:t>
      </w:r>
    </w:p>
    <w:p w14:paraId="6ED925BD" w14:textId="77777777" w:rsidR="00B4355E" w:rsidRPr="00235721" w:rsidRDefault="00B4355E" w:rsidP="00A34EAA">
      <w:pPr>
        <w:jc w:val="both"/>
      </w:pPr>
    </w:p>
    <w:p w14:paraId="59F94204" w14:textId="77777777" w:rsidR="00191944" w:rsidRPr="00235721" w:rsidRDefault="00191944" w:rsidP="00A34EAA">
      <w:pPr>
        <w:pStyle w:val="MediumGrid1-Accent21"/>
        <w:ind w:left="0"/>
        <w:jc w:val="both"/>
        <w:rPr>
          <w:u w:val="single"/>
        </w:rPr>
      </w:pPr>
      <w:r w:rsidRPr="00235721">
        <w:rPr>
          <w:u w:val="single"/>
        </w:rPr>
        <w:t>Summary</w:t>
      </w:r>
      <w:r w:rsidRPr="00235721">
        <w:t xml:space="preserve">: </w:t>
      </w:r>
    </w:p>
    <w:p w14:paraId="4A666C51" w14:textId="26FF1C02" w:rsidR="00191944" w:rsidRPr="00235721" w:rsidRDefault="00191944" w:rsidP="00A34EAA">
      <w:pPr>
        <w:pStyle w:val="ListParagraph"/>
        <w:numPr>
          <w:ilvl w:val="0"/>
          <w:numId w:val="1"/>
        </w:numPr>
        <w:contextualSpacing w:val="0"/>
        <w:jc w:val="both"/>
      </w:pPr>
      <w:r w:rsidRPr="00235721">
        <w:t xml:space="preserve">Borough – </w:t>
      </w:r>
      <w:r w:rsidR="00A1521F" w:rsidRPr="00235721">
        <w:t>Manhattan</w:t>
      </w:r>
    </w:p>
    <w:p w14:paraId="56564999" w14:textId="6699C8A0" w:rsidR="00191944" w:rsidRPr="00235721" w:rsidRDefault="00191944" w:rsidP="00A34EAA">
      <w:pPr>
        <w:pStyle w:val="ListParagraph"/>
        <w:numPr>
          <w:ilvl w:val="0"/>
          <w:numId w:val="1"/>
        </w:numPr>
        <w:contextualSpacing w:val="0"/>
        <w:jc w:val="both"/>
      </w:pPr>
      <w:r w:rsidRPr="00235721">
        <w:rPr>
          <w:color w:val="000000"/>
        </w:rPr>
        <w:t xml:space="preserve">Block </w:t>
      </w:r>
      <w:r w:rsidR="00A1521F" w:rsidRPr="00235721">
        <w:rPr>
          <w:color w:val="000000"/>
        </w:rPr>
        <w:t>2047, Lots 21, 23, and 35; Block 2054, Lots 12 and 15.</w:t>
      </w:r>
    </w:p>
    <w:p w14:paraId="47525B2F" w14:textId="7A84FE4A" w:rsidR="00191944" w:rsidRPr="00235721" w:rsidRDefault="00191944" w:rsidP="00A34EAA">
      <w:pPr>
        <w:pStyle w:val="ListParagraph"/>
        <w:numPr>
          <w:ilvl w:val="0"/>
          <w:numId w:val="1"/>
        </w:numPr>
        <w:contextualSpacing w:val="0"/>
        <w:jc w:val="both"/>
      </w:pPr>
      <w:r w:rsidRPr="00235721">
        <w:t xml:space="preserve">Council District – </w:t>
      </w:r>
      <w:r w:rsidR="00A1521F" w:rsidRPr="00235721">
        <w:t>9</w:t>
      </w:r>
    </w:p>
    <w:p w14:paraId="3D80E36E" w14:textId="0BA07D6D" w:rsidR="00191944" w:rsidRPr="00235721" w:rsidRDefault="00191944" w:rsidP="00A34EAA">
      <w:pPr>
        <w:pStyle w:val="ListParagraph"/>
        <w:numPr>
          <w:ilvl w:val="0"/>
          <w:numId w:val="1"/>
        </w:numPr>
        <w:contextualSpacing w:val="0"/>
        <w:jc w:val="both"/>
      </w:pPr>
      <w:r w:rsidRPr="00235721">
        <w:t xml:space="preserve">Council Member – </w:t>
      </w:r>
      <w:r w:rsidR="00A1521F" w:rsidRPr="00235721">
        <w:t>Perkins</w:t>
      </w:r>
    </w:p>
    <w:p w14:paraId="14A1C622" w14:textId="77777777" w:rsidR="00191944" w:rsidRPr="00235721" w:rsidRDefault="00191944" w:rsidP="00A34EAA">
      <w:pPr>
        <w:pStyle w:val="ListParagraph"/>
        <w:numPr>
          <w:ilvl w:val="0"/>
          <w:numId w:val="1"/>
        </w:numPr>
        <w:contextualSpacing w:val="0"/>
        <w:jc w:val="both"/>
      </w:pPr>
      <w:r w:rsidRPr="00235721">
        <w:t>Council Member approval –Yes</w:t>
      </w:r>
    </w:p>
    <w:p w14:paraId="1D3AD1A8" w14:textId="607396AF" w:rsidR="00191944" w:rsidRPr="00235721" w:rsidRDefault="00191944" w:rsidP="00A34EAA">
      <w:pPr>
        <w:pStyle w:val="ListParagraph"/>
        <w:numPr>
          <w:ilvl w:val="0"/>
          <w:numId w:val="1"/>
        </w:numPr>
        <w:contextualSpacing w:val="0"/>
        <w:jc w:val="both"/>
      </w:pPr>
      <w:r w:rsidRPr="00235721">
        <w:t xml:space="preserve">Number of buildings – </w:t>
      </w:r>
      <w:r w:rsidR="00A1521F" w:rsidRPr="00235721">
        <w:t>5</w:t>
      </w:r>
    </w:p>
    <w:p w14:paraId="7489E28F" w14:textId="1BE4E3CE" w:rsidR="00191944" w:rsidRPr="00235721" w:rsidRDefault="00191944" w:rsidP="00A34EAA">
      <w:pPr>
        <w:pStyle w:val="ListParagraph"/>
        <w:numPr>
          <w:ilvl w:val="0"/>
          <w:numId w:val="1"/>
        </w:numPr>
        <w:contextualSpacing w:val="0"/>
        <w:jc w:val="both"/>
      </w:pPr>
      <w:r w:rsidRPr="00235721">
        <w:t xml:space="preserve">Number of units – </w:t>
      </w:r>
      <w:r w:rsidR="00A1521F" w:rsidRPr="00235721">
        <w:t>182</w:t>
      </w:r>
    </w:p>
    <w:p w14:paraId="68C5818E" w14:textId="232E629C" w:rsidR="00191944" w:rsidRPr="00235721" w:rsidRDefault="00191944" w:rsidP="00A34EAA">
      <w:pPr>
        <w:pStyle w:val="ListParagraph"/>
        <w:numPr>
          <w:ilvl w:val="0"/>
          <w:numId w:val="1"/>
        </w:numPr>
        <w:contextualSpacing w:val="0"/>
        <w:jc w:val="both"/>
      </w:pPr>
      <w:r w:rsidRPr="00235721">
        <w:t xml:space="preserve">Type of exemption – </w:t>
      </w:r>
      <w:r w:rsidR="00A1521F" w:rsidRPr="00235721">
        <w:t>Article XI, partial, 40 years</w:t>
      </w:r>
    </w:p>
    <w:p w14:paraId="7C081D4B" w14:textId="132B5EF1" w:rsidR="00191944" w:rsidRPr="00235721" w:rsidRDefault="00191944" w:rsidP="00A34EAA">
      <w:pPr>
        <w:pStyle w:val="ListParagraph"/>
        <w:numPr>
          <w:ilvl w:val="0"/>
          <w:numId w:val="1"/>
        </w:numPr>
        <w:contextualSpacing w:val="0"/>
        <w:jc w:val="both"/>
      </w:pPr>
      <w:r w:rsidRPr="00235721">
        <w:t xml:space="preserve">Population – </w:t>
      </w:r>
      <w:r w:rsidR="00A1521F" w:rsidRPr="00235721">
        <w:t>affordable rental housing</w:t>
      </w:r>
    </w:p>
    <w:p w14:paraId="5E58B7FC" w14:textId="72DFC290" w:rsidR="00191944" w:rsidRPr="00235721" w:rsidRDefault="00191944" w:rsidP="00A1521F">
      <w:pPr>
        <w:pStyle w:val="ListParagraph"/>
        <w:numPr>
          <w:ilvl w:val="0"/>
          <w:numId w:val="1"/>
        </w:numPr>
        <w:contextualSpacing w:val="0"/>
        <w:jc w:val="both"/>
      </w:pPr>
      <w:r w:rsidRPr="00235721">
        <w:t xml:space="preserve">Sponsor – </w:t>
      </w:r>
      <w:r w:rsidR="00A1521F" w:rsidRPr="00235721">
        <w:t>Black Spruce Management LLC</w:t>
      </w:r>
      <w:r w:rsidR="00922CA6" w:rsidRPr="00235721">
        <w:t>, J Robinson Park LLC, WHGA Robinson Park HDFC</w:t>
      </w:r>
    </w:p>
    <w:p w14:paraId="0C973490" w14:textId="6298212D" w:rsidR="00191944" w:rsidRPr="00235721" w:rsidRDefault="00191944" w:rsidP="00A34EAA">
      <w:pPr>
        <w:pStyle w:val="ListParagraph"/>
        <w:numPr>
          <w:ilvl w:val="0"/>
          <w:numId w:val="1"/>
        </w:numPr>
        <w:contextualSpacing w:val="0"/>
        <w:jc w:val="both"/>
      </w:pPr>
      <w:r w:rsidRPr="00235721">
        <w:t xml:space="preserve">Purpose – </w:t>
      </w:r>
      <w:r w:rsidR="00922CA6" w:rsidRPr="00235721">
        <w:t>preservation</w:t>
      </w:r>
    </w:p>
    <w:p w14:paraId="1FC82F03" w14:textId="280692BF" w:rsidR="00191944" w:rsidRPr="00235721" w:rsidRDefault="00191944" w:rsidP="00A34EAA">
      <w:pPr>
        <w:pStyle w:val="ListParagraph"/>
        <w:numPr>
          <w:ilvl w:val="0"/>
          <w:numId w:val="1"/>
        </w:numPr>
        <w:contextualSpacing w:val="0"/>
        <w:jc w:val="both"/>
      </w:pPr>
      <w:r w:rsidRPr="00235721">
        <w:t xml:space="preserve">Cost to the city – </w:t>
      </w:r>
      <w:r w:rsidR="00922CA6" w:rsidRPr="00235721">
        <w:t>$12.7 million</w:t>
      </w:r>
    </w:p>
    <w:p w14:paraId="5DC0507E" w14:textId="77777777" w:rsidR="00191944" w:rsidRPr="00235721" w:rsidRDefault="00191944" w:rsidP="00A34EAA">
      <w:pPr>
        <w:pStyle w:val="ListParagraph"/>
        <w:numPr>
          <w:ilvl w:val="0"/>
          <w:numId w:val="1"/>
        </w:numPr>
        <w:contextualSpacing w:val="0"/>
        <w:jc w:val="both"/>
      </w:pPr>
      <w:r w:rsidRPr="00235721">
        <w:t xml:space="preserve">Housing Code Violations </w:t>
      </w:r>
    </w:p>
    <w:p w14:paraId="35DCD9C6" w14:textId="1BF4D76A" w:rsidR="00191944" w:rsidRPr="00235721" w:rsidRDefault="00191944" w:rsidP="00A34EAA">
      <w:pPr>
        <w:pStyle w:val="ListParagraph"/>
        <w:numPr>
          <w:ilvl w:val="1"/>
          <w:numId w:val="1"/>
        </w:numPr>
        <w:contextualSpacing w:val="0"/>
        <w:jc w:val="both"/>
      </w:pPr>
      <w:r w:rsidRPr="00235721">
        <w:t xml:space="preserve">Class A – </w:t>
      </w:r>
      <w:r w:rsidR="00922CA6" w:rsidRPr="00235721">
        <w:t>129</w:t>
      </w:r>
    </w:p>
    <w:p w14:paraId="749B5F43" w14:textId="254C6AC9" w:rsidR="00191944" w:rsidRPr="00235721" w:rsidRDefault="00191944" w:rsidP="00A34EAA">
      <w:pPr>
        <w:pStyle w:val="ListParagraph"/>
        <w:numPr>
          <w:ilvl w:val="1"/>
          <w:numId w:val="1"/>
        </w:numPr>
        <w:contextualSpacing w:val="0"/>
        <w:jc w:val="both"/>
      </w:pPr>
      <w:r w:rsidRPr="00235721">
        <w:t xml:space="preserve">Class B – </w:t>
      </w:r>
      <w:r w:rsidR="00922CA6" w:rsidRPr="00235721">
        <w:t>206</w:t>
      </w:r>
    </w:p>
    <w:p w14:paraId="07A2817C" w14:textId="01DE62C6" w:rsidR="00191944" w:rsidRPr="00235721" w:rsidRDefault="00191944" w:rsidP="00A34EAA">
      <w:pPr>
        <w:pStyle w:val="ListParagraph"/>
        <w:numPr>
          <w:ilvl w:val="1"/>
          <w:numId w:val="1"/>
        </w:numPr>
        <w:contextualSpacing w:val="0"/>
        <w:jc w:val="both"/>
      </w:pPr>
      <w:r w:rsidRPr="00235721">
        <w:t xml:space="preserve">Class C – </w:t>
      </w:r>
      <w:r w:rsidR="00922CA6" w:rsidRPr="00235721">
        <w:t>65</w:t>
      </w:r>
    </w:p>
    <w:p w14:paraId="004E1425" w14:textId="7BB74FC2" w:rsidR="00191944" w:rsidRPr="00235721" w:rsidRDefault="00191944" w:rsidP="00B7315A">
      <w:pPr>
        <w:pStyle w:val="ListParagraph"/>
        <w:numPr>
          <w:ilvl w:val="0"/>
          <w:numId w:val="1"/>
        </w:numPr>
        <w:contextualSpacing w:val="0"/>
        <w:jc w:val="both"/>
      </w:pPr>
      <w:r w:rsidRPr="00235721">
        <w:t xml:space="preserve">AMI target – </w:t>
      </w:r>
      <w:r w:rsidR="00922CA6" w:rsidRPr="00235721">
        <w:t>24 units at 55% AMI, 12 units at 65% AMI, 10 units at 85% AMI, 53 units at 100% AMI, 11 units at 110% AMI, 70 units at 125% AMI</w:t>
      </w:r>
    </w:p>
    <w:p w14:paraId="158C78B6" w14:textId="65C1A2AB" w:rsidR="00486A1C" w:rsidRDefault="00486A1C" w:rsidP="00A34EAA">
      <w:pPr>
        <w:jc w:val="both"/>
        <w:rPr>
          <w:b/>
          <w:u w:val="single"/>
        </w:rPr>
      </w:pPr>
    </w:p>
    <w:p w14:paraId="508A5948" w14:textId="668FECDB" w:rsidR="00F2394B" w:rsidRDefault="00F2394B" w:rsidP="00A34EAA">
      <w:pPr>
        <w:jc w:val="both"/>
        <w:rPr>
          <w:b/>
          <w:u w:val="single"/>
        </w:rPr>
      </w:pPr>
    </w:p>
    <w:p w14:paraId="3A7E7543" w14:textId="20654DCE" w:rsidR="00F2394B" w:rsidRDefault="00F2394B" w:rsidP="00A34EAA">
      <w:pPr>
        <w:jc w:val="both"/>
        <w:rPr>
          <w:b/>
          <w:u w:val="single"/>
        </w:rPr>
      </w:pPr>
    </w:p>
    <w:p w14:paraId="69668FBB" w14:textId="77777777" w:rsidR="00F2394B" w:rsidRDefault="00F2394B" w:rsidP="00A34EAA">
      <w:pPr>
        <w:jc w:val="both"/>
        <w:rPr>
          <w:b/>
          <w:u w:val="single"/>
        </w:rPr>
      </w:pPr>
    </w:p>
    <w:p w14:paraId="748BA506" w14:textId="77777777" w:rsidR="00486A1C" w:rsidRPr="00235721" w:rsidRDefault="00486A1C" w:rsidP="00A34EAA">
      <w:pPr>
        <w:jc w:val="both"/>
        <w:rPr>
          <w:b/>
          <w:u w:val="single"/>
        </w:rPr>
      </w:pPr>
    </w:p>
    <w:p w14:paraId="5121B724" w14:textId="50A8A53C" w:rsidR="008A34C5" w:rsidRPr="00235721" w:rsidRDefault="008A34C5" w:rsidP="00A34EAA">
      <w:pPr>
        <w:jc w:val="both"/>
      </w:pPr>
      <w:r w:rsidRPr="00235721">
        <w:rPr>
          <w:b/>
          <w:u w:val="single"/>
        </w:rPr>
        <w:t>Item 6: 757 East 169th Street</w:t>
      </w:r>
    </w:p>
    <w:p w14:paraId="131C8A03" w14:textId="5635234E" w:rsidR="00191944" w:rsidRPr="00235721" w:rsidRDefault="00191944" w:rsidP="00A34EAA">
      <w:pPr>
        <w:jc w:val="both"/>
      </w:pPr>
    </w:p>
    <w:p w14:paraId="0ABAD2E3" w14:textId="2A9871B7" w:rsidR="00286D8B" w:rsidRDefault="0037150D" w:rsidP="00286D8B">
      <w:pPr>
        <w:jc w:val="both"/>
      </w:pPr>
      <w:r w:rsidRPr="00235721">
        <w:t>757 East 169 Street is a limited-equity HDFC cooperative</w:t>
      </w:r>
      <w:r w:rsidR="00286D8B" w:rsidRPr="00235721">
        <w:t xml:space="preserve"> in Morrisania. Its 24 units include 16 one-bedroom units and eight two-bedroom units. It also has 8 commercial spaces.</w:t>
      </w:r>
    </w:p>
    <w:p w14:paraId="354F4AA1" w14:textId="77777777" w:rsidR="008D086F" w:rsidRPr="00235721" w:rsidRDefault="008D086F" w:rsidP="00286D8B">
      <w:pPr>
        <w:jc w:val="both"/>
      </w:pPr>
    </w:p>
    <w:p w14:paraId="3524C9F3" w14:textId="4247D9A3" w:rsidR="00286D8B" w:rsidRPr="00235721" w:rsidRDefault="00286D8B" w:rsidP="00286D8B">
      <w:pPr>
        <w:jc w:val="both"/>
      </w:pPr>
      <w:r w:rsidRPr="00235721">
        <w:t>757 East 169 Street HDFC acquired the building from the City in 1995 under the Tenant Interim Lease (TIL) program.</w:t>
      </w:r>
      <w:r w:rsidR="00B260E7" w:rsidRPr="00235721">
        <w:t xml:space="preserve"> The HDFC currently owes over $600,000 in real estate tax arrears and over $340,000 in water and sewer charges and was pulled from </w:t>
      </w:r>
      <w:r w:rsidR="008D086F">
        <w:t>the TPT program</w:t>
      </w:r>
      <w:r w:rsidR="00B260E7" w:rsidRPr="00235721">
        <w:t xml:space="preserve"> in 2018. Since 2015, the HDFC has been in a payment agreement with the Department of Environmental Protection (DEP) to cover the outstanding water and sewer charges. In 2019, </w:t>
      </w:r>
      <w:r w:rsidR="00203D3B" w:rsidRPr="00235721">
        <w:t xml:space="preserve">it paid </w:t>
      </w:r>
      <w:r w:rsidR="00B260E7" w:rsidRPr="00235721">
        <w:t xml:space="preserve">approximately $115,000 to the Department of Finance (DOF) </w:t>
      </w:r>
      <w:r w:rsidR="00203D3B" w:rsidRPr="00235721">
        <w:t>for tax arears. The HDFC has also applied for a loan to cover monthly DEP payments and pay for capital improvements.</w:t>
      </w:r>
    </w:p>
    <w:p w14:paraId="5D64E357" w14:textId="05A1ADB3" w:rsidR="00B260E7" w:rsidRPr="00235721" w:rsidRDefault="00B260E7" w:rsidP="00286D8B">
      <w:pPr>
        <w:jc w:val="both"/>
      </w:pPr>
    </w:p>
    <w:p w14:paraId="245584FC" w14:textId="7B8BA4B9" w:rsidR="00203D3B" w:rsidRPr="00235721" w:rsidRDefault="00203D3B" w:rsidP="00203D3B">
      <w:pPr>
        <w:jc w:val="both"/>
      </w:pPr>
      <w:r w:rsidRPr="00235721">
        <w:t xml:space="preserve">HPD is requesting that the Council approve a full 40-year Article XI </w:t>
      </w:r>
      <w:r w:rsidR="008D086F">
        <w:t xml:space="preserve">property </w:t>
      </w:r>
      <w:r w:rsidRPr="00235721">
        <w:t xml:space="preserve">tax exemption, retroactive to 2010. The approval of the loan is contingent on the Council’s approval of the proposed </w:t>
      </w:r>
      <w:r w:rsidR="008D086F">
        <w:t>exemption</w:t>
      </w:r>
      <w:r w:rsidRPr="00235721">
        <w:t xml:space="preserve">. The HDFC </w:t>
      </w:r>
      <w:r w:rsidR="008D086F">
        <w:t xml:space="preserve">and HPD </w:t>
      </w:r>
      <w:r w:rsidRPr="00235721">
        <w:t>would enter into a regulatory agreement that would require that units</w:t>
      </w:r>
      <w:r w:rsidR="008D086F">
        <w:t xml:space="preserve"> only</w:t>
      </w:r>
      <w:r w:rsidRPr="00235721">
        <w:t xml:space="preserve"> be sold to households with incomes up to 120% AMI. </w:t>
      </w:r>
    </w:p>
    <w:p w14:paraId="1B211BF3" w14:textId="002D9027" w:rsidR="0037150D" w:rsidRPr="00235721" w:rsidRDefault="0037150D" w:rsidP="00A34EAA">
      <w:pPr>
        <w:jc w:val="both"/>
        <w:rPr>
          <w:b/>
          <w:u w:val="single"/>
        </w:rPr>
      </w:pPr>
    </w:p>
    <w:p w14:paraId="78F44567" w14:textId="77777777" w:rsidR="00191944" w:rsidRPr="00235721" w:rsidRDefault="00191944" w:rsidP="00A34EAA">
      <w:pPr>
        <w:pStyle w:val="MediumGrid1-Accent21"/>
        <w:ind w:left="0"/>
        <w:jc w:val="both"/>
        <w:rPr>
          <w:u w:val="single"/>
        </w:rPr>
      </w:pPr>
      <w:r w:rsidRPr="00235721">
        <w:rPr>
          <w:u w:val="single"/>
        </w:rPr>
        <w:t>Summary</w:t>
      </w:r>
      <w:r w:rsidRPr="00235721">
        <w:t xml:space="preserve">: </w:t>
      </w:r>
    </w:p>
    <w:p w14:paraId="4E177920" w14:textId="30DB0816" w:rsidR="00191944" w:rsidRPr="00235721" w:rsidRDefault="00191944" w:rsidP="00A34EAA">
      <w:pPr>
        <w:pStyle w:val="ListParagraph"/>
        <w:numPr>
          <w:ilvl w:val="0"/>
          <w:numId w:val="1"/>
        </w:numPr>
        <w:contextualSpacing w:val="0"/>
        <w:jc w:val="both"/>
      </w:pPr>
      <w:r w:rsidRPr="00235721">
        <w:t xml:space="preserve">Borough – </w:t>
      </w:r>
      <w:r w:rsidR="00203D3B" w:rsidRPr="00235721">
        <w:t>Bronx</w:t>
      </w:r>
    </w:p>
    <w:p w14:paraId="758EB270" w14:textId="116229BA" w:rsidR="00191944" w:rsidRPr="00235721" w:rsidRDefault="00191944" w:rsidP="00A34EAA">
      <w:pPr>
        <w:pStyle w:val="ListParagraph"/>
        <w:numPr>
          <w:ilvl w:val="0"/>
          <w:numId w:val="1"/>
        </w:numPr>
        <w:contextualSpacing w:val="0"/>
        <w:jc w:val="both"/>
      </w:pPr>
      <w:r w:rsidRPr="00235721">
        <w:rPr>
          <w:color w:val="000000"/>
        </w:rPr>
        <w:t xml:space="preserve">Block </w:t>
      </w:r>
      <w:r w:rsidR="00203D3B" w:rsidRPr="00235721">
        <w:rPr>
          <w:color w:val="000000"/>
        </w:rPr>
        <w:t>2961, Lot 15</w:t>
      </w:r>
    </w:p>
    <w:p w14:paraId="7E606F84" w14:textId="2AD6580B" w:rsidR="00191944" w:rsidRPr="00235721" w:rsidRDefault="00191944" w:rsidP="00A34EAA">
      <w:pPr>
        <w:pStyle w:val="ListParagraph"/>
        <w:numPr>
          <w:ilvl w:val="0"/>
          <w:numId w:val="1"/>
        </w:numPr>
        <w:contextualSpacing w:val="0"/>
        <w:jc w:val="both"/>
      </w:pPr>
      <w:r w:rsidRPr="00235721">
        <w:t xml:space="preserve">Council District – </w:t>
      </w:r>
      <w:r w:rsidR="00203D3B" w:rsidRPr="00235721">
        <w:t>17</w:t>
      </w:r>
    </w:p>
    <w:p w14:paraId="54A30C78" w14:textId="1C7C9671" w:rsidR="00191944" w:rsidRPr="00235721" w:rsidRDefault="00191944" w:rsidP="00A34EAA">
      <w:pPr>
        <w:pStyle w:val="ListParagraph"/>
        <w:numPr>
          <w:ilvl w:val="0"/>
          <w:numId w:val="1"/>
        </w:numPr>
        <w:contextualSpacing w:val="0"/>
        <w:jc w:val="both"/>
      </w:pPr>
      <w:r w:rsidRPr="00235721">
        <w:t xml:space="preserve">Council Member – </w:t>
      </w:r>
      <w:r w:rsidR="00203D3B" w:rsidRPr="00235721">
        <w:t>Salamanca</w:t>
      </w:r>
    </w:p>
    <w:p w14:paraId="0E2238A1" w14:textId="77777777" w:rsidR="00191944" w:rsidRPr="00235721" w:rsidRDefault="00191944" w:rsidP="00A34EAA">
      <w:pPr>
        <w:pStyle w:val="ListParagraph"/>
        <w:numPr>
          <w:ilvl w:val="0"/>
          <w:numId w:val="1"/>
        </w:numPr>
        <w:contextualSpacing w:val="0"/>
        <w:jc w:val="both"/>
      </w:pPr>
      <w:r w:rsidRPr="00235721">
        <w:t>Council Member approval –Yes</w:t>
      </w:r>
    </w:p>
    <w:p w14:paraId="51E33494" w14:textId="5ED4AD83" w:rsidR="00191944" w:rsidRPr="00235721" w:rsidRDefault="00191944" w:rsidP="00A34EAA">
      <w:pPr>
        <w:pStyle w:val="ListParagraph"/>
        <w:numPr>
          <w:ilvl w:val="0"/>
          <w:numId w:val="1"/>
        </w:numPr>
        <w:contextualSpacing w:val="0"/>
        <w:jc w:val="both"/>
      </w:pPr>
      <w:r w:rsidRPr="00235721">
        <w:t xml:space="preserve">Number of buildings – </w:t>
      </w:r>
      <w:r w:rsidR="00203D3B" w:rsidRPr="00235721">
        <w:t>1</w:t>
      </w:r>
    </w:p>
    <w:p w14:paraId="14650588" w14:textId="7DD07C54" w:rsidR="00191944" w:rsidRPr="00235721" w:rsidRDefault="00191944" w:rsidP="00A34EAA">
      <w:pPr>
        <w:pStyle w:val="ListParagraph"/>
        <w:numPr>
          <w:ilvl w:val="0"/>
          <w:numId w:val="1"/>
        </w:numPr>
        <w:contextualSpacing w:val="0"/>
        <w:jc w:val="both"/>
      </w:pPr>
      <w:r w:rsidRPr="00235721">
        <w:t xml:space="preserve">Number of units – </w:t>
      </w:r>
      <w:r w:rsidR="00203D3B" w:rsidRPr="00235721">
        <w:t>24</w:t>
      </w:r>
    </w:p>
    <w:p w14:paraId="0291FE3D" w14:textId="46747B75" w:rsidR="00191944" w:rsidRPr="00235721" w:rsidRDefault="00191944" w:rsidP="00A34EAA">
      <w:pPr>
        <w:pStyle w:val="ListParagraph"/>
        <w:numPr>
          <w:ilvl w:val="0"/>
          <w:numId w:val="1"/>
        </w:numPr>
        <w:contextualSpacing w:val="0"/>
        <w:jc w:val="both"/>
      </w:pPr>
      <w:r w:rsidRPr="00235721">
        <w:t xml:space="preserve">Type of exemption – </w:t>
      </w:r>
      <w:r w:rsidR="00203D3B" w:rsidRPr="00235721">
        <w:t>Article XI, full, 40 years</w:t>
      </w:r>
    </w:p>
    <w:p w14:paraId="35D316BE" w14:textId="171A8CE3" w:rsidR="00191944" w:rsidRPr="00235721" w:rsidRDefault="00191944" w:rsidP="00A34EAA">
      <w:pPr>
        <w:pStyle w:val="ListParagraph"/>
        <w:numPr>
          <w:ilvl w:val="0"/>
          <w:numId w:val="1"/>
        </w:numPr>
        <w:contextualSpacing w:val="0"/>
        <w:jc w:val="both"/>
      </w:pPr>
      <w:r w:rsidRPr="00235721">
        <w:t xml:space="preserve">Population – </w:t>
      </w:r>
      <w:r w:rsidR="00203D3B" w:rsidRPr="00235721">
        <w:t>affordable homeownership</w:t>
      </w:r>
    </w:p>
    <w:p w14:paraId="7E1C53C9" w14:textId="0E6B4298" w:rsidR="00191944" w:rsidRPr="00235721" w:rsidRDefault="00191944" w:rsidP="00203D3B">
      <w:pPr>
        <w:pStyle w:val="ListParagraph"/>
        <w:numPr>
          <w:ilvl w:val="0"/>
          <w:numId w:val="1"/>
        </w:numPr>
        <w:contextualSpacing w:val="0"/>
        <w:jc w:val="both"/>
      </w:pPr>
      <w:r w:rsidRPr="00235721">
        <w:t xml:space="preserve">Sponsor – </w:t>
      </w:r>
      <w:r w:rsidR="00203D3B" w:rsidRPr="00235721">
        <w:t>757 East 169 Street HDFC</w:t>
      </w:r>
    </w:p>
    <w:p w14:paraId="1FC731EB" w14:textId="15F1185B" w:rsidR="00191944" w:rsidRPr="00235721" w:rsidRDefault="00191944" w:rsidP="00A34EAA">
      <w:pPr>
        <w:pStyle w:val="ListParagraph"/>
        <w:numPr>
          <w:ilvl w:val="0"/>
          <w:numId w:val="1"/>
        </w:numPr>
        <w:contextualSpacing w:val="0"/>
        <w:jc w:val="both"/>
      </w:pPr>
      <w:r w:rsidRPr="00235721">
        <w:t xml:space="preserve">Purpose – </w:t>
      </w:r>
      <w:r w:rsidR="00203D3B" w:rsidRPr="00235721">
        <w:t>preservation</w:t>
      </w:r>
    </w:p>
    <w:p w14:paraId="37D2CD6D" w14:textId="64391C16" w:rsidR="00191944" w:rsidRPr="00235721" w:rsidRDefault="00191944" w:rsidP="00A34EAA">
      <w:pPr>
        <w:pStyle w:val="ListParagraph"/>
        <w:numPr>
          <w:ilvl w:val="0"/>
          <w:numId w:val="1"/>
        </w:numPr>
        <w:contextualSpacing w:val="0"/>
        <w:jc w:val="both"/>
      </w:pPr>
      <w:r w:rsidRPr="00235721">
        <w:t xml:space="preserve">Cost to the city – </w:t>
      </w:r>
      <w:r w:rsidR="00203D3B" w:rsidRPr="00235721">
        <w:t>$1.6 million</w:t>
      </w:r>
    </w:p>
    <w:p w14:paraId="2D1FAC42" w14:textId="77777777" w:rsidR="00191944" w:rsidRPr="00235721" w:rsidRDefault="00191944" w:rsidP="00A34EAA">
      <w:pPr>
        <w:pStyle w:val="ListParagraph"/>
        <w:numPr>
          <w:ilvl w:val="0"/>
          <w:numId w:val="1"/>
        </w:numPr>
        <w:contextualSpacing w:val="0"/>
        <w:jc w:val="both"/>
      </w:pPr>
      <w:r w:rsidRPr="00235721">
        <w:t xml:space="preserve">Housing Code Violations </w:t>
      </w:r>
    </w:p>
    <w:p w14:paraId="33203BC4" w14:textId="46AD1AD4" w:rsidR="00191944" w:rsidRPr="00235721" w:rsidRDefault="00191944" w:rsidP="00A34EAA">
      <w:pPr>
        <w:pStyle w:val="ListParagraph"/>
        <w:numPr>
          <w:ilvl w:val="1"/>
          <w:numId w:val="1"/>
        </w:numPr>
        <w:contextualSpacing w:val="0"/>
        <w:jc w:val="both"/>
      </w:pPr>
      <w:r w:rsidRPr="00235721">
        <w:t xml:space="preserve">Class A – </w:t>
      </w:r>
      <w:r w:rsidR="00203D3B" w:rsidRPr="00235721">
        <w:t>1</w:t>
      </w:r>
    </w:p>
    <w:p w14:paraId="76A1953B" w14:textId="613A0402" w:rsidR="00191944" w:rsidRPr="00235721" w:rsidRDefault="00191944" w:rsidP="00A34EAA">
      <w:pPr>
        <w:pStyle w:val="ListParagraph"/>
        <w:numPr>
          <w:ilvl w:val="1"/>
          <w:numId w:val="1"/>
        </w:numPr>
        <w:contextualSpacing w:val="0"/>
        <w:jc w:val="both"/>
      </w:pPr>
      <w:r w:rsidRPr="00235721">
        <w:t xml:space="preserve">Class B – </w:t>
      </w:r>
      <w:r w:rsidR="00203D3B" w:rsidRPr="00235721">
        <w:t>10</w:t>
      </w:r>
    </w:p>
    <w:p w14:paraId="2FE70021" w14:textId="0B8DAE2C" w:rsidR="00191944" w:rsidRPr="00235721" w:rsidRDefault="00191944" w:rsidP="00A34EAA">
      <w:pPr>
        <w:pStyle w:val="ListParagraph"/>
        <w:numPr>
          <w:ilvl w:val="1"/>
          <w:numId w:val="1"/>
        </w:numPr>
        <w:contextualSpacing w:val="0"/>
        <w:jc w:val="both"/>
      </w:pPr>
      <w:r w:rsidRPr="00235721">
        <w:t xml:space="preserve">Class C – </w:t>
      </w:r>
      <w:r w:rsidR="00203D3B" w:rsidRPr="00235721">
        <w:t>4</w:t>
      </w:r>
    </w:p>
    <w:p w14:paraId="5178BC34" w14:textId="0720EB1A" w:rsidR="00191944" w:rsidRPr="00235721" w:rsidRDefault="00191944" w:rsidP="00A34EAA">
      <w:pPr>
        <w:pStyle w:val="ListParagraph"/>
        <w:numPr>
          <w:ilvl w:val="0"/>
          <w:numId w:val="1"/>
        </w:numPr>
        <w:contextualSpacing w:val="0"/>
        <w:jc w:val="both"/>
      </w:pPr>
      <w:r w:rsidRPr="00235721">
        <w:t xml:space="preserve">AMI target – </w:t>
      </w:r>
      <w:r w:rsidR="00203D3B" w:rsidRPr="00235721">
        <w:t>120% AMI</w:t>
      </w:r>
    </w:p>
    <w:p w14:paraId="51E12ADD" w14:textId="77777777" w:rsidR="00191944" w:rsidRPr="00235721" w:rsidRDefault="00191944" w:rsidP="00A34EAA">
      <w:pPr>
        <w:jc w:val="both"/>
        <w:rPr>
          <w:b/>
          <w:u w:val="single"/>
        </w:rPr>
      </w:pPr>
    </w:p>
    <w:p w14:paraId="6D381989" w14:textId="5F809280" w:rsidR="00191944" w:rsidRPr="00235721" w:rsidRDefault="008A34C5" w:rsidP="00A34EAA">
      <w:pPr>
        <w:jc w:val="both"/>
        <w:rPr>
          <w:b/>
          <w:u w:val="single"/>
        </w:rPr>
      </w:pPr>
      <w:r w:rsidRPr="00235721">
        <w:rPr>
          <w:b/>
          <w:u w:val="single"/>
        </w:rPr>
        <w:t xml:space="preserve">Item 7: Howard </w:t>
      </w:r>
      <w:proofErr w:type="spellStart"/>
      <w:r w:rsidRPr="00235721">
        <w:rPr>
          <w:b/>
          <w:u w:val="single"/>
        </w:rPr>
        <w:t>Amron</w:t>
      </w:r>
      <w:proofErr w:type="spellEnd"/>
      <w:r w:rsidRPr="00235721">
        <w:rPr>
          <w:b/>
          <w:u w:val="single"/>
        </w:rPr>
        <w:t xml:space="preserve"> House</w:t>
      </w:r>
    </w:p>
    <w:p w14:paraId="62812D3D" w14:textId="2DC2243A" w:rsidR="00191944" w:rsidRPr="00235721" w:rsidRDefault="00191944" w:rsidP="00A34EAA">
      <w:pPr>
        <w:jc w:val="both"/>
      </w:pPr>
    </w:p>
    <w:p w14:paraId="0D3C8877" w14:textId="244C5923" w:rsidR="00073E41" w:rsidRPr="00235721" w:rsidRDefault="00073E41" w:rsidP="00235721">
      <w:pPr>
        <w:jc w:val="both"/>
      </w:pPr>
      <w:r w:rsidRPr="00235721">
        <w:t xml:space="preserve">Howard </w:t>
      </w:r>
      <w:proofErr w:type="spellStart"/>
      <w:r w:rsidRPr="00235721">
        <w:t>Amron</w:t>
      </w:r>
      <w:proofErr w:type="spellEnd"/>
      <w:r w:rsidRPr="00235721">
        <w:t xml:space="preserve"> House</w:t>
      </w:r>
      <w:r w:rsidR="00817F6D" w:rsidRPr="00235721">
        <w:t xml:space="preserve"> is</w:t>
      </w:r>
      <w:r w:rsidR="008D086F">
        <w:t xml:space="preserve"> a</w:t>
      </w:r>
      <w:r w:rsidR="00817F6D" w:rsidRPr="00235721">
        <w:t xml:space="preserve"> recently-constructed 11 unit 100% permanently affordable building </w:t>
      </w:r>
      <w:r w:rsidRPr="00235721">
        <w:t>located at 166 East 100th Street</w:t>
      </w:r>
      <w:r w:rsidR="008D086F">
        <w:t xml:space="preserve"> in Manhattan</w:t>
      </w:r>
      <w:r w:rsidRPr="00235721">
        <w:t>. Its 11 residential units include one studio unit and 10 one-bedroom units.</w:t>
      </w:r>
    </w:p>
    <w:p w14:paraId="7CAAA43D" w14:textId="312E1367" w:rsidR="00073E41" w:rsidRPr="00235721" w:rsidRDefault="00073E41" w:rsidP="00235721">
      <w:pPr>
        <w:jc w:val="both"/>
      </w:pPr>
    </w:p>
    <w:p w14:paraId="5B9244A5" w14:textId="373B3DAD" w:rsidR="00235721" w:rsidRDefault="00817F6D" w:rsidP="00235721">
      <w:pPr>
        <w:jc w:val="both"/>
      </w:pPr>
      <w:r w:rsidRPr="00235721">
        <w:t xml:space="preserve">Howard </w:t>
      </w:r>
      <w:proofErr w:type="spellStart"/>
      <w:r w:rsidRPr="00235721">
        <w:t>Amron</w:t>
      </w:r>
      <w:proofErr w:type="spellEnd"/>
      <w:r w:rsidRPr="00235721">
        <w:t xml:space="preserve"> House was</w:t>
      </w:r>
      <w:r w:rsidR="00BE040D" w:rsidRPr="00235721">
        <w:t xml:space="preserve"> </w:t>
      </w:r>
      <w:r w:rsidRPr="00235721">
        <w:t xml:space="preserve">privately financed and closed with the Voluntary Inclusionary Housing Program </w:t>
      </w:r>
      <w:r w:rsidR="00BE040D" w:rsidRPr="00235721">
        <w:t xml:space="preserve">with no </w:t>
      </w:r>
      <w:r w:rsidR="008D086F">
        <w:t>C</w:t>
      </w:r>
      <w:r w:rsidR="00BE040D" w:rsidRPr="00235721">
        <w:t xml:space="preserve">ity subsidy. </w:t>
      </w:r>
      <w:proofErr w:type="spellStart"/>
      <w:r w:rsidR="00235721" w:rsidRPr="00235721">
        <w:t>Extell</w:t>
      </w:r>
      <w:proofErr w:type="spellEnd"/>
      <w:r w:rsidR="00235721" w:rsidRPr="00235721">
        <w:t xml:space="preserve"> partnered with the non-profit organization, Urban Pathways</w:t>
      </w:r>
      <w:r w:rsidR="008D086F">
        <w:t>,</w:t>
      </w:r>
      <w:r w:rsidR="00235721" w:rsidRPr="00235721">
        <w:t xml:space="preserve"> to form East 100</w:t>
      </w:r>
      <w:r w:rsidR="00235721">
        <w:t xml:space="preserve"> HDFC, its legal owner. </w:t>
      </w:r>
      <w:r w:rsidR="00235721" w:rsidRPr="00235721">
        <w:t>East 100</w:t>
      </w:r>
      <w:r w:rsidR="00235721">
        <w:t xml:space="preserve"> HDFC has an </w:t>
      </w:r>
      <w:r w:rsidR="00235721" w:rsidRPr="00235721">
        <w:t>existing 2016 regulatory agreement with HPD</w:t>
      </w:r>
      <w:r w:rsidR="00235721">
        <w:t>.</w:t>
      </w:r>
    </w:p>
    <w:p w14:paraId="05A0FCAA" w14:textId="77777777" w:rsidR="00235721" w:rsidRPr="00235721" w:rsidRDefault="00235721" w:rsidP="00235721">
      <w:pPr>
        <w:jc w:val="both"/>
      </w:pPr>
    </w:p>
    <w:p w14:paraId="5794A1A0" w14:textId="5DBF0F3E" w:rsidR="00817F6D" w:rsidRDefault="00BE040D" w:rsidP="00235721">
      <w:pPr>
        <w:jc w:val="both"/>
      </w:pPr>
      <w:r w:rsidRPr="00235721">
        <w:t xml:space="preserve">To help the HDFC cover taxes unanticipated at the time of project underwriting, </w:t>
      </w:r>
      <w:r w:rsidR="00817F6D" w:rsidRPr="00235721">
        <w:t xml:space="preserve">HPD is </w:t>
      </w:r>
      <w:r w:rsidRPr="00235721">
        <w:t xml:space="preserve">requesting that the Council approve a </w:t>
      </w:r>
      <w:r w:rsidR="00817F6D" w:rsidRPr="00235721">
        <w:t xml:space="preserve">partial 40-year Article XI </w:t>
      </w:r>
      <w:r w:rsidR="008D086F">
        <w:t xml:space="preserve">property </w:t>
      </w:r>
      <w:r w:rsidR="00817F6D" w:rsidRPr="00235721">
        <w:t>tax exemption</w:t>
      </w:r>
      <w:r w:rsidR="00235721">
        <w:t>, retroactive to 2016</w:t>
      </w:r>
      <w:r w:rsidR="00817F6D" w:rsidRPr="00235721">
        <w:t xml:space="preserve">. </w:t>
      </w:r>
      <w:r w:rsidRPr="00235721">
        <w:t>HPD and East 100 HDFC would remain subject to the existing regulatory agreement.</w:t>
      </w:r>
    </w:p>
    <w:p w14:paraId="6DAAEFF6" w14:textId="77777777" w:rsidR="008D086F" w:rsidRPr="00235721" w:rsidRDefault="008D086F" w:rsidP="00235721">
      <w:pPr>
        <w:jc w:val="both"/>
      </w:pPr>
    </w:p>
    <w:p w14:paraId="04D65B2F" w14:textId="77777777" w:rsidR="00191944" w:rsidRPr="00235721" w:rsidRDefault="00191944" w:rsidP="00235721">
      <w:pPr>
        <w:pStyle w:val="MediumGrid1-Accent21"/>
        <w:ind w:left="0"/>
        <w:jc w:val="both"/>
        <w:rPr>
          <w:u w:val="single"/>
        </w:rPr>
      </w:pPr>
      <w:r w:rsidRPr="00235721">
        <w:rPr>
          <w:u w:val="single"/>
        </w:rPr>
        <w:t>Summary</w:t>
      </w:r>
      <w:r w:rsidRPr="00235721">
        <w:t xml:space="preserve">: </w:t>
      </w:r>
    </w:p>
    <w:p w14:paraId="2E74D3EC" w14:textId="0738B7FA" w:rsidR="00191944" w:rsidRPr="00235721" w:rsidRDefault="00191944" w:rsidP="00235721">
      <w:pPr>
        <w:pStyle w:val="ListParagraph"/>
        <w:numPr>
          <w:ilvl w:val="0"/>
          <w:numId w:val="1"/>
        </w:numPr>
        <w:contextualSpacing w:val="0"/>
        <w:jc w:val="both"/>
      </w:pPr>
      <w:r w:rsidRPr="00235721">
        <w:t xml:space="preserve">Borough – </w:t>
      </w:r>
      <w:r w:rsidR="00BE040D" w:rsidRPr="00235721">
        <w:t>Manhattan</w:t>
      </w:r>
    </w:p>
    <w:p w14:paraId="52F2C0E7" w14:textId="1A8D36F7" w:rsidR="00191944" w:rsidRPr="00235721" w:rsidRDefault="00191944" w:rsidP="00235721">
      <w:pPr>
        <w:pStyle w:val="ListParagraph"/>
        <w:numPr>
          <w:ilvl w:val="0"/>
          <w:numId w:val="1"/>
        </w:numPr>
        <w:contextualSpacing w:val="0"/>
        <w:jc w:val="both"/>
      </w:pPr>
      <w:r w:rsidRPr="00235721">
        <w:rPr>
          <w:color w:val="000000"/>
        </w:rPr>
        <w:t xml:space="preserve">Block </w:t>
      </w:r>
      <w:r w:rsidR="00BE040D" w:rsidRPr="00235721">
        <w:rPr>
          <w:color w:val="000000"/>
        </w:rPr>
        <w:t>1627, Lot 43</w:t>
      </w:r>
    </w:p>
    <w:p w14:paraId="45DF324A" w14:textId="2AC3E032" w:rsidR="00191944" w:rsidRPr="00235721" w:rsidRDefault="00191944" w:rsidP="00235721">
      <w:pPr>
        <w:pStyle w:val="ListParagraph"/>
        <w:numPr>
          <w:ilvl w:val="0"/>
          <w:numId w:val="1"/>
        </w:numPr>
        <w:contextualSpacing w:val="0"/>
        <w:jc w:val="both"/>
      </w:pPr>
      <w:r w:rsidRPr="00235721">
        <w:t xml:space="preserve">Council District – </w:t>
      </w:r>
      <w:r w:rsidR="00BE040D" w:rsidRPr="00235721">
        <w:t>5</w:t>
      </w:r>
    </w:p>
    <w:p w14:paraId="1E990897" w14:textId="6FE9E5B3" w:rsidR="00191944" w:rsidRPr="00235721" w:rsidRDefault="00191944" w:rsidP="00235721">
      <w:pPr>
        <w:pStyle w:val="ListParagraph"/>
        <w:numPr>
          <w:ilvl w:val="0"/>
          <w:numId w:val="1"/>
        </w:numPr>
        <w:contextualSpacing w:val="0"/>
        <w:jc w:val="both"/>
      </w:pPr>
      <w:r w:rsidRPr="00235721">
        <w:t xml:space="preserve">Council Member – </w:t>
      </w:r>
      <w:r w:rsidR="00BE040D" w:rsidRPr="00235721">
        <w:t>Kallos</w:t>
      </w:r>
    </w:p>
    <w:p w14:paraId="6FEB5C2C" w14:textId="77777777" w:rsidR="00191944" w:rsidRPr="00235721" w:rsidRDefault="00191944" w:rsidP="00235721">
      <w:pPr>
        <w:pStyle w:val="ListParagraph"/>
        <w:numPr>
          <w:ilvl w:val="0"/>
          <w:numId w:val="1"/>
        </w:numPr>
        <w:contextualSpacing w:val="0"/>
        <w:jc w:val="both"/>
      </w:pPr>
      <w:r w:rsidRPr="00235721">
        <w:t>Council Member approval –Yes</w:t>
      </w:r>
    </w:p>
    <w:p w14:paraId="333C0397" w14:textId="025DE6F1" w:rsidR="00191944" w:rsidRPr="00235721" w:rsidRDefault="00191944" w:rsidP="00235721">
      <w:pPr>
        <w:pStyle w:val="ListParagraph"/>
        <w:numPr>
          <w:ilvl w:val="0"/>
          <w:numId w:val="1"/>
        </w:numPr>
        <w:contextualSpacing w:val="0"/>
        <w:jc w:val="both"/>
      </w:pPr>
      <w:r w:rsidRPr="00235721">
        <w:t xml:space="preserve">Number of buildings – </w:t>
      </w:r>
      <w:r w:rsidR="00767B2F" w:rsidRPr="00235721">
        <w:t>1</w:t>
      </w:r>
    </w:p>
    <w:p w14:paraId="20627839" w14:textId="4BCAEF30" w:rsidR="00191944" w:rsidRPr="00235721" w:rsidRDefault="00191944" w:rsidP="00235721">
      <w:pPr>
        <w:pStyle w:val="ListParagraph"/>
        <w:numPr>
          <w:ilvl w:val="0"/>
          <w:numId w:val="1"/>
        </w:numPr>
        <w:contextualSpacing w:val="0"/>
        <w:jc w:val="both"/>
      </w:pPr>
      <w:r w:rsidRPr="00235721">
        <w:t xml:space="preserve">Number of units – </w:t>
      </w:r>
      <w:r w:rsidR="00767B2F" w:rsidRPr="00235721">
        <w:t>11</w:t>
      </w:r>
    </w:p>
    <w:p w14:paraId="7CAAD74E" w14:textId="3804119C" w:rsidR="00191944" w:rsidRPr="00235721" w:rsidRDefault="00191944" w:rsidP="00235721">
      <w:pPr>
        <w:pStyle w:val="ListParagraph"/>
        <w:numPr>
          <w:ilvl w:val="0"/>
          <w:numId w:val="1"/>
        </w:numPr>
        <w:contextualSpacing w:val="0"/>
        <w:jc w:val="both"/>
      </w:pPr>
      <w:r w:rsidRPr="00235721">
        <w:t xml:space="preserve">Type of exemption – </w:t>
      </w:r>
      <w:r w:rsidR="00767B2F" w:rsidRPr="00235721">
        <w:t>Article XI, partial, 40-year</w:t>
      </w:r>
    </w:p>
    <w:p w14:paraId="4112B8CE" w14:textId="74EA6637" w:rsidR="00191944" w:rsidRPr="00235721" w:rsidRDefault="00191944" w:rsidP="00235721">
      <w:pPr>
        <w:pStyle w:val="ListParagraph"/>
        <w:numPr>
          <w:ilvl w:val="0"/>
          <w:numId w:val="1"/>
        </w:numPr>
        <w:contextualSpacing w:val="0"/>
        <w:jc w:val="both"/>
      </w:pPr>
      <w:r w:rsidRPr="00235721">
        <w:t xml:space="preserve">Population – </w:t>
      </w:r>
      <w:r w:rsidR="00767B2F" w:rsidRPr="00235721">
        <w:t>affordable rental housing</w:t>
      </w:r>
    </w:p>
    <w:p w14:paraId="06489F37" w14:textId="7AC41A5E" w:rsidR="00191944" w:rsidRPr="00235721" w:rsidRDefault="00191944" w:rsidP="00235721">
      <w:pPr>
        <w:pStyle w:val="ListParagraph"/>
        <w:numPr>
          <w:ilvl w:val="0"/>
          <w:numId w:val="1"/>
        </w:numPr>
        <w:contextualSpacing w:val="0"/>
        <w:jc w:val="both"/>
      </w:pPr>
      <w:r w:rsidRPr="00235721">
        <w:t xml:space="preserve">Sponsor – </w:t>
      </w:r>
      <w:r w:rsidR="00767B2F" w:rsidRPr="00235721">
        <w:t>Urban Pathways, 166 East 100 Owner LLC</w:t>
      </w:r>
      <w:r w:rsidR="00235721" w:rsidRPr="00235721">
        <w:t xml:space="preserve">, </w:t>
      </w:r>
      <w:r w:rsidR="00767B2F" w:rsidRPr="00235721">
        <w:t>East 100 HDFC</w:t>
      </w:r>
    </w:p>
    <w:p w14:paraId="2B10B56F" w14:textId="6BA9A877" w:rsidR="00191944" w:rsidRPr="00235721" w:rsidRDefault="00191944" w:rsidP="00235721">
      <w:pPr>
        <w:pStyle w:val="ListParagraph"/>
        <w:numPr>
          <w:ilvl w:val="0"/>
          <w:numId w:val="1"/>
        </w:numPr>
        <w:contextualSpacing w:val="0"/>
        <w:jc w:val="both"/>
      </w:pPr>
      <w:r w:rsidRPr="00235721">
        <w:t xml:space="preserve">Purpose – </w:t>
      </w:r>
      <w:r w:rsidR="00235721" w:rsidRPr="00235721">
        <w:t>preservation</w:t>
      </w:r>
    </w:p>
    <w:p w14:paraId="3B0D1C7F" w14:textId="2F9D11F2" w:rsidR="00191944" w:rsidRPr="00235721" w:rsidRDefault="00191944" w:rsidP="00235721">
      <w:pPr>
        <w:pStyle w:val="ListParagraph"/>
        <w:numPr>
          <w:ilvl w:val="0"/>
          <w:numId w:val="1"/>
        </w:numPr>
        <w:contextualSpacing w:val="0"/>
        <w:jc w:val="both"/>
      </w:pPr>
      <w:r w:rsidRPr="00235721">
        <w:t xml:space="preserve">Cost to the city – </w:t>
      </w:r>
      <w:r w:rsidR="00235721" w:rsidRPr="00235721">
        <w:t>$0.7 million</w:t>
      </w:r>
    </w:p>
    <w:p w14:paraId="010AFE52" w14:textId="77777777" w:rsidR="00191944" w:rsidRPr="00235721" w:rsidRDefault="00191944" w:rsidP="00235721">
      <w:pPr>
        <w:pStyle w:val="ListParagraph"/>
        <w:numPr>
          <w:ilvl w:val="0"/>
          <w:numId w:val="1"/>
        </w:numPr>
        <w:contextualSpacing w:val="0"/>
        <w:jc w:val="both"/>
      </w:pPr>
      <w:r w:rsidRPr="00235721">
        <w:t xml:space="preserve">Housing Code Violations </w:t>
      </w:r>
    </w:p>
    <w:p w14:paraId="1DCB3C86" w14:textId="498A791D" w:rsidR="00191944" w:rsidRPr="00235721" w:rsidRDefault="00191944" w:rsidP="00A34EAA">
      <w:pPr>
        <w:pStyle w:val="ListParagraph"/>
        <w:numPr>
          <w:ilvl w:val="1"/>
          <w:numId w:val="1"/>
        </w:numPr>
        <w:contextualSpacing w:val="0"/>
        <w:jc w:val="both"/>
      </w:pPr>
      <w:r w:rsidRPr="00235721">
        <w:t xml:space="preserve">Class A – </w:t>
      </w:r>
      <w:r w:rsidR="00235721" w:rsidRPr="00235721">
        <w:t>0</w:t>
      </w:r>
    </w:p>
    <w:p w14:paraId="18DDA505" w14:textId="597E2FFE" w:rsidR="00191944" w:rsidRPr="00235721" w:rsidRDefault="00191944" w:rsidP="00A34EAA">
      <w:pPr>
        <w:pStyle w:val="ListParagraph"/>
        <w:numPr>
          <w:ilvl w:val="1"/>
          <w:numId w:val="1"/>
        </w:numPr>
        <w:contextualSpacing w:val="0"/>
        <w:jc w:val="both"/>
      </w:pPr>
      <w:r w:rsidRPr="00235721">
        <w:t xml:space="preserve">Class B – </w:t>
      </w:r>
      <w:r w:rsidR="00235721" w:rsidRPr="00235721">
        <w:t>0</w:t>
      </w:r>
    </w:p>
    <w:p w14:paraId="0A10629C" w14:textId="394F0667" w:rsidR="00191944" w:rsidRPr="00235721" w:rsidRDefault="00191944" w:rsidP="00A34EAA">
      <w:pPr>
        <w:pStyle w:val="ListParagraph"/>
        <w:numPr>
          <w:ilvl w:val="1"/>
          <w:numId w:val="1"/>
        </w:numPr>
        <w:contextualSpacing w:val="0"/>
        <w:jc w:val="both"/>
      </w:pPr>
      <w:r w:rsidRPr="00235721">
        <w:t xml:space="preserve">Class C – </w:t>
      </w:r>
      <w:r w:rsidR="00235721" w:rsidRPr="00235721">
        <w:t>0</w:t>
      </w:r>
    </w:p>
    <w:p w14:paraId="31A3B5D4" w14:textId="477A2873" w:rsidR="00191944" w:rsidRPr="00235721" w:rsidRDefault="00191944" w:rsidP="00A34EAA">
      <w:pPr>
        <w:pStyle w:val="ListParagraph"/>
        <w:numPr>
          <w:ilvl w:val="0"/>
          <w:numId w:val="1"/>
        </w:numPr>
        <w:contextualSpacing w:val="0"/>
        <w:jc w:val="both"/>
      </w:pPr>
      <w:r w:rsidRPr="00235721">
        <w:t xml:space="preserve">AMI target – </w:t>
      </w:r>
      <w:r w:rsidR="00235721" w:rsidRPr="00235721">
        <w:t>80% AMI</w:t>
      </w:r>
    </w:p>
    <w:p w14:paraId="64034E45" w14:textId="71CBDDA8" w:rsidR="008A34C5" w:rsidRDefault="008A34C5" w:rsidP="00A34EAA">
      <w:pPr>
        <w:jc w:val="both"/>
      </w:pPr>
    </w:p>
    <w:p w14:paraId="1F47BBF3" w14:textId="2A193B61" w:rsidR="00235721" w:rsidRDefault="00FE37A3" w:rsidP="00235721">
      <w:pPr>
        <w:jc w:val="both"/>
        <w:rPr>
          <w:b/>
          <w:u w:val="single"/>
        </w:rPr>
      </w:pPr>
      <w:r>
        <w:rPr>
          <w:b/>
          <w:u w:val="single"/>
        </w:rPr>
        <w:t>Item 8</w:t>
      </w:r>
      <w:r w:rsidR="00235721" w:rsidRPr="00235721">
        <w:rPr>
          <w:b/>
          <w:u w:val="single"/>
        </w:rPr>
        <w:t>: Belmont Daniel</w:t>
      </w:r>
    </w:p>
    <w:p w14:paraId="5CCEEC25" w14:textId="77777777" w:rsidR="00235721" w:rsidRPr="00235721" w:rsidRDefault="00235721" w:rsidP="00235721">
      <w:pPr>
        <w:jc w:val="both"/>
      </w:pPr>
    </w:p>
    <w:p w14:paraId="316A58B4" w14:textId="76B9E20C" w:rsidR="00235721" w:rsidRDefault="00235721" w:rsidP="00235721">
      <w:pPr>
        <w:jc w:val="both"/>
      </w:pPr>
      <w:r w:rsidRPr="00235721">
        <w:t>The Belmont Daniel HDFC project consists of two six-</w:t>
      </w:r>
      <w:r w:rsidR="008D086F">
        <w:t>story</w:t>
      </w:r>
      <w:r w:rsidR="008D086F" w:rsidRPr="00235721">
        <w:t xml:space="preserve"> </w:t>
      </w:r>
      <w:r w:rsidRPr="00235721">
        <w:t>buildings</w:t>
      </w:r>
      <w:r w:rsidR="008D086F">
        <w:t xml:space="preserve"> containing 112 units</w:t>
      </w:r>
      <w:r w:rsidR="00FE37A3">
        <w:t xml:space="preserve"> on a single tax lot</w:t>
      </w:r>
      <w:r w:rsidRPr="00235721">
        <w:t xml:space="preserve"> in </w:t>
      </w:r>
      <w:r>
        <w:t>St. George</w:t>
      </w:r>
      <w:r w:rsidR="008D086F">
        <w:t xml:space="preserve"> on Staten Island</w:t>
      </w:r>
      <w:r>
        <w:t xml:space="preserve">. </w:t>
      </w:r>
      <w:r w:rsidRPr="00235721">
        <w:t>Of the 112 units, 76 are one-bedroom units</w:t>
      </w:r>
      <w:r>
        <w:t xml:space="preserve"> (inclusive of one superintendent unit)</w:t>
      </w:r>
      <w:r w:rsidRPr="00235721">
        <w:t xml:space="preserve">, 24 are two-bedrooms, and 12 are three-bedrooms. The site also includes a surface parking lot with 47 </w:t>
      </w:r>
      <w:r w:rsidR="00FE37A3">
        <w:t xml:space="preserve">parking </w:t>
      </w:r>
      <w:r w:rsidRPr="00235721">
        <w:t xml:space="preserve">spaces. </w:t>
      </w:r>
      <w:r w:rsidR="008D086F">
        <w:t>Thirty-two of the units are vacant.</w:t>
      </w:r>
    </w:p>
    <w:p w14:paraId="70391034" w14:textId="77777777" w:rsidR="00235721" w:rsidRDefault="00235721" w:rsidP="00235721">
      <w:pPr>
        <w:jc w:val="both"/>
      </w:pPr>
    </w:p>
    <w:p w14:paraId="347BD86D" w14:textId="4D5E82C7" w:rsidR="00235721" w:rsidRDefault="00235721" w:rsidP="00235721">
      <w:pPr>
        <w:jc w:val="both"/>
      </w:pPr>
      <w:r w:rsidRPr="00235721">
        <w:t xml:space="preserve">The buildings are currently in Alternative Enforcement Program (AEP) and on the Certificate of No Harassment (CONH) Pilot list. The buildings were added to the CONH Pilot list due to their inclusion in AEP and </w:t>
      </w:r>
      <w:r w:rsidR="008D086F">
        <w:t>a</w:t>
      </w:r>
      <w:r w:rsidR="00326EF2">
        <w:t>n</w:t>
      </w:r>
      <w:r w:rsidR="008D086F" w:rsidRPr="00235721">
        <w:t xml:space="preserve"> </w:t>
      </w:r>
      <w:r w:rsidRPr="00235721">
        <w:t>active vacate order.</w:t>
      </w:r>
      <w:r>
        <w:t xml:space="preserve"> </w:t>
      </w:r>
    </w:p>
    <w:p w14:paraId="1BCB2BE1" w14:textId="77777777" w:rsidR="00235721" w:rsidRPr="00FE37A3" w:rsidRDefault="00235721" w:rsidP="00235721">
      <w:pPr>
        <w:jc w:val="both"/>
      </w:pPr>
    </w:p>
    <w:p w14:paraId="424D04B9" w14:textId="194CFD6E" w:rsidR="00FE37A3" w:rsidRDefault="00235721" w:rsidP="00235721">
      <w:pPr>
        <w:jc w:val="both"/>
      </w:pPr>
      <w:r w:rsidRPr="00FE37A3">
        <w:t xml:space="preserve">Iris Holdings Group would </w:t>
      </w:r>
      <w:r w:rsidR="003B7F98" w:rsidRPr="00FE37A3">
        <w:t xml:space="preserve">form Belmont Daniel HDFC </w:t>
      </w:r>
      <w:r w:rsidR="003B7F98">
        <w:t xml:space="preserve">as legal owner and </w:t>
      </w:r>
      <w:r w:rsidRPr="00FE37A3">
        <w:t>acquire the buildings from the Public Administrator and Receiver of the properties. Following acquisition, Iris plans to remediate all open violations, rehab</w:t>
      </w:r>
      <w:r w:rsidR="008D086F">
        <w:t>ilitate</w:t>
      </w:r>
      <w:r w:rsidRPr="00FE37A3">
        <w:t xml:space="preserve"> the vacant units, repair the façade, and replace the boiler and elevators. </w:t>
      </w:r>
    </w:p>
    <w:p w14:paraId="3DFBD330" w14:textId="77777777" w:rsidR="00FE37A3" w:rsidRDefault="00FE37A3" w:rsidP="00235721">
      <w:pPr>
        <w:jc w:val="both"/>
      </w:pPr>
    </w:p>
    <w:p w14:paraId="15A34D55" w14:textId="1FA50F6B" w:rsidR="00FE37A3" w:rsidRPr="00FE37A3" w:rsidRDefault="00FE37A3" w:rsidP="00235721">
      <w:pPr>
        <w:jc w:val="both"/>
      </w:pPr>
      <w:r w:rsidRPr="00235721">
        <w:t xml:space="preserve">HPD is requesting that the Council approve a </w:t>
      </w:r>
      <w:r>
        <w:t xml:space="preserve">partial </w:t>
      </w:r>
      <w:r w:rsidRPr="00235721">
        <w:t>40-year Article XI tax exemption</w:t>
      </w:r>
      <w:r>
        <w:t xml:space="preserve">. </w:t>
      </w:r>
      <w:r w:rsidRPr="00FE37A3">
        <w:t>Iris</w:t>
      </w:r>
      <w:r w:rsidR="008D086F">
        <w:t>,</w:t>
      </w:r>
      <w:r w:rsidR="003B7F98">
        <w:t xml:space="preserve"> the HDFC</w:t>
      </w:r>
      <w:r w:rsidR="008D086F">
        <w:t>, and HPD</w:t>
      </w:r>
      <w:r w:rsidR="003B7F98">
        <w:t xml:space="preserve"> would </w:t>
      </w:r>
      <w:r w:rsidRPr="00FE37A3">
        <w:t xml:space="preserve">enter into a regulatory agreement that would require that 11 units be leased to households with incomes up to 65% AMI, 58 units be leased to households with incomes up to 80% AMI, 34 units be leased to households with incomes up to 90% AMI, and </w:t>
      </w:r>
      <w:r w:rsidR="008D086F">
        <w:t>eight</w:t>
      </w:r>
      <w:r w:rsidRPr="00FE37A3">
        <w:t xml:space="preserve"> units be leased to households with incomes up to 120% AMI. The agreement would also require a </w:t>
      </w:r>
      <w:r w:rsidRPr="00FE37A3">
        <w:rPr>
          <w:rFonts w:eastAsia="Arial"/>
        </w:rPr>
        <w:t xml:space="preserve">30% homeless set-aside and 20% permanent affordability. </w:t>
      </w:r>
    </w:p>
    <w:p w14:paraId="251397A4" w14:textId="77777777" w:rsidR="00FE37A3" w:rsidRPr="00FE37A3" w:rsidRDefault="00FE37A3" w:rsidP="00235721">
      <w:pPr>
        <w:pStyle w:val="MediumGrid1-Accent21"/>
        <w:ind w:left="0"/>
        <w:jc w:val="both"/>
        <w:rPr>
          <w:u w:val="single"/>
        </w:rPr>
      </w:pPr>
    </w:p>
    <w:p w14:paraId="77113332" w14:textId="4A6F260D" w:rsidR="00235721" w:rsidRPr="00FE37A3" w:rsidRDefault="00235721" w:rsidP="00235721">
      <w:pPr>
        <w:pStyle w:val="MediumGrid1-Accent21"/>
        <w:ind w:left="0"/>
        <w:jc w:val="both"/>
        <w:rPr>
          <w:u w:val="single"/>
        </w:rPr>
      </w:pPr>
      <w:r w:rsidRPr="00FE37A3">
        <w:rPr>
          <w:u w:val="single"/>
        </w:rPr>
        <w:t>Summary</w:t>
      </w:r>
      <w:r w:rsidRPr="00FE37A3">
        <w:t xml:space="preserve">: </w:t>
      </w:r>
    </w:p>
    <w:p w14:paraId="69E5EAD7" w14:textId="6DFEBDFA" w:rsidR="00235721" w:rsidRPr="00FE37A3" w:rsidRDefault="00235721" w:rsidP="00235721">
      <w:pPr>
        <w:pStyle w:val="ListParagraph"/>
        <w:numPr>
          <w:ilvl w:val="0"/>
          <w:numId w:val="1"/>
        </w:numPr>
        <w:contextualSpacing w:val="0"/>
        <w:jc w:val="both"/>
      </w:pPr>
      <w:r w:rsidRPr="00FE37A3">
        <w:t xml:space="preserve">Borough – </w:t>
      </w:r>
      <w:r w:rsidR="00FE37A3">
        <w:t>Staten Island</w:t>
      </w:r>
    </w:p>
    <w:p w14:paraId="346F26AD" w14:textId="4CA811D9" w:rsidR="00235721" w:rsidRPr="00FE37A3" w:rsidRDefault="00235721" w:rsidP="00235721">
      <w:pPr>
        <w:pStyle w:val="ListParagraph"/>
        <w:numPr>
          <w:ilvl w:val="0"/>
          <w:numId w:val="1"/>
        </w:numPr>
        <w:contextualSpacing w:val="0"/>
        <w:jc w:val="both"/>
      </w:pPr>
      <w:r w:rsidRPr="00FE37A3">
        <w:rPr>
          <w:color w:val="000000"/>
        </w:rPr>
        <w:t xml:space="preserve">Block </w:t>
      </w:r>
      <w:r w:rsidR="00FE37A3">
        <w:rPr>
          <w:color w:val="000000"/>
        </w:rPr>
        <w:t>20, Lot 8</w:t>
      </w:r>
    </w:p>
    <w:p w14:paraId="272B9C42" w14:textId="090E44FA" w:rsidR="00235721" w:rsidRPr="00FE37A3" w:rsidRDefault="00235721" w:rsidP="00235721">
      <w:pPr>
        <w:pStyle w:val="ListParagraph"/>
        <w:numPr>
          <w:ilvl w:val="0"/>
          <w:numId w:val="1"/>
        </w:numPr>
        <w:contextualSpacing w:val="0"/>
        <w:jc w:val="both"/>
      </w:pPr>
      <w:r w:rsidRPr="00FE37A3">
        <w:t xml:space="preserve">Council District – </w:t>
      </w:r>
      <w:r w:rsidR="00FE37A3">
        <w:t>49</w:t>
      </w:r>
    </w:p>
    <w:p w14:paraId="4F16488C" w14:textId="2804B596" w:rsidR="00235721" w:rsidRPr="00FE37A3" w:rsidRDefault="00235721" w:rsidP="00235721">
      <w:pPr>
        <w:pStyle w:val="ListParagraph"/>
        <w:numPr>
          <w:ilvl w:val="0"/>
          <w:numId w:val="1"/>
        </w:numPr>
        <w:contextualSpacing w:val="0"/>
        <w:jc w:val="both"/>
      </w:pPr>
      <w:r w:rsidRPr="00FE37A3">
        <w:t xml:space="preserve">Council Member – </w:t>
      </w:r>
      <w:r w:rsidR="00FE37A3">
        <w:t>Rose</w:t>
      </w:r>
    </w:p>
    <w:p w14:paraId="24EA0205" w14:textId="77777777" w:rsidR="00235721" w:rsidRPr="00235721" w:rsidRDefault="00235721" w:rsidP="00235721">
      <w:pPr>
        <w:pStyle w:val="ListParagraph"/>
        <w:numPr>
          <w:ilvl w:val="0"/>
          <w:numId w:val="1"/>
        </w:numPr>
        <w:contextualSpacing w:val="0"/>
        <w:jc w:val="both"/>
      </w:pPr>
      <w:r w:rsidRPr="00235721">
        <w:t>Council Member approval –Yes</w:t>
      </w:r>
    </w:p>
    <w:p w14:paraId="405C4784" w14:textId="789550F6" w:rsidR="00235721" w:rsidRPr="00235721" w:rsidRDefault="00235721" w:rsidP="00235721">
      <w:pPr>
        <w:pStyle w:val="ListParagraph"/>
        <w:numPr>
          <w:ilvl w:val="0"/>
          <w:numId w:val="1"/>
        </w:numPr>
        <w:contextualSpacing w:val="0"/>
        <w:jc w:val="both"/>
      </w:pPr>
      <w:r w:rsidRPr="00235721">
        <w:t xml:space="preserve">Number of buildings – </w:t>
      </w:r>
      <w:r w:rsidR="00FE37A3">
        <w:t>2</w:t>
      </w:r>
    </w:p>
    <w:p w14:paraId="2F307AA8" w14:textId="1F3169B8" w:rsidR="00235721" w:rsidRPr="00235721" w:rsidRDefault="00235721" w:rsidP="00235721">
      <w:pPr>
        <w:pStyle w:val="ListParagraph"/>
        <w:numPr>
          <w:ilvl w:val="0"/>
          <w:numId w:val="1"/>
        </w:numPr>
        <w:contextualSpacing w:val="0"/>
        <w:jc w:val="both"/>
      </w:pPr>
      <w:r w:rsidRPr="00235721">
        <w:t xml:space="preserve">Number of units – </w:t>
      </w:r>
      <w:r w:rsidR="00FE37A3">
        <w:t>112</w:t>
      </w:r>
    </w:p>
    <w:p w14:paraId="71DE417D" w14:textId="77777777" w:rsidR="00235721" w:rsidRPr="00235721" w:rsidRDefault="00235721" w:rsidP="00235721">
      <w:pPr>
        <w:pStyle w:val="ListParagraph"/>
        <w:numPr>
          <w:ilvl w:val="0"/>
          <w:numId w:val="1"/>
        </w:numPr>
        <w:contextualSpacing w:val="0"/>
        <w:jc w:val="both"/>
      </w:pPr>
      <w:r w:rsidRPr="00235721">
        <w:t>Type of exemption – Article XI, partial, 40-year</w:t>
      </w:r>
    </w:p>
    <w:p w14:paraId="76835D08" w14:textId="77777777" w:rsidR="00235721" w:rsidRPr="00235721" w:rsidRDefault="00235721" w:rsidP="00235721">
      <w:pPr>
        <w:pStyle w:val="ListParagraph"/>
        <w:numPr>
          <w:ilvl w:val="0"/>
          <w:numId w:val="1"/>
        </w:numPr>
        <w:contextualSpacing w:val="0"/>
        <w:jc w:val="both"/>
      </w:pPr>
      <w:r w:rsidRPr="00235721">
        <w:t>Population – affordable rental housing</w:t>
      </w:r>
    </w:p>
    <w:p w14:paraId="33CC09F9" w14:textId="1C4EC11B" w:rsidR="00FE37A3" w:rsidRDefault="00235721" w:rsidP="00FE37A3">
      <w:pPr>
        <w:pStyle w:val="ListParagraph"/>
        <w:numPr>
          <w:ilvl w:val="0"/>
          <w:numId w:val="1"/>
        </w:numPr>
        <w:contextualSpacing w:val="0"/>
        <w:jc w:val="both"/>
      </w:pPr>
      <w:r w:rsidRPr="00235721">
        <w:t xml:space="preserve">Sponsor – </w:t>
      </w:r>
      <w:r w:rsidR="00FE37A3" w:rsidRPr="00FE37A3">
        <w:t>Iris Holdings Group</w:t>
      </w:r>
      <w:r w:rsidR="00FE37A3">
        <w:t xml:space="preserve">, Black Iris Capital, </w:t>
      </w:r>
      <w:r w:rsidR="00FE37A3" w:rsidRPr="00FE37A3">
        <w:t>Belmont Daniel HDFC</w:t>
      </w:r>
    </w:p>
    <w:p w14:paraId="73C43082" w14:textId="77777777" w:rsidR="00235721" w:rsidRPr="00235721" w:rsidRDefault="00235721" w:rsidP="00235721">
      <w:pPr>
        <w:pStyle w:val="ListParagraph"/>
        <w:numPr>
          <w:ilvl w:val="0"/>
          <w:numId w:val="1"/>
        </w:numPr>
        <w:contextualSpacing w:val="0"/>
        <w:jc w:val="both"/>
      </w:pPr>
      <w:r w:rsidRPr="00235721">
        <w:t>Purpose – preservation</w:t>
      </w:r>
    </w:p>
    <w:p w14:paraId="4885CE48" w14:textId="74DF17DD" w:rsidR="00235721" w:rsidRPr="00235721" w:rsidRDefault="00235721" w:rsidP="00235721">
      <w:pPr>
        <w:pStyle w:val="ListParagraph"/>
        <w:numPr>
          <w:ilvl w:val="0"/>
          <w:numId w:val="1"/>
        </w:numPr>
        <w:contextualSpacing w:val="0"/>
        <w:jc w:val="both"/>
      </w:pPr>
      <w:r w:rsidRPr="00235721">
        <w:t>Cost to the city – $</w:t>
      </w:r>
      <w:r w:rsidR="00FE37A3">
        <w:t>7.6</w:t>
      </w:r>
      <w:r w:rsidRPr="00235721">
        <w:t xml:space="preserve"> million</w:t>
      </w:r>
    </w:p>
    <w:p w14:paraId="50477F17" w14:textId="77777777" w:rsidR="00235721" w:rsidRPr="00235721" w:rsidRDefault="00235721" w:rsidP="00235721">
      <w:pPr>
        <w:pStyle w:val="ListParagraph"/>
        <w:numPr>
          <w:ilvl w:val="0"/>
          <w:numId w:val="1"/>
        </w:numPr>
        <w:contextualSpacing w:val="0"/>
        <w:jc w:val="both"/>
      </w:pPr>
      <w:r w:rsidRPr="00235721">
        <w:t xml:space="preserve">Housing Code Violations </w:t>
      </w:r>
    </w:p>
    <w:p w14:paraId="61E37483" w14:textId="304E9FAC" w:rsidR="00235721" w:rsidRPr="00235721" w:rsidRDefault="00235721" w:rsidP="00235721">
      <w:pPr>
        <w:pStyle w:val="ListParagraph"/>
        <w:numPr>
          <w:ilvl w:val="1"/>
          <w:numId w:val="1"/>
        </w:numPr>
        <w:contextualSpacing w:val="0"/>
        <w:jc w:val="both"/>
      </w:pPr>
      <w:r w:rsidRPr="00235721">
        <w:t xml:space="preserve">Class A – </w:t>
      </w:r>
      <w:r w:rsidR="00FE37A3">
        <w:t>90</w:t>
      </w:r>
    </w:p>
    <w:p w14:paraId="6DF9B9A7" w14:textId="4A601DD4" w:rsidR="00235721" w:rsidRPr="00235721" w:rsidRDefault="00235721" w:rsidP="00235721">
      <w:pPr>
        <w:pStyle w:val="ListParagraph"/>
        <w:numPr>
          <w:ilvl w:val="1"/>
          <w:numId w:val="1"/>
        </w:numPr>
        <w:contextualSpacing w:val="0"/>
        <w:jc w:val="both"/>
      </w:pPr>
      <w:r w:rsidRPr="00235721">
        <w:t xml:space="preserve">Class B – </w:t>
      </w:r>
      <w:r w:rsidR="00FE37A3">
        <w:t>387</w:t>
      </w:r>
    </w:p>
    <w:p w14:paraId="2054235F" w14:textId="585D88C3" w:rsidR="00235721" w:rsidRPr="00235721" w:rsidRDefault="00235721" w:rsidP="00235721">
      <w:pPr>
        <w:pStyle w:val="ListParagraph"/>
        <w:numPr>
          <w:ilvl w:val="1"/>
          <w:numId w:val="1"/>
        </w:numPr>
        <w:contextualSpacing w:val="0"/>
        <w:jc w:val="both"/>
      </w:pPr>
      <w:r w:rsidRPr="00235721">
        <w:t xml:space="preserve">Class C – </w:t>
      </w:r>
      <w:r w:rsidR="00FE37A3">
        <w:t>45</w:t>
      </w:r>
    </w:p>
    <w:p w14:paraId="56DDB5F9" w14:textId="6688D7C3" w:rsidR="00235721" w:rsidRPr="00235721" w:rsidRDefault="00235721" w:rsidP="00235721">
      <w:pPr>
        <w:pStyle w:val="ListParagraph"/>
        <w:numPr>
          <w:ilvl w:val="0"/>
          <w:numId w:val="1"/>
        </w:numPr>
        <w:contextualSpacing w:val="0"/>
        <w:jc w:val="both"/>
      </w:pPr>
      <w:r w:rsidRPr="00235721">
        <w:t xml:space="preserve">AMI target – </w:t>
      </w:r>
      <w:r w:rsidR="00FE37A3">
        <w:t xml:space="preserve">11 units at 65%, 58 units at </w:t>
      </w:r>
      <w:r w:rsidRPr="00235721">
        <w:t>80% AMI</w:t>
      </w:r>
      <w:r w:rsidR="00FE37A3">
        <w:t>, 34 units at 80% AMI, 8 units at 100% AMI</w:t>
      </w:r>
    </w:p>
    <w:p w14:paraId="350359C3" w14:textId="4F946B72" w:rsidR="00235721" w:rsidRDefault="00235721" w:rsidP="00A34EAA">
      <w:pPr>
        <w:jc w:val="both"/>
      </w:pPr>
    </w:p>
    <w:p w14:paraId="2982CAD0" w14:textId="6927E662" w:rsidR="00D62D1A" w:rsidRDefault="00D62D1A" w:rsidP="00D62D1A">
      <w:pPr>
        <w:jc w:val="both"/>
        <w:rPr>
          <w:b/>
          <w:u w:val="single"/>
        </w:rPr>
      </w:pPr>
      <w:r>
        <w:rPr>
          <w:b/>
          <w:u w:val="single"/>
        </w:rPr>
        <w:t>Item 9</w:t>
      </w:r>
      <w:r w:rsidRPr="00235721">
        <w:rPr>
          <w:b/>
          <w:u w:val="single"/>
        </w:rPr>
        <w:t xml:space="preserve">: </w:t>
      </w:r>
      <w:r w:rsidRPr="00D62D1A">
        <w:rPr>
          <w:b/>
          <w:u w:val="single"/>
        </w:rPr>
        <w:t>Manhattan Ave Apartments</w:t>
      </w:r>
    </w:p>
    <w:p w14:paraId="19AB6947" w14:textId="610E276A" w:rsidR="00D62D1A" w:rsidRDefault="00D62D1A" w:rsidP="00D62D1A">
      <w:pPr>
        <w:jc w:val="both"/>
      </w:pPr>
    </w:p>
    <w:p w14:paraId="2E6D7158" w14:textId="542EADB5" w:rsidR="006261DD" w:rsidRPr="006261DD" w:rsidRDefault="00E815E8" w:rsidP="006261DD">
      <w:pPr>
        <w:jc w:val="both"/>
      </w:pPr>
      <w:r>
        <w:t xml:space="preserve">The </w:t>
      </w:r>
      <w:r w:rsidRPr="00E815E8">
        <w:t xml:space="preserve">Manhattan Ave </w:t>
      </w:r>
      <w:r w:rsidRPr="006261DD">
        <w:t xml:space="preserve">Apartments </w:t>
      </w:r>
      <w:r w:rsidR="006261DD" w:rsidRPr="006261DD">
        <w:t xml:space="preserve">project consists of four buildings </w:t>
      </w:r>
      <w:r w:rsidR="00BD0E27">
        <w:t xml:space="preserve">on a single tax lot </w:t>
      </w:r>
      <w:r w:rsidR="006261DD" w:rsidRPr="006261DD">
        <w:t xml:space="preserve">in Manhattan Valley. Its 81 residential units consist of seven studio units, 38 one-bedroom units, 21 two-bedroom units (inclusive of one superintendent unit), and 15 three-bedroom units. </w:t>
      </w:r>
    </w:p>
    <w:p w14:paraId="5EABD9FA" w14:textId="77777777" w:rsidR="006261DD" w:rsidRPr="006261DD" w:rsidRDefault="006261DD" w:rsidP="006261DD">
      <w:pPr>
        <w:jc w:val="both"/>
      </w:pPr>
    </w:p>
    <w:p w14:paraId="6136A126" w14:textId="7F023745" w:rsidR="00BD0E27" w:rsidRDefault="006261DD" w:rsidP="00BD0E27">
      <w:pPr>
        <w:jc w:val="both"/>
      </w:pPr>
      <w:r w:rsidRPr="006261DD">
        <w:t xml:space="preserve">In 1982 the City transferred the </w:t>
      </w:r>
      <w:r w:rsidR="00BD0E27">
        <w:t xml:space="preserve">tax </w:t>
      </w:r>
      <w:r w:rsidRPr="006261DD">
        <w:t>lot to an Article V redevelopment company and approved a partial Article V tax exemption that continue</w:t>
      </w:r>
      <w:r w:rsidR="00BD0E27">
        <w:t>s</w:t>
      </w:r>
      <w:r w:rsidRPr="006261DD">
        <w:t xml:space="preserve"> </w:t>
      </w:r>
      <w:r>
        <w:t xml:space="preserve">until the sooner of 2023 or the payoff of the </w:t>
      </w:r>
      <w:r w:rsidRPr="006261DD">
        <w:t xml:space="preserve">HUD mortgage. </w:t>
      </w:r>
      <w:r w:rsidR="008D086F">
        <w:rPr>
          <w:color w:val="000000"/>
        </w:rPr>
        <w:t>The o</w:t>
      </w:r>
      <w:r w:rsidR="00BD0E27" w:rsidRPr="006261DD">
        <w:rPr>
          <w:color w:val="000000"/>
        </w:rPr>
        <w:t xml:space="preserve">wner, </w:t>
      </w:r>
      <w:r w:rsidR="00BD0E27" w:rsidRPr="006261DD">
        <w:t>LIHC Investment Group, operating through Manhattan Avenue Associates, L.P.</w:t>
      </w:r>
      <w:r w:rsidR="00BD0E27">
        <w:t xml:space="preserve">, </w:t>
      </w:r>
      <w:r w:rsidRPr="006261DD">
        <w:rPr>
          <w:color w:val="000000" w:themeColor="text1"/>
        </w:rPr>
        <w:t xml:space="preserve">refinanced </w:t>
      </w:r>
      <w:r w:rsidR="00BD0E27">
        <w:rPr>
          <w:color w:val="000000" w:themeColor="text1"/>
        </w:rPr>
        <w:t xml:space="preserve">the project </w:t>
      </w:r>
      <w:r w:rsidRPr="006261DD">
        <w:rPr>
          <w:color w:val="000000" w:themeColor="text1"/>
        </w:rPr>
        <w:t xml:space="preserve">in August 2018 using a HUD loan and received a 20-year HAP </w:t>
      </w:r>
      <w:r w:rsidR="00BD0E27" w:rsidRPr="00235721">
        <w:t xml:space="preserve">Section 8 contract. </w:t>
      </w:r>
    </w:p>
    <w:p w14:paraId="0A820C42" w14:textId="77777777" w:rsidR="00BD0E27" w:rsidRDefault="00BD0E27" w:rsidP="00BD0E27">
      <w:pPr>
        <w:pStyle w:val="MediumGrid1-Accent21"/>
        <w:ind w:left="0"/>
        <w:jc w:val="both"/>
        <w:rPr>
          <w:color w:val="000000" w:themeColor="text1"/>
        </w:rPr>
      </w:pPr>
    </w:p>
    <w:p w14:paraId="1B05772B" w14:textId="1A4D31F9" w:rsidR="00BD0E27" w:rsidRDefault="00BD0E27" w:rsidP="00BD0E27">
      <w:pPr>
        <w:jc w:val="both"/>
      </w:pPr>
      <w:r>
        <w:t xml:space="preserve">HPD </w:t>
      </w:r>
      <w:r w:rsidRPr="00235721">
        <w:t xml:space="preserve">is requesting that the Council approve a </w:t>
      </w:r>
      <w:r>
        <w:t xml:space="preserve">partial </w:t>
      </w:r>
      <w:r w:rsidRPr="00235721">
        <w:t xml:space="preserve">40-year Article XI </w:t>
      </w:r>
      <w:r w:rsidR="008D086F">
        <w:t xml:space="preserve">property </w:t>
      </w:r>
      <w:r w:rsidRPr="00235721">
        <w:t>tax exemption</w:t>
      </w:r>
      <w:r>
        <w:t xml:space="preserve">. The existing partnership would dissolve the Article V tax exemption, enter into a new partnership with </w:t>
      </w:r>
      <w:r w:rsidRPr="003F4F19">
        <w:t>Manhattan Avenue Apartments</w:t>
      </w:r>
      <w:r>
        <w:t xml:space="preserve"> HDFC, and </w:t>
      </w:r>
      <w:r w:rsidR="008D086F">
        <w:t xml:space="preserve">the HDFC and HPD would </w:t>
      </w:r>
      <w:r>
        <w:t xml:space="preserve">enter into a regulatory agreement that would require that the </w:t>
      </w:r>
      <w:r w:rsidRPr="00FE37A3">
        <w:t>units be leased to households with incomes up to</w:t>
      </w:r>
      <w:r>
        <w:t xml:space="preserve"> 50% AMI.</w:t>
      </w:r>
    </w:p>
    <w:p w14:paraId="05981386" w14:textId="77777777" w:rsidR="00D62D1A" w:rsidRPr="00FE37A3" w:rsidRDefault="00D62D1A" w:rsidP="00D62D1A">
      <w:pPr>
        <w:pStyle w:val="MediumGrid1-Accent21"/>
        <w:ind w:left="0"/>
        <w:jc w:val="both"/>
        <w:rPr>
          <w:u w:val="single"/>
        </w:rPr>
      </w:pPr>
    </w:p>
    <w:p w14:paraId="3631AD0F" w14:textId="77777777" w:rsidR="00D62D1A" w:rsidRPr="00FE37A3" w:rsidRDefault="00D62D1A" w:rsidP="00D62D1A">
      <w:pPr>
        <w:pStyle w:val="MediumGrid1-Accent21"/>
        <w:ind w:left="0"/>
        <w:jc w:val="both"/>
        <w:rPr>
          <w:u w:val="single"/>
        </w:rPr>
      </w:pPr>
      <w:r w:rsidRPr="00FE37A3">
        <w:rPr>
          <w:u w:val="single"/>
        </w:rPr>
        <w:t>Summary</w:t>
      </w:r>
      <w:r w:rsidRPr="00FE37A3">
        <w:t xml:space="preserve">: </w:t>
      </w:r>
    </w:p>
    <w:p w14:paraId="2AC8E6D3" w14:textId="3E17FA3F" w:rsidR="00D62D1A" w:rsidRPr="00FE37A3" w:rsidRDefault="00D62D1A" w:rsidP="00D62D1A">
      <w:pPr>
        <w:pStyle w:val="ListParagraph"/>
        <w:numPr>
          <w:ilvl w:val="0"/>
          <w:numId w:val="1"/>
        </w:numPr>
        <w:contextualSpacing w:val="0"/>
        <w:jc w:val="both"/>
      </w:pPr>
      <w:r w:rsidRPr="00FE37A3">
        <w:t xml:space="preserve">Borough – </w:t>
      </w:r>
      <w:r w:rsidR="00BD0E27">
        <w:t>Manhattan</w:t>
      </w:r>
    </w:p>
    <w:p w14:paraId="784C0657" w14:textId="7D9ED4E8" w:rsidR="00D62D1A" w:rsidRPr="00FE37A3" w:rsidRDefault="00D62D1A" w:rsidP="00D62D1A">
      <w:pPr>
        <w:pStyle w:val="ListParagraph"/>
        <w:numPr>
          <w:ilvl w:val="0"/>
          <w:numId w:val="1"/>
        </w:numPr>
        <w:contextualSpacing w:val="0"/>
        <w:jc w:val="both"/>
      </w:pPr>
      <w:r w:rsidRPr="00FE37A3">
        <w:rPr>
          <w:color w:val="000000"/>
        </w:rPr>
        <w:t xml:space="preserve">Block </w:t>
      </w:r>
      <w:r w:rsidR="00BD0E27">
        <w:rPr>
          <w:color w:val="000000"/>
        </w:rPr>
        <w:t>1843</w:t>
      </w:r>
      <w:r>
        <w:rPr>
          <w:color w:val="000000"/>
        </w:rPr>
        <w:t>,</w:t>
      </w:r>
      <w:r w:rsidR="00BD0E27">
        <w:rPr>
          <w:color w:val="000000"/>
        </w:rPr>
        <w:t xml:space="preserve"> Lot 20</w:t>
      </w:r>
    </w:p>
    <w:p w14:paraId="179C21B5" w14:textId="5C66156D" w:rsidR="00D62D1A" w:rsidRPr="00FE37A3" w:rsidRDefault="00D62D1A" w:rsidP="00D62D1A">
      <w:pPr>
        <w:pStyle w:val="ListParagraph"/>
        <w:numPr>
          <w:ilvl w:val="0"/>
          <w:numId w:val="1"/>
        </w:numPr>
        <w:contextualSpacing w:val="0"/>
        <w:jc w:val="both"/>
      </w:pPr>
      <w:r w:rsidRPr="00FE37A3">
        <w:t xml:space="preserve">Council District – </w:t>
      </w:r>
      <w:r w:rsidR="0011768A">
        <w:t>7</w:t>
      </w:r>
    </w:p>
    <w:p w14:paraId="5BC5D805" w14:textId="45CE991D" w:rsidR="00D62D1A" w:rsidRPr="00FE37A3" w:rsidRDefault="00D62D1A" w:rsidP="00D62D1A">
      <w:pPr>
        <w:pStyle w:val="ListParagraph"/>
        <w:numPr>
          <w:ilvl w:val="0"/>
          <w:numId w:val="1"/>
        </w:numPr>
        <w:contextualSpacing w:val="0"/>
        <w:jc w:val="both"/>
      </w:pPr>
      <w:r w:rsidRPr="00FE37A3">
        <w:t xml:space="preserve">Council Member – </w:t>
      </w:r>
      <w:r w:rsidR="0011768A">
        <w:t>Levine</w:t>
      </w:r>
    </w:p>
    <w:p w14:paraId="4FFD2BA8" w14:textId="77777777" w:rsidR="00D62D1A" w:rsidRPr="00235721" w:rsidRDefault="00D62D1A" w:rsidP="00D62D1A">
      <w:pPr>
        <w:pStyle w:val="ListParagraph"/>
        <w:numPr>
          <w:ilvl w:val="0"/>
          <w:numId w:val="1"/>
        </w:numPr>
        <w:contextualSpacing w:val="0"/>
        <w:jc w:val="both"/>
      </w:pPr>
      <w:r w:rsidRPr="00235721">
        <w:t>Council Member approval –Yes</w:t>
      </w:r>
    </w:p>
    <w:p w14:paraId="3E809ED4" w14:textId="5829E48B" w:rsidR="00D62D1A" w:rsidRPr="00235721" w:rsidRDefault="00D62D1A" w:rsidP="00D62D1A">
      <w:pPr>
        <w:pStyle w:val="ListParagraph"/>
        <w:numPr>
          <w:ilvl w:val="0"/>
          <w:numId w:val="1"/>
        </w:numPr>
        <w:contextualSpacing w:val="0"/>
        <w:jc w:val="both"/>
      </w:pPr>
      <w:r w:rsidRPr="00235721">
        <w:t xml:space="preserve">Number of buildings – </w:t>
      </w:r>
      <w:r w:rsidR="0011768A">
        <w:t>4</w:t>
      </w:r>
    </w:p>
    <w:p w14:paraId="6759F9D7" w14:textId="3B85B9B2" w:rsidR="00D62D1A" w:rsidRPr="00235721" w:rsidRDefault="00D62D1A" w:rsidP="00D62D1A">
      <w:pPr>
        <w:pStyle w:val="ListParagraph"/>
        <w:numPr>
          <w:ilvl w:val="0"/>
          <w:numId w:val="1"/>
        </w:numPr>
        <w:contextualSpacing w:val="0"/>
        <w:jc w:val="both"/>
      </w:pPr>
      <w:r w:rsidRPr="00235721">
        <w:t xml:space="preserve">Number of units – </w:t>
      </w:r>
      <w:r w:rsidR="0011768A">
        <w:t>81</w:t>
      </w:r>
    </w:p>
    <w:p w14:paraId="01D28A3F" w14:textId="77777777" w:rsidR="00D62D1A" w:rsidRPr="00235721" w:rsidRDefault="00D62D1A" w:rsidP="00D62D1A">
      <w:pPr>
        <w:pStyle w:val="ListParagraph"/>
        <w:numPr>
          <w:ilvl w:val="0"/>
          <w:numId w:val="1"/>
        </w:numPr>
        <w:contextualSpacing w:val="0"/>
        <w:jc w:val="both"/>
      </w:pPr>
      <w:r w:rsidRPr="00235721">
        <w:t>Type of exemption – Article XI, partial, 40-year</w:t>
      </w:r>
    </w:p>
    <w:p w14:paraId="050E3DE6" w14:textId="77777777" w:rsidR="00D62D1A" w:rsidRPr="00235721" w:rsidRDefault="00D62D1A" w:rsidP="00D62D1A">
      <w:pPr>
        <w:pStyle w:val="ListParagraph"/>
        <w:numPr>
          <w:ilvl w:val="0"/>
          <w:numId w:val="1"/>
        </w:numPr>
        <w:contextualSpacing w:val="0"/>
        <w:jc w:val="both"/>
      </w:pPr>
      <w:r w:rsidRPr="00235721">
        <w:t>Population – affordable rental housing</w:t>
      </w:r>
    </w:p>
    <w:p w14:paraId="0E695E14" w14:textId="2373761D" w:rsidR="00D62D1A" w:rsidRDefault="00D62D1A" w:rsidP="0011768A">
      <w:pPr>
        <w:pStyle w:val="ListParagraph"/>
        <w:numPr>
          <w:ilvl w:val="0"/>
          <w:numId w:val="1"/>
        </w:numPr>
        <w:contextualSpacing w:val="0"/>
        <w:jc w:val="both"/>
      </w:pPr>
      <w:r w:rsidRPr="00235721">
        <w:t xml:space="preserve">Sponsor – </w:t>
      </w:r>
      <w:r w:rsidR="0011768A" w:rsidRPr="0011768A">
        <w:t>LIHC Investment Group, Manhattan Avenue Associates, L.P</w:t>
      </w:r>
      <w:r w:rsidR="0011768A">
        <w:t xml:space="preserve">., </w:t>
      </w:r>
      <w:r w:rsidR="0011768A" w:rsidRPr="003F4F19">
        <w:t>Manhattan Avenue Apartments</w:t>
      </w:r>
      <w:r w:rsidR="0011768A">
        <w:t xml:space="preserve"> HDFC</w:t>
      </w:r>
    </w:p>
    <w:p w14:paraId="7B4ACE3D" w14:textId="77777777" w:rsidR="00D62D1A" w:rsidRPr="00235721" w:rsidRDefault="00D62D1A" w:rsidP="00D62D1A">
      <w:pPr>
        <w:pStyle w:val="ListParagraph"/>
        <w:numPr>
          <w:ilvl w:val="0"/>
          <w:numId w:val="1"/>
        </w:numPr>
        <w:contextualSpacing w:val="0"/>
        <w:jc w:val="both"/>
      </w:pPr>
      <w:r w:rsidRPr="00235721">
        <w:t>Purpose – preservation</w:t>
      </w:r>
    </w:p>
    <w:p w14:paraId="7FD6F8D3" w14:textId="40A4F6D7" w:rsidR="00D62D1A" w:rsidRPr="00235721" w:rsidRDefault="00D62D1A" w:rsidP="00D62D1A">
      <w:pPr>
        <w:pStyle w:val="ListParagraph"/>
        <w:numPr>
          <w:ilvl w:val="0"/>
          <w:numId w:val="1"/>
        </w:numPr>
        <w:contextualSpacing w:val="0"/>
        <w:jc w:val="both"/>
      </w:pPr>
      <w:r w:rsidRPr="00235721">
        <w:t>Cost to the city – $</w:t>
      </w:r>
      <w:r w:rsidR="0011768A">
        <w:t>2</w:t>
      </w:r>
      <w:r>
        <w:t>.</w:t>
      </w:r>
      <w:r w:rsidR="0011768A">
        <w:t>9</w:t>
      </w:r>
      <w:r w:rsidRPr="00235721">
        <w:t xml:space="preserve"> million</w:t>
      </w:r>
    </w:p>
    <w:p w14:paraId="6903BF7E" w14:textId="3853B485" w:rsidR="00F2394B" w:rsidRPr="00235721" w:rsidRDefault="00D62D1A" w:rsidP="00DA0AFF">
      <w:pPr>
        <w:pStyle w:val="ListParagraph"/>
        <w:numPr>
          <w:ilvl w:val="0"/>
          <w:numId w:val="1"/>
        </w:numPr>
        <w:contextualSpacing w:val="0"/>
        <w:jc w:val="both"/>
      </w:pPr>
      <w:r w:rsidRPr="00235721">
        <w:t>AMI target –</w:t>
      </w:r>
      <w:r w:rsidR="0011768A">
        <w:t xml:space="preserve"> 50</w:t>
      </w:r>
      <w:r>
        <w:t>%</w:t>
      </w:r>
      <w:r w:rsidR="0011768A">
        <w:t xml:space="preserve"> AMI</w:t>
      </w:r>
    </w:p>
    <w:sectPr w:rsidR="00F2394B" w:rsidRPr="00235721" w:rsidSect="00561D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11A7" w14:textId="77777777" w:rsidR="003E4467" w:rsidRDefault="003E4467" w:rsidP="00D65276">
      <w:r>
        <w:separator/>
      </w:r>
    </w:p>
  </w:endnote>
  <w:endnote w:type="continuationSeparator" w:id="0">
    <w:p w14:paraId="68A64A5A" w14:textId="77777777" w:rsidR="003E4467" w:rsidRDefault="003E4467" w:rsidP="00D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14732"/>
      <w:docPartObj>
        <w:docPartGallery w:val="Page Numbers (Bottom of Page)"/>
        <w:docPartUnique/>
      </w:docPartObj>
    </w:sdtPr>
    <w:sdtEndPr>
      <w:rPr>
        <w:noProof/>
      </w:rPr>
    </w:sdtEndPr>
    <w:sdtContent>
      <w:p w14:paraId="049AF4A9" w14:textId="721947A5" w:rsidR="00A1521F" w:rsidRDefault="00A1521F">
        <w:pPr>
          <w:pStyle w:val="Footer"/>
          <w:jc w:val="right"/>
        </w:pPr>
        <w:r>
          <w:fldChar w:fldCharType="begin"/>
        </w:r>
        <w:r>
          <w:instrText xml:space="preserve"> PAGE   \* MERGEFORMAT </w:instrText>
        </w:r>
        <w:r>
          <w:fldChar w:fldCharType="separate"/>
        </w:r>
        <w:r w:rsidR="0066026E">
          <w:rPr>
            <w:noProof/>
          </w:rPr>
          <w:t>9</w:t>
        </w:r>
        <w:r>
          <w:rPr>
            <w:noProof/>
          </w:rPr>
          <w:fldChar w:fldCharType="end"/>
        </w:r>
      </w:p>
    </w:sdtContent>
  </w:sdt>
  <w:p w14:paraId="3B62992B" w14:textId="77777777" w:rsidR="00A1521F" w:rsidRDefault="00A15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6A78" w14:textId="77777777" w:rsidR="003E4467" w:rsidRDefault="003E4467" w:rsidP="00D65276">
      <w:r>
        <w:separator/>
      </w:r>
    </w:p>
  </w:footnote>
  <w:footnote w:type="continuationSeparator" w:id="0">
    <w:p w14:paraId="77959F16" w14:textId="77777777" w:rsidR="003E4467" w:rsidRDefault="003E4467" w:rsidP="00D6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343"/>
    <w:multiLevelType w:val="hybridMultilevel"/>
    <w:tmpl w:val="0E844278"/>
    <w:lvl w:ilvl="0" w:tplc="7F68429E">
      <w:start w:val="1"/>
      <w:numFmt w:val="decimal"/>
      <w:lvlText w:val="%1."/>
      <w:lvlJc w:val="left"/>
      <w:pPr>
        <w:ind w:left="571" w:hanging="361"/>
        <w:jc w:val="right"/>
      </w:pPr>
      <w:rPr>
        <w:rFonts w:ascii="Arial" w:hAnsi="Arial" w:cs="Arial" w:hint="default"/>
        <w:color w:val="000000" w:themeColor="text1"/>
        <w:spacing w:val="-1"/>
        <w:w w:val="100"/>
      </w:rPr>
    </w:lvl>
    <w:lvl w:ilvl="1" w:tplc="04090001">
      <w:start w:val="1"/>
      <w:numFmt w:val="bullet"/>
      <w:lvlText w:val=""/>
      <w:lvlJc w:val="left"/>
      <w:pPr>
        <w:ind w:left="1200" w:hanging="360"/>
      </w:pPr>
      <w:rPr>
        <w:rFonts w:ascii="Symbol" w:hAnsi="Symbol" w:hint="default"/>
        <w:spacing w:val="-1"/>
        <w:w w:val="100"/>
        <w:sz w:val="22"/>
        <w:szCs w:val="22"/>
      </w:rPr>
    </w:lvl>
    <w:lvl w:ilvl="2" w:tplc="5492FC34">
      <w:start w:val="1"/>
      <w:numFmt w:val="bullet"/>
      <w:lvlText w:val="•"/>
      <w:lvlJc w:val="left"/>
      <w:pPr>
        <w:ind w:left="1357" w:hanging="360"/>
      </w:pPr>
      <w:rPr>
        <w:rFonts w:hint="default"/>
      </w:rPr>
    </w:lvl>
    <w:lvl w:ilvl="3" w:tplc="F6FA7B24">
      <w:start w:val="1"/>
      <w:numFmt w:val="bullet"/>
      <w:lvlText w:val="•"/>
      <w:lvlJc w:val="left"/>
      <w:pPr>
        <w:ind w:left="1515" w:hanging="360"/>
      </w:pPr>
      <w:rPr>
        <w:rFonts w:hint="default"/>
      </w:rPr>
    </w:lvl>
    <w:lvl w:ilvl="4" w:tplc="8C44B07C">
      <w:start w:val="1"/>
      <w:numFmt w:val="bullet"/>
      <w:lvlText w:val="•"/>
      <w:lvlJc w:val="left"/>
      <w:pPr>
        <w:ind w:left="1673" w:hanging="360"/>
      </w:pPr>
      <w:rPr>
        <w:rFonts w:hint="default"/>
      </w:rPr>
    </w:lvl>
    <w:lvl w:ilvl="5" w:tplc="041E43B4">
      <w:start w:val="1"/>
      <w:numFmt w:val="bullet"/>
      <w:lvlText w:val="•"/>
      <w:lvlJc w:val="left"/>
      <w:pPr>
        <w:ind w:left="1831" w:hanging="360"/>
      </w:pPr>
      <w:rPr>
        <w:rFonts w:hint="default"/>
      </w:rPr>
    </w:lvl>
    <w:lvl w:ilvl="6" w:tplc="D0968342">
      <w:start w:val="1"/>
      <w:numFmt w:val="bullet"/>
      <w:lvlText w:val="•"/>
      <w:lvlJc w:val="left"/>
      <w:pPr>
        <w:ind w:left="1988" w:hanging="360"/>
      </w:pPr>
      <w:rPr>
        <w:rFonts w:hint="default"/>
      </w:rPr>
    </w:lvl>
    <w:lvl w:ilvl="7" w:tplc="19AC655A">
      <w:start w:val="1"/>
      <w:numFmt w:val="bullet"/>
      <w:lvlText w:val="•"/>
      <w:lvlJc w:val="left"/>
      <w:pPr>
        <w:ind w:left="2146" w:hanging="360"/>
      </w:pPr>
      <w:rPr>
        <w:rFonts w:hint="default"/>
      </w:rPr>
    </w:lvl>
    <w:lvl w:ilvl="8" w:tplc="887A3FDC">
      <w:start w:val="1"/>
      <w:numFmt w:val="bullet"/>
      <w:lvlText w:val="•"/>
      <w:lvlJc w:val="left"/>
      <w:pPr>
        <w:ind w:left="2304" w:hanging="360"/>
      </w:pPr>
      <w:rPr>
        <w:rFonts w:hint="default"/>
      </w:rPr>
    </w:lvl>
  </w:abstractNum>
  <w:abstractNum w:abstractNumId="1" w15:restartNumberingAfterBreak="0">
    <w:nsid w:val="0CE974E7"/>
    <w:multiLevelType w:val="hybridMultilevel"/>
    <w:tmpl w:val="255CB1E8"/>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 w15:restartNumberingAfterBreak="0">
    <w:nsid w:val="14DC6E8C"/>
    <w:multiLevelType w:val="hybridMultilevel"/>
    <w:tmpl w:val="CFFA3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DC4F30">
      <w:start w:val="1"/>
      <w:numFmt w:val="decimal"/>
      <w:lvlText w:val="(%3)"/>
      <w:lvlJc w:val="lef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F3836"/>
    <w:multiLevelType w:val="hybridMultilevel"/>
    <w:tmpl w:val="65B8BD02"/>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15:restartNumberingAfterBreak="0">
    <w:nsid w:val="333F2FB9"/>
    <w:multiLevelType w:val="hybridMultilevel"/>
    <w:tmpl w:val="33C80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93828"/>
    <w:multiLevelType w:val="hybridMultilevel"/>
    <w:tmpl w:val="4F8ADF5C"/>
    <w:lvl w:ilvl="0" w:tplc="57A83F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289C"/>
    <w:multiLevelType w:val="hybridMultilevel"/>
    <w:tmpl w:val="5406FB4A"/>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15:restartNumberingAfterBreak="0">
    <w:nsid w:val="439741A1"/>
    <w:multiLevelType w:val="hybridMultilevel"/>
    <w:tmpl w:val="E6DAC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443BD"/>
    <w:multiLevelType w:val="hybridMultilevel"/>
    <w:tmpl w:val="C90EC6D2"/>
    <w:lvl w:ilvl="0" w:tplc="F1DC4F30">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4D49224F"/>
    <w:multiLevelType w:val="hybridMultilevel"/>
    <w:tmpl w:val="EF08ADA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50AA4103"/>
    <w:multiLevelType w:val="hybridMultilevel"/>
    <w:tmpl w:val="BEC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65F12"/>
    <w:multiLevelType w:val="hybridMultilevel"/>
    <w:tmpl w:val="02F492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3" w15:restartNumberingAfterBreak="0">
    <w:nsid w:val="6D6E5DA7"/>
    <w:multiLevelType w:val="hybridMultilevel"/>
    <w:tmpl w:val="37260A1E"/>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15:restartNumberingAfterBreak="0">
    <w:nsid w:val="6DC5638B"/>
    <w:multiLevelType w:val="hybridMultilevel"/>
    <w:tmpl w:val="8B92E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2D3A7A"/>
    <w:multiLevelType w:val="hybridMultilevel"/>
    <w:tmpl w:val="F77CEA62"/>
    <w:lvl w:ilvl="0" w:tplc="2BEEB0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A4B9B"/>
    <w:multiLevelType w:val="hybridMultilevel"/>
    <w:tmpl w:val="9EB04294"/>
    <w:lvl w:ilvl="0" w:tplc="0409000F">
      <w:start w:val="1"/>
      <w:numFmt w:val="decimal"/>
      <w:lvlText w:val="%1."/>
      <w:lvlJc w:val="left"/>
      <w:pPr>
        <w:ind w:left="758" w:hanging="360"/>
      </w:p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num w:numId="1">
    <w:abstractNumId w:val="3"/>
  </w:num>
  <w:num w:numId="2">
    <w:abstractNumId w:val="11"/>
  </w:num>
  <w:num w:numId="3">
    <w:abstractNumId w:val="5"/>
  </w:num>
  <w:num w:numId="4">
    <w:abstractNumId w:val="12"/>
  </w:num>
  <w:num w:numId="5">
    <w:abstractNumId w:val="14"/>
  </w:num>
  <w:num w:numId="6">
    <w:abstractNumId w:val="0"/>
  </w:num>
  <w:num w:numId="7">
    <w:abstractNumId w:val="15"/>
  </w:num>
  <w:num w:numId="8">
    <w:abstractNumId w:val="6"/>
  </w:num>
  <w:num w:numId="9">
    <w:abstractNumId w:val="8"/>
  </w:num>
  <w:num w:numId="10">
    <w:abstractNumId w:val="13"/>
  </w:num>
  <w:num w:numId="11">
    <w:abstractNumId w:val="16"/>
  </w:num>
  <w:num w:numId="12">
    <w:abstractNumId w:val="1"/>
  </w:num>
  <w:num w:numId="13">
    <w:abstractNumId w:val="7"/>
  </w:num>
  <w:num w:numId="14">
    <w:abstractNumId w:val="4"/>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B5"/>
    <w:rsid w:val="00000573"/>
    <w:rsid w:val="00001062"/>
    <w:rsid w:val="00012DD2"/>
    <w:rsid w:val="000143FC"/>
    <w:rsid w:val="000268E4"/>
    <w:rsid w:val="00027829"/>
    <w:rsid w:val="00030CAB"/>
    <w:rsid w:val="00032E88"/>
    <w:rsid w:val="00054E34"/>
    <w:rsid w:val="000578FE"/>
    <w:rsid w:val="00061DEC"/>
    <w:rsid w:val="00070D53"/>
    <w:rsid w:val="000710F0"/>
    <w:rsid w:val="00073E41"/>
    <w:rsid w:val="0007468E"/>
    <w:rsid w:val="00074EB9"/>
    <w:rsid w:val="00081B61"/>
    <w:rsid w:val="00085863"/>
    <w:rsid w:val="00094D8D"/>
    <w:rsid w:val="000B1375"/>
    <w:rsid w:val="000B5972"/>
    <w:rsid w:val="000B75E9"/>
    <w:rsid w:val="000C35A2"/>
    <w:rsid w:val="000D5241"/>
    <w:rsid w:val="000E02D6"/>
    <w:rsid w:val="000E2083"/>
    <w:rsid w:val="00101F02"/>
    <w:rsid w:val="00102485"/>
    <w:rsid w:val="0011768A"/>
    <w:rsid w:val="0013038D"/>
    <w:rsid w:val="0013117A"/>
    <w:rsid w:val="001347D3"/>
    <w:rsid w:val="00137849"/>
    <w:rsid w:val="00141C18"/>
    <w:rsid w:val="001445A8"/>
    <w:rsid w:val="00146777"/>
    <w:rsid w:val="001571F0"/>
    <w:rsid w:val="001602E4"/>
    <w:rsid w:val="0016533E"/>
    <w:rsid w:val="00170186"/>
    <w:rsid w:val="00171E42"/>
    <w:rsid w:val="00173996"/>
    <w:rsid w:val="00176F74"/>
    <w:rsid w:val="00181339"/>
    <w:rsid w:val="00181ED4"/>
    <w:rsid w:val="001908D6"/>
    <w:rsid w:val="00191944"/>
    <w:rsid w:val="00194F2A"/>
    <w:rsid w:val="001A20B2"/>
    <w:rsid w:val="001B5F66"/>
    <w:rsid w:val="001C05AB"/>
    <w:rsid w:val="001C345C"/>
    <w:rsid w:val="001C4607"/>
    <w:rsid w:val="001D5876"/>
    <w:rsid w:val="001D7AC0"/>
    <w:rsid w:val="001F723E"/>
    <w:rsid w:val="001F77B4"/>
    <w:rsid w:val="00203D3B"/>
    <w:rsid w:val="002209B8"/>
    <w:rsid w:val="00221ACA"/>
    <w:rsid w:val="00226A1D"/>
    <w:rsid w:val="00230FC7"/>
    <w:rsid w:val="00235142"/>
    <w:rsid w:val="00235721"/>
    <w:rsid w:val="002435C6"/>
    <w:rsid w:val="002459AF"/>
    <w:rsid w:val="002467F5"/>
    <w:rsid w:val="00250DC6"/>
    <w:rsid w:val="00273E8D"/>
    <w:rsid w:val="00284631"/>
    <w:rsid w:val="00286D8B"/>
    <w:rsid w:val="00287F2B"/>
    <w:rsid w:val="002A1F9D"/>
    <w:rsid w:val="002A7159"/>
    <w:rsid w:val="002B6DF5"/>
    <w:rsid w:val="002C0456"/>
    <w:rsid w:val="002C6253"/>
    <w:rsid w:val="002E0F98"/>
    <w:rsid w:val="002E6B2D"/>
    <w:rsid w:val="002E7EFA"/>
    <w:rsid w:val="002E7F6C"/>
    <w:rsid w:val="00324050"/>
    <w:rsid w:val="00326EF2"/>
    <w:rsid w:val="00333E09"/>
    <w:rsid w:val="00337397"/>
    <w:rsid w:val="003427AC"/>
    <w:rsid w:val="00362436"/>
    <w:rsid w:val="00366303"/>
    <w:rsid w:val="003669EF"/>
    <w:rsid w:val="0037150D"/>
    <w:rsid w:val="003732C2"/>
    <w:rsid w:val="0038380E"/>
    <w:rsid w:val="00392777"/>
    <w:rsid w:val="003A3485"/>
    <w:rsid w:val="003B7F98"/>
    <w:rsid w:val="003D00E4"/>
    <w:rsid w:val="003D4250"/>
    <w:rsid w:val="003E29A3"/>
    <w:rsid w:val="003E4467"/>
    <w:rsid w:val="003F0F98"/>
    <w:rsid w:val="004020DE"/>
    <w:rsid w:val="004047ED"/>
    <w:rsid w:val="00413BC5"/>
    <w:rsid w:val="00420B03"/>
    <w:rsid w:val="004348A8"/>
    <w:rsid w:val="00441340"/>
    <w:rsid w:val="00443E0E"/>
    <w:rsid w:val="00472C36"/>
    <w:rsid w:val="00486A1C"/>
    <w:rsid w:val="004924CA"/>
    <w:rsid w:val="00493DA6"/>
    <w:rsid w:val="004A412B"/>
    <w:rsid w:val="004A665C"/>
    <w:rsid w:val="004B0977"/>
    <w:rsid w:val="004B62F3"/>
    <w:rsid w:val="004C619F"/>
    <w:rsid w:val="004D0E08"/>
    <w:rsid w:val="004D4D54"/>
    <w:rsid w:val="004D7CE5"/>
    <w:rsid w:val="004F23DD"/>
    <w:rsid w:val="004F7334"/>
    <w:rsid w:val="00506A5B"/>
    <w:rsid w:val="00512C73"/>
    <w:rsid w:val="00513037"/>
    <w:rsid w:val="00513770"/>
    <w:rsid w:val="0051748B"/>
    <w:rsid w:val="0052067A"/>
    <w:rsid w:val="00561D25"/>
    <w:rsid w:val="005642E3"/>
    <w:rsid w:val="00567787"/>
    <w:rsid w:val="00570305"/>
    <w:rsid w:val="00571E2D"/>
    <w:rsid w:val="005927E2"/>
    <w:rsid w:val="00593F9E"/>
    <w:rsid w:val="005A025C"/>
    <w:rsid w:val="005A4B86"/>
    <w:rsid w:val="005B13E3"/>
    <w:rsid w:val="005B4019"/>
    <w:rsid w:val="005B61C7"/>
    <w:rsid w:val="005C5B58"/>
    <w:rsid w:val="005D0980"/>
    <w:rsid w:val="005D4314"/>
    <w:rsid w:val="005F627C"/>
    <w:rsid w:val="00601891"/>
    <w:rsid w:val="00606C70"/>
    <w:rsid w:val="006142A9"/>
    <w:rsid w:val="006227A8"/>
    <w:rsid w:val="006230D4"/>
    <w:rsid w:val="006261DD"/>
    <w:rsid w:val="00634325"/>
    <w:rsid w:val="00634C22"/>
    <w:rsid w:val="00651CC6"/>
    <w:rsid w:val="00657C11"/>
    <w:rsid w:val="0066026E"/>
    <w:rsid w:val="00672FAF"/>
    <w:rsid w:val="00693878"/>
    <w:rsid w:val="00694E60"/>
    <w:rsid w:val="0069638F"/>
    <w:rsid w:val="006B606A"/>
    <w:rsid w:val="006C439E"/>
    <w:rsid w:val="006D5395"/>
    <w:rsid w:val="006F604A"/>
    <w:rsid w:val="006F78B6"/>
    <w:rsid w:val="006F78C3"/>
    <w:rsid w:val="007000AC"/>
    <w:rsid w:val="0070253A"/>
    <w:rsid w:val="0071134C"/>
    <w:rsid w:val="00715D53"/>
    <w:rsid w:val="007245CD"/>
    <w:rsid w:val="00730F05"/>
    <w:rsid w:val="0073310B"/>
    <w:rsid w:val="00752337"/>
    <w:rsid w:val="0076427D"/>
    <w:rsid w:val="00767B2F"/>
    <w:rsid w:val="00777653"/>
    <w:rsid w:val="007A5EAA"/>
    <w:rsid w:val="007B48D0"/>
    <w:rsid w:val="007E00ED"/>
    <w:rsid w:val="007E2DFA"/>
    <w:rsid w:val="007E35CD"/>
    <w:rsid w:val="007E54E7"/>
    <w:rsid w:val="007E76BE"/>
    <w:rsid w:val="00817F6D"/>
    <w:rsid w:val="00822E6C"/>
    <w:rsid w:val="008254B5"/>
    <w:rsid w:val="00826233"/>
    <w:rsid w:val="00830E5C"/>
    <w:rsid w:val="00846B5D"/>
    <w:rsid w:val="00852F21"/>
    <w:rsid w:val="008657EC"/>
    <w:rsid w:val="00870702"/>
    <w:rsid w:val="00871E02"/>
    <w:rsid w:val="00872CF0"/>
    <w:rsid w:val="00877E32"/>
    <w:rsid w:val="00884D75"/>
    <w:rsid w:val="00886740"/>
    <w:rsid w:val="00896BE9"/>
    <w:rsid w:val="008A34C5"/>
    <w:rsid w:val="008A6F15"/>
    <w:rsid w:val="008B3830"/>
    <w:rsid w:val="008C2E54"/>
    <w:rsid w:val="008C6822"/>
    <w:rsid w:val="008D086F"/>
    <w:rsid w:val="008D4437"/>
    <w:rsid w:val="008E51CA"/>
    <w:rsid w:val="008E67A0"/>
    <w:rsid w:val="008E6810"/>
    <w:rsid w:val="008F5DA6"/>
    <w:rsid w:val="0091200A"/>
    <w:rsid w:val="009151CD"/>
    <w:rsid w:val="00922CA6"/>
    <w:rsid w:val="00926825"/>
    <w:rsid w:val="00941149"/>
    <w:rsid w:val="00945F10"/>
    <w:rsid w:val="00956501"/>
    <w:rsid w:val="0096340A"/>
    <w:rsid w:val="0097088B"/>
    <w:rsid w:val="0098046A"/>
    <w:rsid w:val="00983710"/>
    <w:rsid w:val="00991682"/>
    <w:rsid w:val="00995244"/>
    <w:rsid w:val="009B3E6F"/>
    <w:rsid w:val="009C144C"/>
    <w:rsid w:val="009D1AC0"/>
    <w:rsid w:val="009E06BA"/>
    <w:rsid w:val="009F7480"/>
    <w:rsid w:val="00A015E1"/>
    <w:rsid w:val="00A044E7"/>
    <w:rsid w:val="00A1341E"/>
    <w:rsid w:val="00A14BDB"/>
    <w:rsid w:val="00A1521F"/>
    <w:rsid w:val="00A25393"/>
    <w:rsid w:val="00A34EAA"/>
    <w:rsid w:val="00A54018"/>
    <w:rsid w:val="00A62778"/>
    <w:rsid w:val="00A64C37"/>
    <w:rsid w:val="00A80541"/>
    <w:rsid w:val="00A90144"/>
    <w:rsid w:val="00A91296"/>
    <w:rsid w:val="00A92B2D"/>
    <w:rsid w:val="00AB09FA"/>
    <w:rsid w:val="00AB17C1"/>
    <w:rsid w:val="00AB701B"/>
    <w:rsid w:val="00AC2777"/>
    <w:rsid w:val="00AC565C"/>
    <w:rsid w:val="00AD732D"/>
    <w:rsid w:val="00AD7F20"/>
    <w:rsid w:val="00AE1D72"/>
    <w:rsid w:val="00AE3EDE"/>
    <w:rsid w:val="00AE4543"/>
    <w:rsid w:val="00AE6573"/>
    <w:rsid w:val="00AE769B"/>
    <w:rsid w:val="00B15833"/>
    <w:rsid w:val="00B164C0"/>
    <w:rsid w:val="00B23E9C"/>
    <w:rsid w:val="00B260E7"/>
    <w:rsid w:val="00B41AF0"/>
    <w:rsid w:val="00B4355E"/>
    <w:rsid w:val="00B56C17"/>
    <w:rsid w:val="00B87F1A"/>
    <w:rsid w:val="00B906D6"/>
    <w:rsid w:val="00BA1D77"/>
    <w:rsid w:val="00BA2083"/>
    <w:rsid w:val="00BB3C51"/>
    <w:rsid w:val="00BD0E27"/>
    <w:rsid w:val="00BD4B32"/>
    <w:rsid w:val="00BD6F00"/>
    <w:rsid w:val="00BE040D"/>
    <w:rsid w:val="00BE6E7F"/>
    <w:rsid w:val="00BF58D8"/>
    <w:rsid w:val="00BF645D"/>
    <w:rsid w:val="00C0172B"/>
    <w:rsid w:val="00C05C56"/>
    <w:rsid w:val="00C10F95"/>
    <w:rsid w:val="00C16512"/>
    <w:rsid w:val="00C168DE"/>
    <w:rsid w:val="00C3424F"/>
    <w:rsid w:val="00C575B5"/>
    <w:rsid w:val="00CA72CF"/>
    <w:rsid w:val="00CB7025"/>
    <w:rsid w:val="00CD1D0A"/>
    <w:rsid w:val="00CF518B"/>
    <w:rsid w:val="00D007DF"/>
    <w:rsid w:val="00D00912"/>
    <w:rsid w:val="00D045E0"/>
    <w:rsid w:val="00D27F31"/>
    <w:rsid w:val="00D35B76"/>
    <w:rsid w:val="00D44C43"/>
    <w:rsid w:val="00D45839"/>
    <w:rsid w:val="00D5454C"/>
    <w:rsid w:val="00D60D33"/>
    <w:rsid w:val="00D62D1A"/>
    <w:rsid w:val="00D65276"/>
    <w:rsid w:val="00D6640E"/>
    <w:rsid w:val="00D665F0"/>
    <w:rsid w:val="00D708BB"/>
    <w:rsid w:val="00D75FD3"/>
    <w:rsid w:val="00D829E8"/>
    <w:rsid w:val="00D91808"/>
    <w:rsid w:val="00D9339E"/>
    <w:rsid w:val="00DA0AFF"/>
    <w:rsid w:val="00DA59BA"/>
    <w:rsid w:val="00DA616C"/>
    <w:rsid w:val="00DC3C7D"/>
    <w:rsid w:val="00DC45D1"/>
    <w:rsid w:val="00DD491C"/>
    <w:rsid w:val="00DE7536"/>
    <w:rsid w:val="00DF4632"/>
    <w:rsid w:val="00E004F6"/>
    <w:rsid w:val="00E0282F"/>
    <w:rsid w:val="00E062C1"/>
    <w:rsid w:val="00E1026D"/>
    <w:rsid w:val="00E26F95"/>
    <w:rsid w:val="00E74CFE"/>
    <w:rsid w:val="00E77867"/>
    <w:rsid w:val="00E815E8"/>
    <w:rsid w:val="00E97562"/>
    <w:rsid w:val="00ED1F73"/>
    <w:rsid w:val="00ED6F24"/>
    <w:rsid w:val="00EE3418"/>
    <w:rsid w:val="00EE4251"/>
    <w:rsid w:val="00EF39FD"/>
    <w:rsid w:val="00F165E0"/>
    <w:rsid w:val="00F17B89"/>
    <w:rsid w:val="00F2394B"/>
    <w:rsid w:val="00F3448D"/>
    <w:rsid w:val="00F361B6"/>
    <w:rsid w:val="00F467F8"/>
    <w:rsid w:val="00F50186"/>
    <w:rsid w:val="00F54AAD"/>
    <w:rsid w:val="00F605F1"/>
    <w:rsid w:val="00F65BAB"/>
    <w:rsid w:val="00F73291"/>
    <w:rsid w:val="00F85840"/>
    <w:rsid w:val="00F86712"/>
    <w:rsid w:val="00F91B0B"/>
    <w:rsid w:val="00F96811"/>
    <w:rsid w:val="00FA0E06"/>
    <w:rsid w:val="00FA544D"/>
    <w:rsid w:val="00FA711D"/>
    <w:rsid w:val="00FB577B"/>
    <w:rsid w:val="00FB57FE"/>
    <w:rsid w:val="00FD340F"/>
    <w:rsid w:val="00FD5C6C"/>
    <w:rsid w:val="00FE37A3"/>
    <w:rsid w:val="00FF1565"/>
    <w:rsid w:val="00FF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74CF5"/>
  <w15:chartTrackingRefBased/>
  <w15:docId w15:val="{EDFBACD3-A5A9-42CD-9656-687A90C1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254B5"/>
    <w:pPr>
      <w:ind w:left="720"/>
    </w:pPr>
  </w:style>
  <w:style w:type="paragraph" w:styleId="ListParagraph">
    <w:name w:val="List Paragraph"/>
    <w:basedOn w:val="Normal"/>
    <w:uiPriority w:val="34"/>
    <w:qFormat/>
    <w:rsid w:val="008254B5"/>
    <w:pPr>
      <w:ind w:left="720"/>
      <w:contextualSpacing/>
    </w:pPr>
  </w:style>
  <w:style w:type="paragraph" w:styleId="Header">
    <w:name w:val="header"/>
    <w:basedOn w:val="Normal"/>
    <w:link w:val="HeaderChar"/>
    <w:uiPriority w:val="99"/>
    <w:unhideWhenUsed/>
    <w:rsid w:val="00D65276"/>
    <w:pPr>
      <w:tabs>
        <w:tab w:val="center" w:pos="4680"/>
        <w:tab w:val="right" w:pos="9360"/>
      </w:tabs>
    </w:pPr>
  </w:style>
  <w:style w:type="character" w:customStyle="1" w:styleId="HeaderChar">
    <w:name w:val="Header Char"/>
    <w:basedOn w:val="DefaultParagraphFont"/>
    <w:link w:val="Header"/>
    <w:uiPriority w:val="99"/>
    <w:rsid w:val="00D65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276"/>
    <w:pPr>
      <w:tabs>
        <w:tab w:val="center" w:pos="4680"/>
        <w:tab w:val="right" w:pos="9360"/>
      </w:tabs>
    </w:pPr>
  </w:style>
  <w:style w:type="character" w:customStyle="1" w:styleId="FooterChar">
    <w:name w:val="Footer Char"/>
    <w:basedOn w:val="DefaultParagraphFont"/>
    <w:link w:val="Footer"/>
    <w:uiPriority w:val="99"/>
    <w:rsid w:val="00D652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1808"/>
    <w:rPr>
      <w:sz w:val="16"/>
      <w:szCs w:val="16"/>
    </w:rPr>
  </w:style>
  <w:style w:type="paragraph" w:styleId="CommentText">
    <w:name w:val="annotation text"/>
    <w:basedOn w:val="Normal"/>
    <w:link w:val="CommentTextChar"/>
    <w:uiPriority w:val="99"/>
    <w:unhideWhenUsed/>
    <w:rsid w:val="00D91808"/>
    <w:rPr>
      <w:sz w:val="20"/>
      <w:szCs w:val="20"/>
    </w:rPr>
  </w:style>
  <w:style w:type="character" w:customStyle="1" w:styleId="CommentTextChar">
    <w:name w:val="Comment Text Char"/>
    <w:basedOn w:val="DefaultParagraphFont"/>
    <w:link w:val="CommentText"/>
    <w:uiPriority w:val="99"/>
    <w:rsid w:val="00D91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8"/>
    <w:rPr>
      <w:b/>
      <w:bCs/>
    </w:rPr>
  </w:style>
  <w:style w:type="character" w:customStyle="1" w:styleId="CommentSubjectChar">
    <w:name w:val="Comment Subject Char"/>
    <w:basedOn w:val="CommentTextChar"/>
    <w:link w:val="CommentSubject"/>
    <w:uiPriority w:val="99"/>
    <w:semiHidden/>
    <w:rsid w:val="00D91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1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8"/>
    <w:rPr>
      <w:rFonts w:ascii="Segoe UI" w:eastAsia="Times New Roman" w:hAnsi="Segoe UI" w:cs="Segoe UI"/>
      <w:sz w:val="18"/>
      <w:szCs w:val="18"/>
    </w:rPr>
  </w:style>
  <w:style w:type="paragraph" w:customStyle="1" w:styleId="TableParagraph">
    <w:name w:val="Table Paragraph"/>
    <w:basedOn w:val="Normal"/>
    <w:uiPriority w:val="1"/>
    <w:qFormat/>
    <w:rsid w:val="000143FC"/>
    <w:pPr>
      <w:widowControl w:val="0"/>
    </w:pPr>
    <w:rPr>
      <w:rFonts w:asciiTheme="minorHAnsi" w:eastAsiaTheme="minorHAnsi" w:hAnsiTheme="minorHAnsi" w:cstheme="minorBidi"/>
      <w:sz w:val="22"/>
      <w:szCs w:val="22"/>
    </w:rPr>
  </w:style>
  <w:style w:type="paragraph" w:styleId="Revision">
    <w:name w:val="Revision"/>
    <w:hidden/>
    <w:uiPriority w:val="99"/>
    <w:semiHidden/>
    <w:rsid w:val="003732C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8D0"/>
    <w:rPr>
      <w:color w:val="0000FF"/>
      <w:u w:val="single"/>
    </w:rPr>
  </w:style>
  <w:style w:type="table" w:styleId="TableGrid">
    <w:name w:val="Table Grid"/>
    <w:basedOn w:val="TableNormal"/>
    <w:uiPriority w:val="59"/>
    <w:rsid w:val="00F23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874">
      <w:bodyDiv w:val="1"/>
      <w:marLeft w:val="0"/>
      <w:marRight w:val="0"/>
      <w:marTop w:val="0"/>
      <w:marBottom w:val="0"/>
      <w:divBdr>
        <w:top w:val="none" w:sz="0" w:space="0" w:color="auto"/>
        <w:left w:val="none" w:sz="0" w:space="0" w:color="auto"/>
        <w:bottom w:val="none" w:sz="0" w:space="0" w:color="auto"/>
        <w:right w:val="none" w:sz="0" w:space="0" w:color="auto"/>
      </w:divBdr>
    </w:div>
    <w:div w:id="318971190">
      <w:bodyDiv w:val="1"/>
      <w:marLeft w:val="0"/>
      <w:marRight w:val="0"/>
      <w:marTop w:val="0"/>
      <w:marBottom w:val="0"/>
      <w:divBdr>
        <w:top w:val="none" w:sz="0" w:space="0" w:color="auto"/>
        <w:left w:val="none" w:sz="0" w:space="0" w:color="auto"/>
        <w:bottom w:val="none" w:sz="0" w:space="0" w:color="auto"/>
        <w:right w:val="none" w:sz="0" w:space="0" w:color="auto"/>
      </w:divBdr>
    </w:div>
    <w:div w:id="533158944">
      <w:bodyDiv w:val="1"/>
      <w:marLeft w:val="0"/>
      <w:marRight w:val="0"/>
      <w:marTop w:val="0"/>
      <w:marBottom w:val="0"/>
      <w:divBdr>
        <w:top w:val="none" w:sz="0" w:space="0" w:color="auto"/>
        <w:left w:val="none" w:sz="0" w:space="0" w:color="auto"/>
        <w:bottom w:val="none" w:sz="0" w:space="0" w:color="auto"/>
        <w:right w:val="none" w:sz="0" w:space="0" w:color="auto"/>
      </w:divBdr>
    </w:div>
    <w:div w:id="916935313">
      <w:bodyDiv w:val="1"/>
      <w:marLeft w:val="0"/>
      <w:marRight w:val="0"/>
      <w:marTop w:val="0"/>
      <w:marBottom w:val="0"/>
      <w:divBdr>
        <w:top w:val="none" w:sz="0" w:space="0" w:color="auto"/>
        <w:left w:val="none" w:sz="0" w:space="0" w:color="auto"/>
        <w:bottom w:val="none" w:sz="0" w:space="0" w:color="auto"/>
        <w:right w:val="none" w:sz="0" w:space="0" w:color="auto"/>
      </w:divBdr>
    </w:div>
    <w:div w:id="1026181030">
      <w:bodyDiv w:val="1"/>
      <w:marLeft w:val="0"/>
      <w:marRight w:val="0"/>
      <w:marTop w:val="0"/>
      <w:marBottom w:val="0"/>
      <w:divBdr>
        <w:top w:val="none" w:sz="0" w:space="0" w:color="auto"/>
        <w:left w:val="none" w:sz="0" w:space="0" w:color="auto"/>
        <w:bottom w:val="none" w:sz="0" w:space="0" w:color="auto"/>
        <w:right w:val="none" w:sz="0" w:space="0" w:color="auto"/>
      </w:divBdr>
      <w:divsChild>
        <w:div w:id="2091849744">
          <w:marLeft w:val="0"/>
          <w:marRight w:val="0"/>
          <w:marTop w:val="90"/>
          <w:marBottom w:val="0"/>
          <w:divBdr>
            <w:top w:val="none" w:sz="0" w:space="0" w:color="auto"/>
            <w:left w:val="none" w:sz="0" w:space="0" w:color="auto"/>
            <w:bottom w:val="none" w:sz="0" w:space="0" w:color="auto"/>
            <w:right w:val="none" w:sz="0" w:space="0" w:color="auto"/>
          </w:divBdr>
          <w:divsChild>
            <w:div w:id="1249732051">
              <w:marLeft w:val="0"/>
              <w:marRight w:val="0"/>
              <w:marTop w:val="0"/>
              <w:marBottom w:val="405"/>
              <w:divBdr>
                <w:top w:val="none" w:sz="0" w:space="0" w:color="auto"/>
                <w:left w:val="none" w:sz="0" w:space="0" w:color="auto"/>
                <w:bottom w:val="none" w:sz="0" w:space="0" w:color="auto"/>
                <w:right w:val="none" w:sz="0" w:space="0" w:color="auto"/>
              </w:divBdr>
              <w:divsChild>
                <w:div w:id="612710132">
                  <w:marLeft w:val="0"/>
                  <w:marRight w:val="0"/>
                  <w:marTop w:val="0"/>
                  <w:marBottom w:val="0"/>
                  <w:divBdr>
                    <w:top w:val="none" w:sz="0" w:space="0" w:color="auto"/>
                    <w:left w:val="none" w:sz="0" w:space="0" w:color="auto"/>
                    <w:bottom w:val="none" w:sz="0" w:space="0" w:color="auto"/>
                    <w:right w:val="none" w:sz="0" w:space="0" w:color="auto"/>
                  </w:divBdr>
                  <w:divsChild>
                    <w:div w:id="1950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DA20-CBA7-40CB-9DCA-881D9923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2578</Words>
  <Characters>14698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Stephanie</dc:creator>
  <cp:keywords/>
  <dc:description/>
  <cp:lastModifiedBy>DelFranco, Ruthie</cp:lastModifiedBy>
  <cp:revision>2</cp:revision>
  <cp:lastPrinted>2019-11-20T19:38:00Z</cp:lastPrinted>
  <dcterms:created xsi:type="dcterms:W3CDTF">2020-04-20T20:47:00Z</dcterms:created>
  <dcterms:modified xsi:type="dcterms:W3CDTF">2020-04-20T20:47:00Z</dcterms:modified>
</cp:coreProperties>
</file>