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2C07A1D1"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0178F5">
        <w:rPr>
          <w:rFonts w:ascii="Times New Roman" w:eastAsia="Times New Roman" w:hAnsi="Times New Roman" w:cs="Times New Roman"/>
          <w:sz w:val="24"/>
          <w:szCs w:val="24"/>
        </w:rPr>
        <w:t>1305</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7A7F747A" w:rsidR="001A39FD" w:rsidRDefault="009B0710" w:rsidP="0047756F">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Resolution approving an exemption from real property taxes for property located at </w:t>
      </w:r>
      <w:r w:rsidR="00037231">
        <w:rPr>
          <w:rFonts w:ascii="Times New Roman" w:eastAsia="Times New Roman" w:hAnsi="Times New Roman" w:cs="Times New Roman"/>
          <w:sz w:val="24"/>
          <w:szCs w:val="24"/>
        </w:rPr>
        <w:t>(</w:t>
      </w:r>
      <w:r w:rsidR="00037231" w:rsidRPr="00037231">
        <w:rPr>
          <w:rFonts w:ascii="Times New Roman" w:eastAsia="Times New Roman" w:hAnsi="Times New Roman" w:cs="Times New Roman"/>
          <w:sz w:val="24"/>
          <w:szCs w:val="24"/>
        </w:rPr>
        <w:t>Block 1627, Lot 43</w:t>
      </w:r>
      <w:r w:rsidR="00037231">
        <w:rPr>
          <w:rFonts w:ascii="Times New Roman" w:eastAsia="Times New Roman" w:hAnsi="Times New Roman" w:cs="Times New Roman"/>
          <w:sz w:val="24"/>
          <w:szCs w:val="24"/>
        </w:rPr>
        <w:t>) Manhattan</w:t>
      </w:r>
      <w:r w:rsidRPr="001271DF">
        <w:rPr>
          <w:rFonts w:ascii="Times New Roman" w:eastAsia="Times New Roman" w:hAnsi="Times New Roman" w:cs="Times New Roman"/>
          <w:sz w:val="24"/>
          <w:szCs w:val="24"/>
        </w:rPr>
        <w:t>, pursuant to Section 577 of the Private Housing Finance Law (Preconsidered L.U. No.</w:t>
      </w:r>
      <w:r w:rsidR="001A2BC2">
        <w:rPr>
          <w:rFonts w:ascii="Times New Roman" w:eastAsia="Times New Roman" w:hAnsi="Times New Roman" w:cs="Times New Roman"/>
          <w:sz w:val="24"/>
          <w:szCs w:val="24"/>
        </w:rPr>
        <w:t xml:space="preserve"> 652</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33897174"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037231">
        <w:rPr>
          <w:rFonts w:ascii="Times New Roman" w:eastAsia="Times New Roman" w:hAnsi="Times New Roman" w:cs="Times New Roman"/>
          <w:sz w:val="24"/>
          <w:szCs w:val="24"/>
        </w:rPr>
        <w:t>March 9</w:t>
      </w:r>
      <w:r w:rsidR="00327958">
        <w:rPr>
          <w:rFonts w:ascii="Times New Roman" w:eastAsia="Times New Roman" w:hAnsi="Times New Roman" w:cs="Times New Roman"/>
          <w:sz w:val="24"/>
          <w:szCs w:val="24"/>
        </w:rPr>
        <w:t>, 2020</w:t>
      </w:r>
      <w:r w:rsidR="00D539FC">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037231" w:rsidRPr="00037231">
        <w:rPr>
          <w:rFonts w:ascii="Times New Roman" w:eastAsia="Times New Roman" w:hAnsi="Times New Roman" w:cs="Times New Roman"/>
          <w:sz w:val="24"/>
          <w:szCs w:val="24"/>
        </w:rPr>
        <w:t xml:space="preserve">(Block 1627, Lot 43) Manhattan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w:t>
      </w:r>
      <w:proofErr w:type="gramStart"/>
      <w:r w:rsidRPr="001271DF">
        <w:rPr>
          <w:rFonts w:ascii="Times New Roman" w:eastAsia="Times New Roman" w:hAnsi="Times New Roman" w:cs="Times New Roman"/>
          <w:sz w:val="24"/>
          <w:szCs w:val="24"/>
        </w:rPr>
        <w:t>The</w:t>
      </w:r>
      <w:proofErr w:type="gramEnd"/>
      <w:r w:rsidRPr="001271DF">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6ECCB13E" w14:textId="77777777" w:rsidR="000657EC" w:rsidRDefault="009B0710" w:rsidP="000657EC">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38AD5C58" w14:textId="6DBC7CC6" w:rsidR="000657EC" w:rsidRDefault="000657EC" w:rsidP="000657E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For the purposes hereof, the following terms sh</w:t>
      </w:r>
      <w:r>
        <w:rPr>
          <w:rFonts w:ascii="Times New Roman" w:eastAsia="Times New Roman" w:hAnsi="Times New Roman" w:cs="Times New Roman"/>
          <w:sz w:val="24"/>
          <w:szCs w:val="24"/>
        </w:rPr>
        <w:t>all have the following meanings:</w:t>
      </w:r>
    </w:p>
    <w:p w14:paraId="730BABD7" w14:textId="77777777" w:rsidR="000657EC" w:rsidRDefault="000657EC" w:rsidP="000657E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456520C5" w14:textId="53A710F0"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“Company” shall mean 166 East 100 Owner LLC or any other entity that acquires the beneficial interest in the Exemption Area with the prior written co</w:t>
      </w:r>
      <w:r>
        <w:rPr>
          <w:rFonts w:ascii="Times New Roman" w:eastAsia="Times New Roman" w:hAnsi="Times New Roman" w:cs="Times New Roman"/>
          <w:sz w:val="24"/>
          <w:szCs w:val="24"/>
        </w:rPr>
        <w:t>nsent of HPD.</w:t>
      </w:r>
    </w:p>
    <w:p w14:paraId="4B41AC31" w14:textId="77777777" w:rsidR="000657EC" w:rsidRDefault="000657EC" w:rsidP="000657E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52870383"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 xml:space="preserve">“Effective </w:t>
      </w:r>
      <w:r>
        <w:rPr>
          <w:rFonts w:ascii="Times New Roman" w:eastAsia="Times New Roman" w:hAnsi="Times New Roman" w:cs="Times New Roman"/>
          <w:sz w:val="24"/>
          <w:szCs w:val="24"/>
        </w:rPr>
        <w:t>Date” shall mean April 11, 2016.</w:t>
      </w:r>
    </w:p>
    <w:p w14:paraId="209E8E63" w14:textId="77777777" w:rsidR="000657EC" w:rsidRPr="000657EC" w:rsidRDefault="000657EC" w:rsidP="000657EC">
      <w:pPr>
        <w:pStyle w:val="ListParagraph"/>
        <w:rPr>
          <w:rFonts w:ascii="Times New Roman" w:eastAsia="Times New Roman" w:hAnsi="Times New Roman" w:cs="Times New Roman"/>
          <w:sz w:val="24"/>
          <w:szCs w:val="24"/>
        </w:rPr>
      </w:pPr>
    </w:p>
    <w:p w14:paraId="55AF5136"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“Exemption” shall mean the exemption from real prope</w:t>
      </w:r>
      <w:r>
        <w:rPr>
          <w:rFonts w:ascii="Times New Roman" w:eastAsia="Times New Roman" w:hAnsi="Times New Roman" w:cs="Times New Roman"/>
          <w:sz w:val="24"/>
          <w:szCs w:val="24"/>
        </w:rPr>
        <w:t>rty taxation provided hereunder.</w:t>
      </w:r>
    </w:p>
    <w:p w14:paraId="41CB699F" w14:textId="77777777" w:rsidR="000657EC" w:rsidRPr="000657EC" w:rsidRDefault="000657EC" w:rsidP="000657EC">
      <w:pPr>
        <w:pStyle w:val="ListParagraph"/>
        <w:rPr>
          <w:rFonts w:ascii="Times New Roman" w:eastAsia="Times New Roman" w:hAnsi="Times New Roman" w:cs="Times New Roman"/>
          <w:sz w:val="24"/>
          <w:szCs w:val="24"/>
        </w:rPr>
      </w:pPr>
    </w:p>
    <w:p w14:paraId="41EB5795"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“Exemption Area” shall mean the real property located in the Borough of Manhattan, City and State of New York, identified as Block 1627, Lot 43 on the Tax Map of the City of New York.</w:t>
      </w:r>
    </w:p>
    <w:p w14:paraId="7C8BCFB5" w14:textId="77777777" w:rsidR="000657EC" w:rsidRPr="000657EC" w:rsidRDefault="000657EC" w:rsidP="000657EC">
      <w:pPr>
        <w:pStyle w:val="ListParagraph"/>
        <w:rPr>
          <w:rFonts w:ascii="Times New Roman" w:eastAsia="Times New Roman" w:hAnsi="Times New Roman" w:cs="Times New Roman"/>
          <w:sz w:val="24"/>
          <w:szCs w:val="24"/>
        </w:rPr>
      </w:pPr>
    </w:p>
    <w:p w14:paraId="74697CFD"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proofErr w:type="gramStart"/>
      <w:r w:rsidRPr="000657EC">
        <w:rPr>
          <w:rFonts w:ascii="Times New Roman" w:eastAsia="Times New Roman" w:hAnsi="Times New Roman" w:cs="Times New Roman"/>
          <w:sz w:val="24"/>
          <w:szCs w:val="24"/>
        </w:rPr>
        <w:t>“Expiration Date” shall mean the earlier to occur of (</w:t>
      </w:r>
      <w:proofErr w:type="spellStart"/>
      <w:r w:rsidRPr="000657EC">
        <w:rPr>
          <w:rFonts w:ascii="Times New Roman" w:eastAsia="Times New Roman" w:hAnsi="Times New Roman" w:cs="Times New Roman"/>
          <w:sz w:val="24"/>
          <w:szCs w:val="24"/>
        </w:rPr>
        <w:t>i</w:t>
      </w:r>
      <w:proofErr w:type="spellEnd"/>
      <w:r w:rsidRPr="000657EC">
        <w:rPr>
          <w:rFonts w:ascii="Times New Roman" w:eastAsia="Times New Roman" w:hAnsi="Times New Roman" w:cs="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roofErr w:type="gramEnd"/>
    </w:p>
    <w:p w14:paraId="0DECFE0F" w14:textId="77777777" w:rsidR="000657EC" w:rsidRPr="000657EC" w:rsidRDefault="000657EC" w:rsidP="000657EC">
      <w:pPr>
        <w:pStyle w:val="ListParagraph"/>
        <w:rPr>
          <w:rFonts w:ascii="Times New Roman" w:eastAsia="Times New Roman" w:hAnsi="Times New Roman" w:cs="Times New Roman"/>
          <w:sz w:val="24"/>
          <w:szCs w:val="24"/>
        </w:rPr>
      </w:pPr>
    </w:p>
    <w:p w14:paraId="5C705C33"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lastRenderedPageBreak/>
        <w:t>“Gross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w:t>
      </w:r>
    </w:p>
    <w:p w14:paraId="5D8DECFD" w14:textId="77777777" w:rsidR="000657EC" w:rsidRPr="000657EC" w:rsidRDefault="000657EC" w:rsidP="000657EC">
      <w:pPr>
        <w:pStyle w:val="ListParagraph"/>
        <w:rPr>
          <w:rFonts w:ascii="Times New Roman" w:eastAsia="Times New Roman" w:hAnsi="Times New Roman" w:cs="Times New Roman"/>
          <w:sz w:val="24"/>
          <w:szCs w:val="24"/>
        </w:rPr>
      </w:pPr>
    </w:p>
    <w:p w14:paraId="6C7A5285"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“Gross Rent Deadline” shall mean three hundred and sixty-five (365) days from the date of the HPD letter requesting the information that HPD needs to calculate the Gross Rent Tax for the applicable tax year.</w:t>
      </w:r>
    </w:p>
    <w:p w14:paraId="2BBC9754" w14:textId="77777777" w:rsidR="000657EC" w:rsidRPr="000657EC" w:rsidRDefault="000657EC" w:rsidP="000657EC">
      <w:pPr>
        <w:pStyle w:val="ListParagraph"/>
        <w:rPr>
          <w:rFonts w:ascii="Times New Roman" w:eastAsia="Times New Roman" w:hAnsi="Times New Roman" w:cs="Times New Roman"/>
          <w:sz w:val="24"/>
          <w:szCs w:val="24"/>
        </w:rPr>
      </w:pPr>
    </w:p>
    <w:p w14:paraId="4749CC0A"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proofErr w:type="gramStart"/>
      <w:r w:rsidRPr="000657EC">
        <w:rPr>
          <w:rFonts w:ascii="Times New Roman" w:eastAsia="Times New Roman" w:hAnsi="Times New Roman" w:cs="Times New Roman"/>
          <w:sz w:val="24"/>
          <w:szCs w:val="24"/>
        </w:rPr>
        <w:t>“Gross Rent Tax” shall mean, with respect to any tax year, an amount equal to twelve percent (12%)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roofErr w:type="gramEnd"/>
    </w:p>
    <w:p w14:paraId="75256AFB" w14:textId="77777777" w:rsidR="000657EC" w:rsidRPr="000657EC" w:rsidRDefault="000657EC" w:rsidP="000657EC">
      <w:pPr>
        <w:pStyle w:val="ListParagraph"/>
        <w:rPr>
          <w:rFonts w:ascii="Times New Roman" w:eastAsia="Times New Roman" w:hAnsi="Times New Roman" w:cs="Times New Roman"/>
          <w:sz w:val="24"/>
          <w:szCs w:val="24"/>
        </w:rPr>
      </w:pPr>
    </w:p>
    <w:p w14:paraId="0841BA69" w14:textId="5CD1D2F4"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“HDFC” shall mean East 100 Housing Development Fund Corporation or a housing development fund company that acquires the Exemption Area with the prior written consent of HPD</w:t>
      </w:r>
      <w:r>
        <w:rPr>
          <w:rFonts w:ascii="Times New Roman" w:eastAsia="Times New Roman" w:hAnsi="Times New Roman" w:cs="Times New Roman"/>
          <w:sz w:val="24"/>
          <w:szCs w:val="24"/>
        </w:rPr>
        <w:t>.</w:t>
      </w:r>
      <w:r w:rsidRPr="000657EC">
        <w:rPr>
          <w:rFonts w:ascii="Times New Roman" w:eastAsia="Times New Roman" w:hAnsi="Times New Roman" w:cs="Times New Roman"/>
          <w:sz w:val="24"/>
          <w:szCs w:val="24"/>
        </w:rPr>
        <w:t xml:space="preserve"> </w:t>
      </w:r>
    </w:p>
    <w:p w14:paraId="5C99121A" w14:textId="77777777" w:rsidR="000657EC" w:rsidRPr="000657EC" w:rsidRDefault="000657EC" w:rsidP="000657EC">
      <w:pPr>
        <w:pStyle w:val="ListParagraph"/>
        <w:rPr>
          <w:rFonts w:ascii="Times New Roman" w:eastAsia="Times New Roman" w:hAnsi="Times New Roman" w:cs="Times New Roman"/>
          <w:sz w:val="24"/>
          <w:szCs w:val="24"/>
        </w:rPr>
      </w:pPr>
    </w:p>
    <w:p w14:paraId="1B4AC234"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“HPD” shall mean the Department of Housing Preservation and Development of the City of New York.</w:t>
      </w:r>
    </w:p>
    <w:p w14:paraId="1E090508" w14:textId="77777777" w:rsidR="000657EC" w:rsidRPr="000657EC" w:rsidRDefault="000657EC" w:rsidP="000657EC">
      <w:pPr>
        <w:pStyle w:val="ListParagraph"/>
        <w:rPr>
          <w:rFonts w:ascii="Times New Roman" w:eastAsia="Times New Roman" w:hAnsi="Times New Roman" w:cs="Times New Roman"/>
          <w:sz w:val="24"/>
          <w:szCs w:val="24"/>
        </w:rPr>
      </w:pPr>
    </w:p>
    <w:p w14:paraId="0EE22AC3"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“Owner” shall mean, collectively, the HDFC and the Company.</w:t>
      </w:r>
    </w:p>
    <w:p w14:paraId="158F4146" w14:textId="77777777" w:rsidR="000657EC" w:rsidRPr="000657EC" w:rsidRDefault="000657EC" w:rsidP="000657EC">
      <w:pPr>
        <w:pStyle w:val="ListParagraph"/>
        <w:rPr>
          <w:rFonts w:ascii="Times New Roman" w:eastAsia="Times New Roman" w:hAnsi="Times New Roman" w:cs="Times New Roman"/>
          <w:sz w:val="24"/>
          <w:szCs w:val="24"/>
        </w:rPr>
      </w:pPr>
    </w:p>
    <w:p w14:paraId="30DDED54"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proofErr w:type="gramStart"/>
      <w:r w:rsidRPr="000657EC">
        <w:rPr>
          <w:rFonts w:ascii="Times New Roman" w:eastAsia="Times New Roman" w:hAnsi="Times New Roman" w:cs="Times New Roman"/>
          <w:sz w:val="24"/>
          <w:szCs w:val="24"/>
        </w:rPr>
        <w:t>“Regulatory Agreement” shall mean the Lower Income Housing Plan Written Agreement dated April 11, 2016, recorded and filed on April 21, 2016 CFRN No. 2016000139909, as amended by that Amendment to Lower Income Housing Plan Written Agreement dated August 23, 2016, recorded and filed on September 12, 2016 CFRN No. 2016000316326, establishing certain controls upon the operation of the Exemption Area during the term of the Exemption.</w:t>
      </w:r>
      <w:proofErr w:type="gramEnd"/>
      <w:r w:rsidRPr="000657EC">
        <w:rPr>
          <w:rFonts w:ascii="Times New Roman" w:eastAsia="Times New Roman" w:hAnsi="Times New Roman" w:cs="Times New Roman"/>
          <w:sz w:val="24"/>
          <w:szCs w:val="24"/>
        </w:rPr>
        <w:t xml:space="preserve"> </w:t>
      </w:r>
    </w:p>
    <w:p w14:paraId="4CE66D2E" w14:textId="77777777" w:rsidR="000657EC" w:rsidRPr="000657EC" w:rsidRDefault="000657EC" w:rsidP="000657EC">
      <w:pPr>
        <w:pStyle w:val="ListParagraph"/>
        <w:rPr>
          <w:rFonts w:ascii="Times New Roman" w:eastAsia="Times New Roman" w:hAnsi="Times New Roman" w:cs="Times New Roman"/>
          <w:sz w:val="24"/>
          <w:szCs w:val="24"/>
        </w:rPr>
      </w:pPr>
    </w:p>
    <w:p w14:paraId="17749A3A" w14:textId="6F4D6647" w:rsidR="000657EC" w:rsidRDefault="000657EC" w:rsidP="000657E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0759AF60" w14:textId="77777777" w:rsidR="000657EC" w:rsidRDefault="000657EC" w:rsidP="000657E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381F4D4F" w14:textId="77777777" w:rsidR="000657EC" w:rsidRDefault="000657EC" w:rsidP="000657E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 </w:t>
      </w:r>
    </w:p>
    <w:p w14:paraId="23E592E9" w14:textId="77777777" w:rsidR="000657EC" w:rsidRPr="000657EC" w:rsidRDefault="000657EC" w:rsidP="000657EC">
      <w:pPr>
        <w:pStyle w:val="ListParagraph"/>
        <w:rPr>
          <w:rFonts w:ascii="Times New Roman" w:eastAsia="Times New Roman" w:hAnsi="Times New Roman" w:cs="Times New Roman"/>
          <w:sz w:val="24"/>
          <w:szCs w:val="24"/>
        </w:rPr>
      </w:pPr>
    </w:p>
    <w:p w14:paraId="5AAFB8A3" w14:textId="77777777" w:rsidR="000657EC" w:rsidRDefault="000657EC" w:rsidP="000657E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Notwithstanding any provision hereof to the contrary:</w:t>
      </w:r>
    </w:p>
    <w:p w14:paraId="224B1D7C" w14:textId="77777777" w:rsidR="000657EC" w:rsidRPr="000657EC" w:rsidRDefault="000657EC" w:rsidP="000657EC">
      <w:pPr>
        <w:pStyle w:val="ListParagraph"/>
        <w:rPr>
          <w:rFonts w:ascii="Times New Roman" w:eastAsia="Times New Roman" w:hAnsi="Times New Roman" w:cs="Times New Roman"/>
          <w:sz w:val="24"/>
          <w:szCs w:val="24"/>
        </w:rPr>
      </w:pPr>
    </w:p>
    <w:p w14:paraId="193ADD98" w14:textId="0253D90E"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proofErr w:type="gramStart"/>
      <w:r w:rsidRPr="000657EC">
        <w:rPr>
          <w:rFonts w:ascii="Times New Roman" w:eastAsia="Times New Roman" w:hAnsi="Times New Roman" w:cs="Times New Roman"/>
          <w:sz w:val="24"/>
          <w:szCs w:val="24"/>
        </w:rPr>
        <w:lastRenderedPageBreak/>
        <w:t>The Exemption shall terminate if HPD determines at any time that (</w:t>
      </w:r>
      <w:proofErr w:type="spellStart"/>
      <w:r w:rsidRPr="000657EC">
        <w:rPr>
          <w:rFonts w:ascii="Times New Roman" w:eastAsia="Times New Roman" w:hAnsi="Times New Roman" w:cs="Times New Roman"/>
          <w:sz w:val="24"/>
          <w:szCs w:val="24"/>
        </w:rPr>
        <w:t>i</w:t>
      </w:r>
      <w:proofErr w:type="spellEnd"/>
      <w:r w:rsidRPr="000657EC">
        <w:rPr>
          <w:rFonts w:ascii="Times New Roman" w:eastAsia="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w:t>
      </w:r>
      <w:proofErr w:type="gramEnd"/>
      <w:r w:rsidRPr="000657EC">
        <w:rPr>
          <w:rFonts w:ascii="Times New Roman" w:eastAsia="Times New Roman" w:hAnsi="Times New Roman" w:cs="Times New Roman"/>
          <w:sz w:val="24"/>
          <w:szCs w:val="24"/>
        </w:rPr>
        <w:t xml:space="preserve">  HPD shall deliver written notice of any such determination to Owner and all mortgagees of record, which notice shall provide for an opportunity to cure of not less than </w:t>
      </w:r>
      <w:proofErr w:type="gramStart"/>
      <w:r w:rsidRPr="000657EC">
        <w:rPr>
          <w:rFonts w:ascii="Times New Roman" w:eastAsia="Times New Roman" w:hAnsi="Times New Roman" w:cs="Times New Roman"/>
          <w:sz w:val="24"/>
          <w:szCs w:val="24"/>
        </w:rPr>
        <w:t>sixty (60) days</w:t>
      </w:r>
      <w:proofErr w:type="gramEnd"/>
      <w:r w:rsidRPr="000657EC">
        <w:rPr>
          <w:rFonts w:ascii="Times New Roman" w:eastAsia="Times New Roman" w:hAnsi="Times New Roman" w:cs="Times New Roman"/>
          <w:sz w:val="24"/>
          <w:szCs w:val="24"/>
        </w:rPr>
        <w:t xml:space="preserve">.  If the noncompliance specified in such notice is not cured within the </w:t>
      </w:r>
      <w:proofErr w:type="gramStart"/>
      <w:r w:rsidRPr="000657EC">
        <w:rPr>
          <w:rFonts w:ascii="Times New Roman" w:eastAsia="Times New Roman" w:hAnsi="Times New Roman" w:cs="Times New Roman"/>
          <w:sz w:val="24"/>
          <w:szCs w:val="24"/>
        </w:rPr>
        <w:t>time period</w:t>
      </w:r>
      <w:proofErr w:type="gramEnd"/>
      <w:r w:rsidRPr="000657EC">
        <w:rPr>
          <w:rFonts w:ascii="Times New Roman" w:eastAsia="Times New Roman" w:hAnsi="Times New Roman" w:cs="Times New Roman"/>
          <w:sz w:val="24"/>
          <w:szCs w:val="24"/>
        </w:rPr>
        <w:t xml:space="preserve"> specified therein, the Exemption shall prospectively terminate.</w:t>
      </w:r>
    </w:p>
    <w:p w14:paraId="65BA907A" w14:textId="77777777" w:rsidR="000657EC" w:rsidRDefault="000657EC" w:rsidP="000657E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33B86E7E"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 xml:space="preserve">The Exemption shall apply to all land in the Exemption Area, but shall only apply to a building on the Exemption Area that has a new permanent certificate of occupancy or a temporary certificate of occupancy for all of the residential areas on or before three years from the Effective Date. </w:t>
      </w:r>
    </w:p>
    <w:p w14:paraId="45739524" w14:textId="77777777" w:rsidR="000657EC" w:rsidRPr="000657EC" w:rsidRDefault="000657EC" w:rsidP="000657EC">
      <w:pPr>
        <w:pStyle w:val="ListParagraph"/>
        <w:rPr>
          <w:rFonts w:ascii="Times New Roman" w:eastAsia="Times New Roman" w:hAnsi="Times New Roman" w:cs="Times New Roman"/>
          <w:sz w:val="24"/>
          <w:szCs w:val="24"/>
        </w:rPr>
      </w:pPr>
    </w:p>
    <w:p w14:paraId="44A19BCB" w14:textId="77777777" w:rsidR="000657EC" w:rsidRDefault="000657EC" w:rsidP="000657E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 xml:space="preserve">Nothing herein shall entitle the HDFC, the Owner, or any other person or entity to a refund of any real property </w:t>
      </w:r>
      <w:proofErr w:type="gramStart"/>
      <w:r w:rsidRPr="000657EC">
        <w:rPr>
          <w:rFonts w:ascii="Times New Roman" w:eastAsia="Times New Roman" w:hAnsi="Times New Roman" w:cs="Times New Roman"/>
          <w:sz w:val="24"/>
          <w:szCs w:val="24"/>
        </w:rPr>
        <w:t>taxes which</w:t>
      </w:r>
      <w:proofErr w:type="gramEnd"/>
      <w:r w:rsidRPr="000657EC">
        <w:rPr>
          <w:rFonts w:ascii="Times New Roman" w:eastAsia="Times New Roman" w:hAnsi="Times New Roman" w:cs="Times New Roman"/>
          <w:sz w:val="24"/>
          <w:szCs w:val="24"/>
        </w:rPr>
        <w:t xml:space="preserve"> accrued and were paid with respect to the Exemption Area prior to the Effective Date.</w:t>
      </w:r>
    </w:p>
    <w:p w14:paraId="06E293B1" w14:textId="77777777" w:rsidR="000657EC" w:rsidRPr="000657EC" w:rsidRDefault="000657EC" w:rsidP="000657EC">
      <w:pPr>
        <w:pStyle w:val="ListParagraph"/>
        <w:rPr>
          <w:rFonts w:ascii="Times New Roman" w:eastAsia="Times New Roman" w:hAnsi="Times New Roman" w:cs="Times New Roman"/>
          <w:sz w:val="24"/>
          <w:szCs w:val="24"/>
        </w:rPr>
      </w:pPr>
    </w:p>
    <w:p w14:paraId="5A042D47" w14:textId="79FB9C21" w:rsidR="000657EC" w:rsidRPr="000657EC" w:rsidRDefault="000657EC" w:rsidP="000657E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657EC">
        <w:rPr>
          <w:rFonts w:ascii="Times New Roman" w:eastAsia="Times New Roman" w:hAnsi="Times New Roman" w:cs="Times New Roman"/>
          <w:sz w:val="24"/>
          <w:szCs w:val="24"/>
        </w:rPr>
        <w:t xml:space="preserve">In consideration of the Exemption, the owner of the Exemption Area shall, for so long as the Exemption shall remain in effect, waive the benefits of any additional or concurrent exemption from or abatement of real property </w:t>
      </w:r>
      <w:proofErr w:type="gramStart"/>
      <w:r w:rsidRPr="000657EC">
        <w:rPr>
          <w:rFonts w:ascii="Times New Roman" w:eastAsia="Times New Roman" w:hAnsi="Times New Roman" w:cs="Times New Roman"/>
          <w:sz w:val="24"/>
          <w:szCs w:val="24"/>
        </w:rPr>
        <w:t>taxation which</w:t>
      </w:r>
      <w:proofErr w:type="gramEnd"/>
      <w:r w:rsidRPr="000657EC">
        <w:rPr>
          <w:rFonts w:ascii="Times New Roman" w:eastAsia="Times New Roman" w:hAnsi="Times New Roman" w:cs="Times New Roman"/>
          <w:sz w:val="24"/>
          <w:szCs w:val="24"/>
        </w:rPr>
        <w:t xml:space="preserve">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Office of the City Clerk,     </w:t>
      </w:r>
      <w:proofErr w:type="gramStart"/>
      <w:r w:rsidRPr="001271DF">
        <w:rPr>
          <w:rFonts w:ascii="Times New Roman" w:eastAsia="Times New Roman" w:hAnsi="Times New Roman" w:cs="Times New Roman"/>
          <w:sz w:val="24"/>
          <w:szCs w:val="24"/>
        </w:rPr>
        <w:t>}</w:t>
      </w:r>
      <w:proofErr w:type="gramEnd"/>
      <w:r w:rsidRPr="001271DF">
        <w:rPr>
          <w:rFonts w:ascii="Times New Roman" w:eastAsia="Times New Roman" w:hAnsi="Times New Roman" w:cs="Times New Roman"/>
          <w:sz w:val="24"/>
          <w:szCs w:val="24"/>
        </w:rPr>
        <w:br/>
        <w:t>The City of New York        } ss.:</w:t>
      </w:r>
    </w:p>
    <w:p w14:paraId="3E024AE7" w14:textId="77777777" w:rsidR="00F76015" w:rsidRDefault="00F76015" w:rsidP="00F76015">
      <w:pPr>
        <w:shd w:val="clear" w:color="auto" w:fill="FFFFFF"/>
        <w:spacing w:after="24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foregoing is a true copy of a Resolution passed by The Council of the City of New York on April 22, 2020,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20E7" w14:textId="77777777" w:rsidR="007C05FA" w:rsidRDefault="007C05FA">
      <w:pPr>
        <w:spacing w:after="0" w:line="240" w:lineRule="auto"/>
      </w:pPr>
      <w:r>
        <w:separator/>
      </w:r>
    </w:p>
  </w:endnote>
  <w:endnote w:type="continuationSeparator" w:id="0">
    <w:p w14:paraId="6B34EA07" w14:textId="77777777" w:rsidR="007C05FA" w:rsidRDefault="007C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409A" w14:textId="77777777" w:rsidR="007C05FA" w:rsidRDefault="007C05FA">
      <w:pPr>
        <w:spacing w:after="0" w:line="240" w:lineRule="auto"/>
      </w:pPr>
      <w:r>
        <w:separator/>
      </w:r>
    </w:p>
  </w:footnote>
  <w:footnote w:type="continuationSeparator" w:id="0">
    <w:p w14:paraId="38AD1F7B" w14:textId="77777777" w:rsidR="007C05FA" w:rsidRDefault="007C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74E7"/>
    <w:multiLevelType w:val="hybridMultilevel"/>
    <w:tmpl w:val="255CB1E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F3836"/>
    <w:multiLevelType w:val="hybridMultilevel"/>
    <w:tmpl w:val="65B8BD02"/>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9"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0289C"/>
    <w:multiLevelType w:val="hybridMultilevel"/>
    <w:tmpl w:val="5406FB4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15:restartNumberingAfterBreak="0">
    <w:nsid w:val="7A490FF4"/>
    <w:multiLevelType w:val="hybridMultilevel"/>
    <w:tmpl w:val="7084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8"/>
  </w:num>
  <w:num w:numId="5">
    <w:abstractNumId w:val="14"/>
  </w:num>
  <w:num w:numId="6">
    <w:abstractNumId w:val="17"/>
  </w:num>
  <w:num w:numId="7">
    <w:abstractNumId w:val="5"/>
  </w:num>
  <w:num w:numId="8">
    <w:abstractNumId w:val="1"/>
  </w:num>
  <w:num w:numId="9">
    <w:abstractNumId w:val="13"/>
  </w:num>
  <w:num w:numId="10">
    <w:abstractNumId w:val="6"/>
  </w:num>
  <w:num w:numId="11">
    <w:abstractNumId w:val="2"/>
  </w:num>
  <w:num w:numId="12">
    <w:abstractNumId w:val="11"/>
  </w:num>
  <w:num w:numId="13">
    <w:abstractNumId w:val="9"/>
  </w:num>
  <w:num w:numId="14">
    <w:abstractNumId w:val="12"/>
  </w:num>
  <w:num w:numId="15">
    <w:abstractNumId w:val="16"/>
  </w:num>
  <w:num w:numId="16">
    <w:abstractNumId w:val="19"/>
  </w:num>
  <w:num w:numId="17">
    <w:abstractNumId w:val="18"/>
  </w:num>
  <w:num w:numId="18">
    <w:abstractNumId w:val="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178F5"/>
    <w:rsid w:val="00024E43"/>
    <w:rsid w:val="00037231"/>
    <w:rsid w:val="000469C7"/>
    <w:rsid w:val="00057DBF"/>
    <w:rsid w:val="000657EC"/>
    <w:rsid w:val="000855E6"/>
    <w:rsid w:val="000A0850"/>
    <w:rsid w:val="001271DF"/>
    <w:rsid w:val="001424C8"/>
    <w:rsid w:val="00144446"/>
    <w:rsid w:val="00144D7F"/>
    <w:rsid w:val="00162283"/>
    <w:rsid w:val="00164E2F"/>
    <w:rsid w:val="0017331D"/>
    <w:rsid w:val="001A2BC2"/>
    <w:rsid w:val="001A39FD"/>
    <w:rsid w:val="001C583A"/>
    <w:rsid w:val="001D03B3"/>
    <w:rsid w:val="001D2A9A"/>
    <w:rsid w:val="00211FC3"/>
    <w:rsid w:val="00212C7C"/>
    <w:rsid w:val="002637D7"/>
    <w:rsid w:val="00294823"/>
    <w:rsid w:val="002972F9"/>
    <w:rsid w:val="002B52C5"/>
    <w:rsid w:val="002E7325"/>
    <w:rsid w:val="00326F49"/>
    <w:rsid w:val="00327958"/>
    <w:rsid w:val="00396705"/>
    <w:rsid w:val="003A689E"/>
    <w:rsid w:val="003E7002"/>
    <w:rsid w:val="004120A8"/>
    <w:rsid w:val="004274AD"/>
    <w:rsid w:val="00443923"/>
    <w:rsid w:val="00447916"/>
    <w:rsid w:val="00455E81"/>
    <w:rsid w:val="0047201F"/>
    <w:rsid w:val="0047756F"/>
    <w:rsid w:val="00486FBB"/>
    <w:rsid w:val="005112F6"/>
    <w:rsid w:val="00546DA4"/>
    <w:rsid w:val="00593C58"/>
    <w:rsid w:val="005F082B"/>
    <w:rsid w:val="006005EF"/>
    <w:rsid w:val="00640B1F"/>
    <w:rsid w:val="00646D58"/>
    <w:rsid w:val="006A3F50"/>
    <w:rsid w:val="006C5A01"/>
    <w:rsid w:val="006D5EC4"/>
    <w:rsid w:val="006D662E"/>
    <w:rsid w:val="006E7D19"/>
    <w:rsid w:val="007258C4"/>
    <w:rsid w:val="00741193"/>
    <w:rsid w:val="00743B5D"/>
    <w:rsid w:val="00785A0C"/>
    <w:rsid w:val="007C05FA"/>
    <w:rsid w:val="007C5499"/>
    <w:rsid w:val="00853A14"/>
    <w:rsid w:val="008A25FD"/>
    <w:rsid w:val="00904F6E"/>
    <w:rsid w:val="009B0710"/>
    <w:rsid w:val="009B4E9E"/>
    <w:rsid w:val="009C163D"/>
    <w:rsid w:val="009D2518"/>
    <w:rsid w:val="00A157D0"/>
    <w:rsid w:val="00A45133"/>
    <w:rsid w:val="00A94E15"/>
    <w:rsid w:val="00A97385"/>
    <w:rsid w:val="00AD1054"/>
    <w:rsid w:val="00B267D0"/>
    <w:rsid w:val="00B80AA4"/>
    <w:rsid w:val="00B81BCA"/>
    <w:rsid w:val="00B82AB2"/>
    <w:rsid w:val="00B86602"/>
    <w:rsid w:val="00BC60D9"/>
    <w:rsid w:val="00BE4ABA"/>
    <w:rsid w:val="00D0060F"/>
    <w:rsid w:val="00D47665"/>
    <w:rsid w:val="00D539FC"/>
    <w:rsid w:val="00D76648"/>
    <w:rsid w:val="00E77702"/>
    <w:rsid w:val="00EF4C28"/>
    <w:rsid w:val="00F3499F"/>
    <w:rsid w:val="00F41442"/>
    <w:rsid w:val="00F76015"/>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0BEF-180D-445A-A58B-E190962A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2020-03-13T14:52:00Z</dcterms:created>
  <dcterms:modified xsi:type="dcterms:W3CDTF">2020-04-22T15:30:00Z</dcterms:modified>
</cp:coreProperties>
</file>