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2A9B397C"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3E7002">
        <w:rPr>
          <w:rFonts w:ascii="Times New Roman" w:eastAsia="Times New Roman" w:hAnsi="Times New Roman" w:cs="Times New Roman"/>
          <w:sz w:val="24"/>
          <w:szCs w:val="24"/>
        </w:rPr>
        <w:t xml:space="preserve"> </w:t>
      </w:r>
      <w:r w:rsidR="002C45FA">
        <w:rPr>
          <w:rFonts w:ascii="Times New Roman" w:eastAsia="Times New Roman" w:hAnsi="Times New Roman" w:cs="Times New Roman"/>
          <w:sz w:val="24"/>
          <w:szCs w:val="24"/>
        </w:rPr>
        <w:t>1306</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25736C5C" w14:textId="6C45BBE4" w:rsidR="001A39FD" w:rsidRDefault="009B0710" w:rsidP="0047756F">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Resolution approving an exemption from real property taxes for property located at </w:t>
      </w:r>
      <w:r w:rsidR="00A97385">
        <w:rPr>
          <w:rFonts w:ascii="Times New Roman" w:eastAsia="Times New Roman" w:hAnsi="Times New Roman" w:cs="Times New Roman"/>
          <w:sz w:val="24"/>
          <w:szCs w:val="24"/>
        </w:rPr>
        <w:t>(</w:t>
      </w:r>
      <w:r w:rsidR="00E23C4A" w:rsidRPr="00E23C4A">
        <w:rPr>
          <w:rFonts w:ascii="Times New Roman" w:eastAsia="Times New Roman" w:hAnsi="Times New Roman" w:cs="Times New Roman"/>
          <w:sz w:val="24"/>
          <w:szCs w:val="24"/>
        </w:rPr>
        <w:t>Block 20, Lot 8</w:t>
      </w:r>
      <w:r w:rsidR="00785A0C">
        <w:rPr>
          <w:rFonts w:ascii="Times New Roman" w:eastAsia="Times New Roman" w:hAnsi="Times New Roman" w:cs="Times New Roman"/>
          <w:sz w:val="24"/>
          <w:szCs w:val="24"/>
        </w:rPr>
        <w:t xml:space="preserve">) </w:t>
      </w:r>
      <w:r w:rsidR="00E23C4A">
        <w:rPr>
          <w:rFonts w:ascii="Times New Roman" w:eastAsia="Times New Roman" w:hAnsi="Times New Roman" w:cs="Times New Roman"/>
          <w:sz w:val="24"/>
          <w:szCs w:val="24"/>
        </w:rPr>
        <w:t>Staten Island</w:t>
      </w:r>
      <w:r w:rsidRPr="001271DF">
        <w:rPr>
          <w:rFonts w:ascii="Times New Roman" w:eastAsia="Times New Roman" w:hAnsi="Times New Roman" w:cs="Times New Roman"/>
          <w:sz w:val="24"/>
          <w:szCs w:val="24"/>
        </w:rPr>
        <w:t>, pursuant to Section 577 of the Private Housing Finance Law (Preconsidered L.U. No.</w:t>
      </w:r>
      <w:r w:rsidR="00324CEE">
        <w:rPr>
          <w:rFonts w:ascii="Times New Roman" w:eastAsia="Times New Roman" w:hAnsi="Times New Roman" w:cs="Times New Roman"/>
          <w:sz w:val="24"/>
          <w:szCs w:val="24"/>
        </w:rPr>
        <w:t xml:space="preserve"> 653</w:t>
      </w:r>
      <w:r w:rsidRPr="001271DF">
        <w:rPr>
          <w:rFonts w:ascii="Times New Roman" w:eastAsia="Times New Roman" w:hAnsi="Times New Roman" w:cs="Times New Roman"/>
          <w:sz w:val="24"/>
          <w:szCs w:val="24"/>
        </w:rPr>
        <w:t>).</w:t>
      </w:r>
    </w:p>
    <w:p w14:paraId="218778FD" w14:textId="370066C5" w:rsidR="001C583A"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14:paraId="0478A24B" w14:textId="77777777"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047271AF"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785A0C">
        <w:rPr>
          <w:rFonts w:ascii="Times New Roman" w:eastAsia="Times New Roman" w:hAnsi="Times New Roman" w:cs="Times New Roman"/>
          <w:sz w:val="24"/>
          <w:szCs w:val="24"/>
        </w:rPr>
        <w:t xml:space="preserve">March </w:t>
      </w:r>
      <w:r w:rsidR="00EC7948">
        <w:rPr>
          <w:rFonts w:ascii="Times New Roman" w:eastAsia="Times New Roman" w:hAnsi="Times New Roman" w:cs="Times New Roman"/>
          <w:sz w:val="24"/>
          <w:szCs w:val="24"/>
        </w:rPr>
        <w:t>1</w:t>
      </w:r>
      <w:r w:rsidR="00785A0C">
        <w:rPr>
          <w:rFonts w:ascii="Times New Roman" w:eastAsia="Times New Roman" w:hAnsi="Times New Roman" w:cs="Times New Roman"/>
          <w:sz w:val="24"/>
          <w:szCs w:val="24"/>
        </w:rPr>
        <w:t>2</w:t>
      </w:r>
      <w:r w:rsidR="00327958">
        <w:rPr>
          <w:rFonts w:ascii="Times New Roman" w:eastAsia="Times New Roman" w:hAnsi="Times New Roman" w:cs="Times New Roman"/>
          <w:sz w:val="24"/>
          <w:szCs w:val="24"/>
        </w:rPr>
        <w:t>, 2020</w:t>
      </w:r>
      <w:r w:rsidR="00D539FC">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47756F" w:rsidRPr="0047756F">
        <w:rPr>
          <w:rFonts w:ascii="Times New Roman" w:eastAsia="Times New Roman" w:hAnsi="Times New Roman" w:cs="Times New Roman"/>
          <w:sz w:val="24"/>
          <w:szCs w:val="24"/>
        </w:rPr>
        <w:t>(</w:t>
      </w:r>
      <w:r w:rsidR="00E23C4A" w:rsidRPr="00E23C4A">
        <w:rPr>
          <w:rFonts w:ascii="Times New Roman" w:eastAsia="Times New Roman" w:hAnsi="Times New Roman" w:cs="Times New Roman"/>
          <w:sz w:val="24"/>
          <w:szCs w:val="24"/>
        </w:rPr>
        <w:t>Block 20, Lot 8</w:t>
      </w:r>
      <w:r w:rsidR="00785A0C">
        <w:rPr>
          <w:rFonts w:ascii="Times New Roman" w:eastAsia="Times New Roman" w:hAnsi="Times New Roman" w:cs="Times New Roman"/>
          <w:sz w:val="24"/>
          <w:szCs w:val="24"/>
        </w:rPr>
        <w:t>)</w:t>
      </w:r>
      <w:r w:rsidR="0047756F" w:rsidRPr="0047756F">
        <w:rPr>
          <w:rFonts w:ascii="Times New Roman" w:eastAsia="Times New Roman" w:hAnsi="Times New Roman" w:cs="Times New Roman"/>
          <w:sz w:val="24"/>
          <w:szCs w:val="24"/>
        </w:rPr>
        <w:t xml:space="preserve"> </w:t>
      </w:r>
      <w:r w:rsidR="00E23C4A">
        <w:rPr>
          <w:rFonts w:ascii="Times New Roman" w:eastAsia="Times New Roman" w:hAnsi="Times New Roman" w:cs="Times New Roman"/>
          <w:sz w:val="24"/>
          <w:szCs w:val="24"/>
        </w:rPr>
        <w:t>Staten Island</w:t>
      </w:r>
      <w:r w:rsidR="00646D58"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4D95D7DF" w14:textId="56729810" w:rsidR="0047756F" w:rsidRDefault="009B0710" w:rsidP="0047756F">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1895C68D" w14:textId="44EEDBE0" w:rsidR="00E23C4A" w:rsidRDefault="00E23C4A" w:rsidP="00E23C4A">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For the purposes hereof, the following terms shall have the following meanings:</w:t>
      </w:r>
    </w:p>
    <w:p w14:paraId="1A75F340" w14:textId="77777777" w:rsidR="00E23C4A" w:rsidRDefault="00E23C4A" w:rsidP="00E23C4A">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36AE6A41" w14:textId="5C2F00B9"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“Effective Date” shall mean the later of (i) the date of conveyance of the Exemption Area to the HDFC, or (ii) the date that HPD and the Owner ente</w:t>
      </w:r>
      <w:r>
        <w:rPr>
          <w:rFonts w:ascii="Times New Roman" w:eastAsia="Times New Roman" w:hAnsi="Times New Roman" w:cs="Times New Roman"/>
          <w:sz w:val="24"/>
          <w:szCs w:val="24"/>
        </w:rPr>
        <w:t>r into the Regulatory Agreement.</w:t>
      </w:r>
    </w:p>
    <w:p w14:paraId="123BB37E" w14:textId="77777777" w:rsidR="00E23C4A" w:rsidRDefault="00E23C4A" w:rsidP="00E23C4A">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3CFBC5AF"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“Exemption” shall mean the exemption from real property taxation provided hereunder.</w:t>
      </w:r>
    </w:p>
    <w:p w14:paraId="21DB8C70" w14:textId="77777777" w:rsidR="00E23C4A" w:rsidRPr="00E23C4A" w:rsidRDefault="00E23C4A" w:rsidP="00E23C4A">
      <w:pPr>
        <w:pStyle w:val="ListParagraph"/>
        <w:rPr>
          <w:rFonts w:ascii="Times New Roman" w:eastAsia="Times New Roman" w:hAnsi="Times New Roman" w:cs="Times New Roman"/>
          <w:sz w:val="24"/>
          <w:szCs w:val="24"/>
        </w:rPr>
      </w:pPr>
    </w:p>
    <w:p w14:paraId="79D827DA"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“Exemption Area” shall mean the real property located in the Borough of Staten Island, City and State of New York, identified as Block 20, Lot 8 on the Tax Map of the City of New York.</w:t>
      </w:r>
    </w:p>
    <w:p w14:paraId="747DCFA7" w14:textId="77777777" w:rsidR="00E23C4A" w:rsidRPr="00E23C4A" w:rsidRDefault="00E23C4A" w:rsidP="00E23C4A">
      <w:pPr>
        <w:pStyle w:val="ListParagraph"/>
        <w:rPr>
          <w:rFonts w:ascii="Times New Roman" w:eastAsia="Times New Roman" w:hAnsi="Times New Roman" w:cs="Times New Roman"/>
          <w:sz w:val="24"/>
          <w:szCs w:val="24"/>
        </w:rPr>
      </w:pPr>
    </w:p>
    <w:p w14:paraId="01D07A2B"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35EB79B8" w14:textId="77777777" w:rsidR="00E23C4A" w:rsidRPr="00E23C4A" w:rsidRDefault="00E23C4A" w:rsidP="00E23C4A">
      <w:pPr>
        <w:pStyle w:val="ListParagraph"/>
        <w:rPr>
          <w:rFonts w:ascii="Times New Roman" w:eastAsia="Times New Roman" w:hAnsi="Times New Roman" w:cs="Times New Roman"/>
          <w:sz w:val="24"/>
          <w:szCs w:val="24"/>
        </w:rPr>
      </w:pPr>
    </w:p>
    <w:p w14:paraId="68AA4851"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lastRenderedPageBreak/>
        <w:t xml:space="preserve">“Gross Rent” shall mean the gross potential rents from all residential, commercial, and community facility units on the Exemption Area without regard to whether such units are occupied or vacant, including, but not limited to, Section 8, rent supplements, rental assistance, or any other subsidy. </w:t>
      </w:r>
    </w:p>
    <w:p w14:paraId="67A536A5" w14:textId="77777777" w:rsidR="00E23C4A" w:rsidRPr="00E23C4A" w:rsidRDefault="00E23C4A" w:rsidP="00E23C4A">
      <w:pPr>
        <w:pStyle w:val="ListParagraph"/>
        <w:rPr>
          <w:rFonts w:ascii="Times New Roman" w:eastAsia="Times New Roman" w:hAnsi="Times New Roman" w:cs="Times New Roman"/>
          <w:sz w:val="24"/>
          <w:szCs w:val="24"/>
        </w:rPr>
      </w:pPr>
    </w:p>
    <w:p w14:paraId="72FBCABE"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 xml:space="preserve">“Gross Rent Deadline” shall mean three hundred and sixty-five (365) days from the date of the HPD letter requesting the information that HPD needs to calculate the Gross Rent Tax for the applicable tax year. </w:t>
      </w:r>
    </w:p>
    <w:p w14:paraId="409DCB1E" w14:textId="77777777" w:rsidR="00E23C4A" w:rsidRPr="00E23C4A" w:rsidRDefault="00E23C4A" w:rsidP="00E23C4A">
      <w:pPr>
        <w:pStyle w:val="ListParagraph"/>
        <w:rPr>
          <w:rFonts w:ascii="Times New Roman" w:eastAsia="Times New Roman" w:hAnsi="Times New Roman" w:cs="Times New Roman"/>
          <w:sz w:val="24"/>
          <w:szCs w:val="24"/>
        </w:rPr>
      </w:pPr>
    </w:p>
    <w:p w14:paraId="6D010A5B"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 xml:space="preserve">“Gross Rent Tax” shall mean, with respect to any tax year, an amount equal to one percent (1.0%)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14:paraId="5BF72B1C" w14:textId="77777777" w:rsidR="00E23C4A" w:rsidRPr="00E23C4A" w:rsidRDefault="00E23C4A" w:rsidP="00E23C4A">
      <w:pPr>
        <w:pStyle w:val="ListParagraph"/>
        <w:rPr>
          <w:rFonts w:ascii="Times New Roman" w:eastAsia="Times New Roman" w:hAnsi="Times New Roman" w:cs="Times New Roman"/>
          <w:sz w:val="24"/>
          <w:szCs w:val="24"/>
        </w:rPr>
      </w:pPr>
    </w:p>
    <w:p w14:paraId="5BEAC351"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“HDFC” shall mean Belmont Daniel Housing Development Fund Corporation or a housing development fund company that acquires the Exemption Area with the prior written consent of HPD.</w:t>
      </w:r>
    </w:p>
    <w:p w14:paraId="5853DFCD" w14:textId="77777777" w:rsidR="00E23C4A" w:rsidRPr="00E23C4A" w:rsidRDefault="00E23C4A" w:rsidP="00E23C4A">
      <w:pPr>
        <w:pStyle w:val="ListParagraph"/>
        <w:rPr>
          <w:rFonts w:ascii="Times New Roman" w:eastAsia="Times New Roman" w:hAnsi="Times New Roman" w:cs="Times New Roman"/>
          <w:sz w:val="24"/>
          <w:szCs w:val="24"/>
        </w:rPr>
      </w:pPr>
    </w:p>
    <w:p w14:paraId="0EDB2ACB"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“HPD” shall mean the Department of Housing Preservation and Development of the City of New York.</w:t>
      </w:r>
    </w:p>
    <w:p w14:paraId="09055610" w14:textId="77777777" w:rsidR="00E23C4A" w:rsidRPr="00E23C4A" w:rsidRDefault="00E23C4A" w:rsidP="00E23C4A">
      <w:pPr>
        <w:pStyle w:val="ListParagraph"/>
        <w:rPr>
          <w:rFonts w:ascii="Times New Roman" w:eastAsia="Times New Roman" w:hAnsi="Times New Roman" w:cs="Times New Roman"/>
          <w:sz w:val="24"/>
          <w:szCs w:val="24"/>
        </w:rPr>
      </w:pPr>
    </w:p>
    <w:p w14:paraId="15EA9CDF"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 xml:space="preserve">“Owner” shall mean, collectively, the HDFC and the Partnership. </w:t>
      </w:r>
    </w:p>
    <w:p w14:paraId="6490D3B4" w14:textId="77777777" w:rsidR="00E23C4A" w:rsidRPr="00E23C4A" w:rsidRDefault="00E23C4A" w:rsidP="00E23C4A">
      <w:pPr>
        <w:pStyle w:val="ListParagraph"/>
        <w:rPr>
          <w:rFonts w:ascii="Times New Roman" w:eastAsia="Times New Roman" w:hAnsi="Times New Roman" w:cs="Times New Roman"/>
          <w:sz w:val="24"/>
          <w:szCs w:val="24"/>
        </w:rPr>
      </w:pPr>
    </w:p>
    <w:p w14:paraId="375FACA5"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“Partnership” shall mean Belmont Daniel LP or any other entity that acquires the beneficial interest in the Exemption Area with the prior written consent of HPD.</w:t>
      </w:r>
    </w:p>
    <w:p w14:paraId="6C6F0DAE" w14:textId="77777777" w:rsidR="00E23C4A" w:rsidRPr="00E23C4A" w:rsidRDefault="00E23C4A" w:rsidP="00E23C4A">
      <w:pPr>
        <w:pStyle w:val="ListParagraph"/>
        <w:rPr>
          <w:rFonts w:ascii="Times New Roman" w:eastAsia="Times New Roman" w:hAnsi="Times New Roman" w:cs="Times New Roman"/>
          <w:sz w:val="24"/>
          <w:szCs w:val="24"/>
        </w:rPr>
      </w:pPr>
    </w:p>
    <w:p w14:paraId="385CBD41"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 xml:space="preserve">“Regulatory Agreement” shall mean the regulatory agreement between HPD and the Owner establishing certain controls upon the operation of the Exemption Area during the term of the Exemption. </w:t>
      </w:r>
    </w:p>
    <w:p w14:paraId="58D546AC" w14:textId="77777777" w:rsidR="00E23C4A" w:rsidRPr="00E23C4A" w:rsidRDefault="00E23C4A" w:rsidP="00E23C4A">
      <w:pPr>
        <w:pStyle w:val="ListParagraph"/>
        <w:rPr>
          <w:rFonts w:ascii="Times New Roman" w:eastAsia="Times New Roman" w:hAnsi="Times New Roman" w:cs="Times New Roman"/>
          <w:sz w:val="24"/>
          <w:szCs w:val="24"/>
        </w:rPr>
      </w:pPr>
    </w:p>
    <w:p w14:paraId="6819D36D" w14:textId="41D0E379" w:rsidR="00E23C4A" w:rsidRDefault="00E23C4A" w:rsidP="00E23C4A">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05B381DC" w14:textId="77777777" w:rsidR="00E23C4A" w:rsidRDefault="00E23C4A" w:rsidP="00E23C4A">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24AAF306" w14:textId="77777777" w:rsidR="00E23C4A" w:rsidRDefault="00E23C4A" w:rsidP="00E23C4A">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14:paraId="4D3A025F" w14:textId="77777777" w:rsidR="00E23C4A" w:rsidRPr="00E23C4A" w:rsidRDefault="00E23C4A" w:rsidP="00E23C4A">
      <w:pPr>
        <w:pStyle w:val="ListParagraph"/>
        <w:rPr>
          <w:rFonts w:ascii="Times New Roman" w:eastAsia="Times New Roman" w:hAnsi="Times New Roman" w:cs="Times New Roman"/>
          <w:sz w:val="24"/>
          <w:szCs w:val="24"/>
        </w:rPr>
      </w:pPr>
    </w:p>
    <w:p w14:paraId="3007EF42" w14:textId="77777777" w:rsidR="00E23C4A" w:rsidRDefault="00E23C4A" w:rsidP="00E23C4A">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Notwithstanding any provision hereof to the contrary:</w:t>
      </w:r>
    </w:p>
    <w:p w14:paraId="3B7295FC" w14:textId="77777777" w:rsidR="00E23C4A" w:rsidRPr="00E23C4A" w:rsidRDefault="00E23C4A" w:rsidP="00E23C4A">
      <w:pPr>
        <w:pStyle w:val="ListParagraph"/>
        <w:rPr>
          <w:rFonts w:ascii="Times New Roman" w:eastAsia="Times New Roman" w:hAnsi="Times New Roman" w:cs="Times New Roman"/>
          <w:sz w:val="24"/>
          <w:szCs w:val="24"/>
        </w:rPr>
      </w:pPr>
    </w:p>
    <w:p w14:paraId="4472E4F7" w14:textId="06C6BC10"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lastRenderedPageBreak/>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11296D9C" w14:textId="77777777" w:rsidR="00E23C4A" w:rsidRDefault="00E23C4A" w:rsidP="00E23C4A">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1207ED27"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 xml:space="preserve">The Exemption shall apply to all land in the Exemption Area, but shall only apply to buildings on the Exemption Area that exist on the Effective Date. </w:t>
      </w:r>
    </w:p>
    <w:p w14:paraId="5521B7F9" w14:textId="77777777" w:rsidR="00E23C4A" w:rsidRPr="00E23C4A" w:rsidRDefault="00E23C4A" w:rsidP="00E23C4A">
      <w:pPr>
        <w:pStyle w:val="ListParagraph"/>
        <w:rPr>
          <w:rFonts w:ascii="Times New Roman" w:eastAsia="Times New Roman" w:hAnsi="Times New Roman" w:cs="Times New Roman"/>
          <w:sz w:val="24"/>
          <w:szCs w:val="24"/>
        </w:rPr>
      </w:pPr>
    </w:p>
    <w:p w14:paraId="79EF7732" w14:textId="77777777" w:rsidR="00E23C4A" w:rsidRDefault="00E23C4A" w:rsidP="00E23C4A">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72BCAA01" w14:textId="77777777" w:rsidR="00E23C4A" w:rsidRPr="00E23C4A" w:rsidRDefault="00E23C4A" w:rsidP="00E23C4A">
      <w:pPr>
        <w:pStyle w:val="ListParagraph"/>
        <w:rPr>
          <w:rFonts w:ascii="Times New Roman" w:eastAsia="Times New Roman" w:hAnsi="Times New Roman" w:cs="Times New Roman"/>
          <w:sz w:val="24"/>
          <w:szCs w:val="24"/>
        </w:rPr>
      </w:pPr>
    </w:p>
    <w:p w14:paraId="01F5F256" w14:textId="75882950" w:rsidR="00E23C4A" w:rsidRPr="00996703" w:rsidRDefault="00E23C4A" w:rsidP="00996703">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E23C4A">
        <w:rPr>
          <w:rFonts w:ascii="Times New Roman" w:eastAsia="Times New Roman" w:hAnsi="Times New Roman" w:cs="Times New Roman"/>
          <w:sz w:val="24"/>
          <w:szCs w:val="24"/>
        </w:rPr>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 with disabilities.</w:t>
      </w:r>
    </w:p>
    <w:p w14:paraId="3B982B86" w14:textId="505FB029"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1BC52534" w14:textId="77777777" w:rsidR="00473013" w:rsidRDefault="00473013" w:rsidP="00473013">
      <w:pPr>
        <w:shd w:val="clear" w:color="auto" w:fill="FFFFFF"/>
        <w:spacing w:after="24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foregoing is a true copy of a Resolution passed by The Council of the City of New York on April 22, 2020,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6EC6" w14:textId="77777777" w:rsidR="00C97546" w:rsidRDefault="00C97546">
      <w:pPr>
        <w:spacing w:after="0" w:line="240" w:lineRule="auto"/>
      </w:pPr>
      <w:r>
        <w:separator/>
      </w:r>
    </w:p>
  </w:endnote>
  <w:endnote w:type="continuationSeparator" w:id="0">
    <w:p w14:paraId="17BBF9D3" w14:textId="77777777" w:rsidR="00C97546" w:rsidRDefault="00C9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78B2" w14:textId="77777777" w:rsidR="00C97546" w:rsidRDefault="00C97546">
      <w:pPr>
        <w:spacing w:after="0" w:line="240" w:lineRule="auto"/>
      </w:pPr>
      <w:r>
        <w:separator/>
      </w:r>
    </w:p>
  </w:footnote>
  <w:footnote w:type="continuationSeparator" w:id="0">
    <w:p w14:paraId="56E680A3" w14:textId="77777777" w:rsidR="00C97546" w:rsidRDefault="00C97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B24F1"/>
    <w:multiLevelType w:val="hybridMultilevel"/>
    <w:tmpl w:val="E338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74E7"/>
    <w:multiLevelType w:val="hybridMultilevel"/>
    <w:tmpl w:val="255CB1E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0289C"/>
    <w:multiLevelType w:val="hybridMultilevel"/>
    <w:tmpl w:val="5406FB4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9741A1"/>
    <w:multiLevelType w:val="hybridMultilevel"/>
    <w:tmpl w:val="E6DA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9224F"/>
    <w:multiLevelType w:val="hybridMultilevel"/>
    <w:tmpl w:val="EF08ADA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6E5DA7"/>
    <w:multiLevelType w:val="hybridMultilevel"/>
    <w:tmpl w:val="37260A1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A4B9B"/>
    <w:multiLevelType w:val="hybridMultilevel"/>
    <w:tmpl w:val="9EB0429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9" w15:restartNumberingAfterBreak="0">
    <w:nsid w:val="7A490FF4"/>
    <w:multiLevelType w:val="hybridMultilevel"/>
    <w:tmpl w:val="70841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7"/>
  </w:num>
  <w:num w:numId="5">
    <w:abstractNumId w:val="14"/>
  </w:num>
  <w:num w:numId="6">
    <w:abstractNumId w:val="17"/>
  </w:num>
  <w:num w:numId="7">
    <w:abstractNumId w:val="5"/>
  </w:num>
  <w:num w:numId="8">
    <w:abstractNumId w:val="1"/>
  </w:num>
  <w:num w:numId="9">
    <w:abstractNumId w:val="13"/>
  </w:num>
  <w:num w:numId="10">
    <w:abstractNumId w:val="6"/>
  </w:num>
  <w:num w:numId="11">
    <w:abstractNumId w:val="2"/>
  </w:num>
  <w:num w:numId="12">
    <w:abstractNumId w:val="10"/>
  </w:num>
  <w:num w:numId="13">
    <w:abstractNumId w:val="8"/>
  </w:num>
  <w:num w:numId="14">
    <w:abstractNumId w:val="11"/>
  </w:num>
  <w:num w:numId="15">
    <w:abstractNumId w:val="16"/>
  </w:num>
  <w:num w:numId="16">
    <w:abstractNumId w:val="19"/>
  </w:num>
  <w:num w:numId="17">
    <w:abstractNumId w:val="18"/>
  </w:num>
  <w:num w:numId="18">
    <w:abstractNumId w:val="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24E43"/>
    <w:rsid w:val="000469C7"/>
    <w:rsid w:val="00057DBF"/>
    <w:rsid w:val="000855E6"/>
    <w:rsid w:val="000A0850"/>
    <w:rsid w:val="001271DF"/>
    <w:rsid w:val="001424C8"/>
    <w:rsid w:val="00144446"/>
    <w:rsid w:val="00144D7F"/>
    <w:rsid w:val="00162283"/>
    <w:rsid w:val="00164E2F"/>
    <w:rsid w:val="0017331D"/>
    <w:rsid w:val="001A39FD"/>
    <w:rsid w:val="001C583A"/>
    <w:rsid w:val="001D03B3"/>
    <w:rsid w:val="001D2A9A"/>
    <w:rsid w:val="00211FC3"/>
    <w:rsid w:val="00212C7C"/>
    <w:rsid w:val="002637D7"/>
    <w:rsid w:val="00294823"/>
    <w:rsid w:val="002972F9"/>
    <w:rsid w:val="002B52C5"/>
    <w:rsid w:val="002C45FA"/>
    <w:rsid w:val="002E7325"/>
    <w:rsid w:val="00324CEE"/>
    <w:rsid w:val="00326F49"/>
    <w:rsid w:val="00327958"/>
    <w:rsid w:val="003A689E"/>
    <w:rsid w:val="003E7002"/>
    <w:rsid w:val="004274AD"/>
    <w:rsid w:val="00443923"/>
    <w:rsid w:val="00447916"/>
    <w:rsid w:val="00455E81"/>
    <w:rsid w:val="0047201F"/>
    <w:rsid w:val="00473013"/>
    <w:rsid w:val="0047756F"/>
    <w:rsid w:val="00486FBB"/>
    <w:rsid w:val="005112F6"/>
    <w:rsid w:val="00546DA4"/>
    <w:rsid w:val="005F082B"/>
    <w:rsid w:val="006005EF"/>
    <w:rsid w:val="00640B1F"/>
    <w:rsid w:val="00646D58"/>
    <w:rsid w:val="006A3F50"/>
    <w:rsid w:val="006C5A01"/>
    <w:rsid w:val="006D5EC4"/>
    <w:rsid w:val="006D662E"/>
    <w:rsid w:val="006E7D19"/>
    <w:rsid w:val="007258C4"/>
    <w:rsid w:val="00741193"/>
    <w:rsid w:val="00743B5D"/>
    <w:rsid w:val="00785A0C"/>
    <w:rsid w:val="007C5499"/>
    <w:rsid w:val="00853A14"/>
    <w:rsid w:val="00896C68"/>
    <w:rsid w:val="008A25FD"/>
    <w:rsid w:val="00904F6E"/>
    <w:rsid w:val="00996703"/>
    <w:rsid w:val="009B0710"/>
    <w:rsid w:val="009B4E9E"/>
    <w:rsid w:val="009C163D"/>
    <w:rsid w:val="009D2518"/>
    <w:rsid w:val="00A157D0"/>
    <w:rsid w:val="00A45133"/>
    <w:rsid w:val="00A94E15"/>
    <w:rsid w:val="00A97385"/>
    <w:rsid w:val="00AA5F95"/>
    <w:rsid w:val="00AD1054"/>
    <w:rsid w:val="00B267D0"/>
    <w:rsid w:val="00B80AA4"/>
    <w:rsid w:val="00B81BCA"/>
    <w:rsid w:val="00B82AB2"/>
    <w:rsid w:val="00B86602"/>
    <w:rsid w:val="00BC60D9"/>
    <w:rsid w:val="00BE4ABA"/>
    <w:rsid w:val="00C546E0"/>
    <w:rsid w:val="00C97546"/>
    <w:rsid w:val="00D0060F"/>
    <w:rsid w:val="00D47665"/>
    <w:rsid w:val="00D539FC"/>
    <w:rsid w:val="00D76648"/>
    <w:rsid w:val="00DD73CC"/>
    <w:rsid w:val="00E23C4A"/>
    <w:rsid w:val="00E77702"/>
    <w:rsid w:val="00EC7948"/>
    <w:rsid w:val="00EF4C28"/>
    <w:rsid w:val="00F41442"/>
    <w:rsid w:val="00F771FF"/>
    <w:rsid w:val="00FA124A"/>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1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1E77-8765-4227-AFCE-33D8227C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8</cp:revision>
  <dcterms:created xsi:type="dcterms:W3CDTF">2020-04-17T03:12:00Z</dcterms:created>
  <dcterms:modified xsi:type="dcterms:W3CDTF">2020-04-22T15:38:00Z</dcterms:modified>
</cp:coreProperties>
</file>