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83" w:rsidRPr="0008635C" w:rsidRDefault="00DC1483" w:rsidP="00DC1483">
      <w:pPr>
        <w:tabs>
          <w:tab w:val="left" w:pos="0"/>
        </w:tabs>
        <w:jc w:val="right"/>
        <w:rPr>
          <w:u w:val="single"/>
        </w:rPr>
      </w:pPr>
      <w:bookmarkStart w:id="0" w:name="_GoBack"/>
      <w:bookmarkEnd w:id="0"/>
      <w:r w:rsidRPr="0008635C">
        <w:rPr>
          <w:u w:val="single"/>
        </w:rPr>
        <w:t>Hospital Committee Staff</w:t>
      </w:r>
    </w:p>
    <w:p w:rsidR="00DC1483" w:rsidRPr="0008635C" w:rsidRDefault="00DC1483" w:rsidP="00DC1483">
      <w:pPr>
        <w:tabs>
          <w:tab w:val="left" w:pos="0"/>
        </w:tabs>
        <w:jc w:val="right"/>
        <w:rPr>
          <w:i/>
        </w:rPr>
      </w:pPr>
      <w:r w:rsidRPr="0008635C">
        <w:t xml:space="preserve">Ze-Emanuel Hailu, </w:t>
      </w:r>
      <w:r w:rsidRPr="0008635C">
        <w:rPr>
          <w:i/>
        </w:rPr>
        <w:t>Senior Legislative Counsel</w:t>
      </w:r>
    </w:p>
    <w:p w:rsidR="00DC1483" w:rsidRPr="0008635C" w:rsidRDefault="00DC1483" w:rsidP="00DC1483">
      <w:pPr>
        <w:tabs>
          <w:tab w:val="left" w:pos="0"/>
        </w:tabs>
        <w:jc w:val="right"/>
        <w:rPr>
          <w:i/>
        </w:rPr>
      </w:pPr>
      <w:r w:rsidRPr="0008635C">
        <w:t xml:space="preserve">Emily Balkan, </w:t>
      </w:r>
      <w:r w:rsidR="00C86805">
        <w:rPr>
          <w:i/>
        </w:rPr>
        <w:t>Senior L</w:t>
      </w:r>
      <w:r w:rsidRPr="0008635C">
        <w:rPr>
          <w:i/>
        </w:rPr>
        <w:t>egislative Policy Analyst</w:t>
      </w:r>
    </w:p>
    <w:p w:rsidR="00DC1483" w:rsidRPr="0008635C" w:rsidRDefault="00C86805" w:rsidP="00DC1483">
      <w:pPr>
        <w:tabs>
          <w:tab w:val="left" w:pos="0"/>
        </w:tabs>
        <w:jc w:val="right"/>
      </w:pPr>
      <w:r>
        <w:t>Lauren Hunt</w:t>
      </w:r>
      <w:r w:rsidR="00DC1483" w:rsidRPr="0008635C">
        <w:t>,</w:t>
      </w:r>
      <w:r>
        <w:rPr>
          <w:i/>
        </w:rPr>
        <w:t xml:space="preserve"> </w:t>
      </w:r>
      <w:r w:rsidR="00DC1483" w:rsidRPr="0008635C">
        <w:rPr>
          <w:i/>
        </w:rPr>
        <w:t>Finance Analyst</w:t>
      </w:r>
      <w:r w:rsidR="00DC1483" w:rsidRPr="0008635C">
        <w:t xml:space="preserve"> </w:t>
      </w:r>
    </w:p>
    <w:p w:rsidR="00990C80" w:rsidRPr="0008635C" w:rsidRDefault="00990C80" w:rsidP="00DC1483">
      <w:pPr>
        <w:tabs>
          <w:tab w:val="left" w:pos="0"/>
        </w:tabs>
        <w:jc w:val="right"/>
      </w:pPr>
    </w:p>
    <w:p w:rsidR="00990C80" w:rsidRPr="0008635C" w:rsidRDefault="00990C80" w:rsidP="00A94495">
      <w:pPr>
        <w:ind w:left="6480"/>
        <w:jc w:val="right"/>
        <w:rPr>
          <w:u w:val="single"/>
        </w:rPr>
      </w:pPr>
      <w:r w:rsidRPr="0008635C">
        <w:rPr>
          <w:u w:val="single"/>
        </w:rPr>
        <w:t>Committee on Technology</w:t>
      </w:r>
    </w:p>
    <w:p w:rsidR="00990C80" w:rsidRPr="0008635C" w:rsidRDefault="00A94495" w:rsidP="00A94495">
      <w:pPr>
        <w:ind w:left="5040"/>
        <w:jc w:val="right"/>
      </w:pPr>
      <w:r>
        <w:t xml:space="preserve">          </w:t>
      </w:r>
      <w:r w:rsidR="00990C80" w:rsidRPr="0008635C">
        <w:t xml:space="preserve">Irene Byhovsky, </w:t>
      </w:r>
      <w:r w:rsidR="00990C80" w:rsidRPr="0008635C">
        <w:rPr>
          <w:i/>
        </w:rPr>
        <w:t>Legislative Counsel</w:t>
      </w:r>
    </w:p>
    <w:p w:rsidR="00990C80" w:rsidRDefault="00990C80" w:rsidP="00A94495">
      <w:pPr>
        <w:tabs>
          <w:tab w:val="left" w:pos="0"/>
        </w:tabs>
        <w:jc w:val="right"/>
        <w:rPr>
          <w:i/>
        </w:rPr>
      </w:pPr>
      <w:r w:rsidRPr="0008635C">
        <w:t xml:space="preserve">Charles Kim, </w:t>
      </w:r>
      <w:r w:rsidRPr="0008635C">
        <w:rPr>
          <w:i/>
        </w:rPr>
        <w:t>Legislative Policy Analyst</w:t>
      </w:r>
      <w:r w:rsidRPr="0008635C">
        <w:br/>
        <w:t xml:space="preserve">Sebastian Bacchi, </w:t>
      </w:r>
      <w:r w:rsidRPr="0008635C">
        <w:rPr>
          <w:i/>
        </w:rPr>
        <w:t>Finance Analyst</w:t>
      </w:r>
    </w:p>
    <w:p w:rsidR="00EA62FC" w:rsidRPr="007D072C" w:rsidRDefault="00EA62FC" w:rsidP="00A94495">
      <w:pPr>
        <w:tabs>
          <w:tab w:val="left" w:pos="0"/>
        </w:tabs>
        <w:jc w:val="right"/>
      </w:pPr>
      <w:r>
        <w:t xml:space="preserve">Florentine Kabore, </w:t>
      </w:r>
      <w:r>
        <w:rPr>
          <w:i/>
        </w:rPr>
        <w:t>Finance Analyst</w:t>
      </w:r>
    </w:p>
    <w:p w:rsidR="00460EFC" w:rsidRPr="0008635C" w:rsidRDefault="00460EFC" w:rsidP="00460EFC"/>
    <w:p w:rsidR="00460EFC" w:rsidRPr="0008635C" w:rsidRDefault="00460EFC" w:rsidP="00460EFC">
      <w:pPr>
        <w:jc w:val="center"/>
      </w:pPr>
    </w:p>
    <w:p w:rsidR="00460EFC" w:rsidRPr="0008635C" w:rsidRDefault="00460EFC" w:rsidP="00460EFC">
      <w:pPr>
        <w:tabs>
          <w:tab w:val="left" w:pos="7517"/>
        </w:tabs>
      </w:pPr>
      <w:r w:rsidRPr="0008635C">
        <w:tab/>
      </w:r>
    </w:p>
    <w:p w:rsidR="00460EFC" w:rsidRPr="0008635C" w:rsidRDefault="006F308F" w:rsidP="00460EFC">
      <w:pPr>
        <w:jc w:val="center"/>
      </w:pPr>
      <w:r w:rsidRPr="0008635C">
        <w:rPr>
          <w:noProof/>
        </w:rPr>
        <w:drawing>
          <wp:inline distT="0" distB="0" distL="0" distR="0">
            <wp:extent cx="1173480" cy="1104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104900"/>
                    </a:xfrm>
                    <a:prstGeom prst="rect">
                      <a:avLst/>
                    </a:prstGeom>
                    <a:noFill/>
                    <a:ln>
                      <a:noFill/>
                    </a:ln>
                  </pic:spPr>
                </pic:pic>
              </a:graphicData>
            </a:graphic>
          </wp:inline>
        </w:drawing>
      </w:r>
    </w:p>
    <w:p w:rsidR="00460EFC" w:rsidRPr="0008635C" w:rsidRDefault="00460EFC" w:rsidP="00460EFC">
      <w:pPr>
        <w:pStyle w:val="Heading2"/>
        <w:rPr>
          <w:bCs w:val="0"/>
          <w:i/>
        </w:rPr>
      </w:pPr>
      <w:r w:rsidRPr="0008635C">
        <w:rPr>
          <w:bCs w:val="0"/>
        </w:rPr>
        <w:t>THE COUNCIL</w:t>
      </w:r>
    </w:p>
    <w:p w:rsidR="00460EFC" w:rsidRPr="0008635C" w:rsidRDefault="00C00B16" w:rsidP="00460EFC">
      <w:pPr>
        <w:keepNext/>
        <w:keepLines/>
        <w:spacing w:before="480"/>
        <w:jc w:val="center"/>
        <w:outlineLvl w:val="0"/>
        <w:rPr>
          <w:i/>
          <w:iCs/>
          <w:caps/>
          <w:u w:val="single"/>
        </w:rPr>
      </w:pPr>
      <w:r>
        <w:rPr>
          <w:b/>
          <w:bCs/>
          <w:caps/>
          <w:u w:val="single"/>
        </w:rPr>
        <w:t>Briefing paper</w:t>
      </w:r>
      <w:r w:rsidR="00460EFC" w:rsidRPr="0008635C">
        <w:rPr>
          <w:b/>
          <w:bCs/>
          <w:caps/>
          <w:u w:val="single"/>
        </w:rPr>
        <w:t xml:space="preserve"> OF THE HUMAN SERVICES Division</w:t>
      </w:r>
      <w:r w:rsidR="00990C80" w:rsidRPr="0008635C">
        <w:rPr>
          <w:b/>
          <w:bCs/>
          <w:caps/>
          <w:u w:val="single"/>
        </w:rPr>
        <w:br/>
        <w:t xml:space="preserve">AND </w:t>
      </w:r>
      <w:r w:rsidR="00990C80" w:rsidRPr="0008635C">
        <w:rPr>
          <w:b/>
          <w:iCs/>
          <w:caps/>
          <w:u w:val="single"/>
        </w:rPr>
        <w:t>the Infrastructure Division</w:t>
      </w:r>
    </w:p>
    <w:p w:rsidR="00460EFC" w:rsidRPr="0008635C" w:rsidRDefault="00460EFC" w:rsidP="00460EFC">
      <w:pPr>
        <w:jc w:val="center"/>
        <w:rPr>
          <w:i/>
        </w:rPr>
      </w:pPr>
      <w:r w:rsidRPr="0008635C">
        <w:rPr>
          <w:i/>
        </w:rPr>
        <w:t xml:space="preserve">Jeffrey Baker, Legislative Director </w:t>
      </w:r>
    </w:p>
    <w:p w:rsidR="00C03A0D" w:rsidRPr="0008635C" w:rsidRDefault="007327E0" w:rsidP="00460EFC">
      <w:pPr>
        <w:jc w:val="center"/>
        <w:rPr>
          <w:i/>
        </w:rPr>
      </w:pPr>
      <w:r w:rsidRPr="0008635C">
        <w:rPr>
          <w:i/>
        </w:rPr>
        <w:t>Andrea Vazquez</w:t>
      </w:r>
      <w:r w:rsidR="00C03A0D" w:rsidRPr="0008635C">
        <w:rPr>
          <w:i/>
        </w:rPr>
        <w:t>, Deputy Director, Human Services Division</w:t>
      </w:r>
    </w:p>
    <w:p w:rsidR="00990C80" w:rsidRPr="0008635C" w:rsidRDefault="00990C80" w:rsidP="00990C80">
      <w:pPr>
        <w:jc w:val="center"/>
        <w:rPr>
          <w:i/>
        </w:rPr>
      </w:pPr>
      <w:r w:rsidRPr="0008635C">
        <w:rPr>
          <w:i/>
        </w:rPr>
        <w:t>Terzah Nasser, Deputy Director, Infrastructure</w:t>
      </w:r>
    </w:p>
    <w:p w:rsidR="00800498" w:rsidRPr="0008635C" w:rsidRDefault="00800498" w:rsidP="00800498">
      <w:pPr>
        <w:jc w:val="center"/>
        <w:rPr>
          <w:b/>
          <w:u w:val="single"/>
        </w:rPr>
      </w:pPr>
    </w:p>
    <w:p w:rsidR="004D1105" w:rsidRPr="0008635C" w:rsidRDefault="004D1105" w:rsidP="004D1105">
      <w:pPr>
        <w:jc w:val="center"/>
      </w:pPr>
      <w:r w:rsidRPr="0008635C">
        <w:rPr>
          <w:b/>
          <w:u w:val="single"/>
        </w:rPr>
        <w:t>COMMITTEE ON HOSPITALS</w:t>
      </w:r>
    </w:p>
    <w:p w:rsidR="004D1105" w:rsidRPr="0008635C" w:rsidRDefault="004D1105" w:rsidP="004D1105">
      <w:pPr>
        <w:jc w:val="center"/>
        <w:rPr>
          <w:i/>
        </w:rPr>
      </w:pPr>
      <w:r w:rsidRPr="0008635C">
        <w:rPr>
          <w:i/>
        </w:rPr>
        <w:t>Hon. Carlina Rivera, Chair</w:t>
      </w:r>
    </w:p>
    <w:p w:rsidR="00990C80" w:rsidRPr="0008635C" w:rsidRDefault="00990C80" w:rsidP="004D1105">
      <w:pPr>
        <w:jc w:val="center"/>
        <w:rPr>
          <w:i/>
        </w:rPr>
      </w:pPr>
    </w:p>
    <w:p w:rsidR="00990C80" w:rsidRPr="0008635C" w:rsidRDefault="00990C80" w:rsidP="00990C80">
      <w:pPr>
        <w:jc w:val="center"/>
        <w:rPr>
          <w:b/>
          <w:u w:val="single"/>
        </w:rPr>
      </w:pPr>
      <w:r w:rsidRPr="0008635C">
        <w:rPr>
          <w:b/>
          <w:u w:val="single"/>
        </w:rPr>
        <w:t>COMMITTEE ON TECHNOLOGY</w:t>
      </w:r>
    </w:p>
    <w:p w:rsidR="00990C80" w:rsidRPr="00762FCE" w:rsidRDefault="00990C80" w:rsidP="00990C80">
      <w:pPr>
        <w:jc w:val="center"/>
        <w:rPr>
          <w:i/>
        </w:rPr>
      </w:pPr>
      <w:r w:rsidRPr="00762FCE">
        <w:rPr>
          <w:i/>
        </w:rPr>
        <w:t>Hon. Robert Holden, Chair</w:t>
      </w:r>
    </w:p>
    <w:p w:rsidR="00800498" w:rsidRPr="0008635C" w:rsidRDefault="00800498" w:rsidP="004D1105">
      <w:pPr>
        <w:jc w:val="center"/>
        <w:rPr>
          <w:i/>
        </w:rPr>
      </w:pPr>
    </w:p>
    <w:p w:rsidR="00460EFC" w:rsidRDefault="004D1105" w:rsidP="00460EFC">
      <w:pPr>
        <w:pStyle w:val="Heading4"/>
        <w:jc w:val="center"/>
        <w:rPr>
          <w:rFonts w:ascii="Times New Roman" w:hAnsi="Times New Roman"/>
          <w:b/>
          <w:i w:val="0"/>
          <w:color w:val="auto"/>
        </w:rPr>
      </w:pPr>
      <w:r w:rsidRPr="0008635C">
        <w:rPr>
          <w:rFonts w:ascii="Times New Roman" w:hAnsi="Times New Roman"/>
          <w:b/>
          <w:i w:val="0"/>
          <w:color w:val="auto"/>
        </w:rPr>
        <w:t>November 2</w:t>
      </w:r>
      <w:r w:rsidR="00990C80" w:rsidRPr="0008635C">
        <w:rPr>
          <w:rFonts w:ascii="Times New Roman" w:hAnsi="Times New Roman"/>
          <w:b/>
          <w:i w:val="0"/>
          <w:color w:val="auto"/>
        </w:rPr>
        <w:t>0</w:t>
      </w:r>
      <w:r w:rsidR="00460EFC" w:rsidRPr="0008635C">
        <w:rPr>
          <w:rFonts w:ascii="Times New Roman" w:hAnsi="Times New Roman"/>
          <w:b/>
          <w:i w:val="0"/>
          <w:color w:val="auto"/>
        </w:rPr>
        <w:t>, 201</w:t>
      </w:r>
      <w:r w:rsidR="00990C80" w:rsidRPr="0008635C">
        <w:rPr>
          <w:rFonts w:ascii="Times New Roman" w:hAnsi="Times New Roman"/>
          <w:b/>
          <w:i w:val="0"/>
          <w:color w:val="auto"/>
        </w:rPr>
        <w:t>9</w:t>
      </w:r>
    </w:p>
    <w:p w:rsidR="0012031E" w:rsidRPr="0012031E" w:rsidRDefault="0012031E" w:rsidP="0012031E"/>
    <w:p w:rsidR="00CE1AAC" w:rsidRPr="0008635C" w:rsidRDefault="00CE1AAC" w:rsidP="00CE1AAC">
      <w:pPr>
        <w:jc w:val="center"/>
        <w:rPr>
          <w:b/>
          <w:u w:val="single"/>
        </w:rPr>
      </w:pPr>
      <w:r w:rsidRPr="0008635C">
        <w:rPr>
          <w:b/>
        </w:rPr>
        <w:t>Oversight:</w:t>
      </w:r>
      <w:r w:rsidR="0012031E">
        <w:rPr>
          <w:b/>
        </w:rPr>
        <w:t xml:space="preserve"> Electronic </w:t>
      </w:r>
      <w:r w:rsidR="00A016E3">
        <w:rPr>
          <w:b/>
        </w:rPr>
        <w:t>Health</w:t>
      </w:r>
      <w:r w:rsidR="0012031E">
        <w:rPr>
          <w:b/>
        </w:rPr>
        <w:t xml:space="preserve"> Records</w:t>
      </w:r>
    </w:p>
    <w:p w:rsidR="00F444CF" w:rsidRPr="0008635C" w:rsidRDefault="00F444CF" w:rsidP="00836883">
      <w:pPr>
        <w:jc w:val="center"/>
        <w:rPr>
          <w:bCs/>
        </w:rPr>
      </w:pPr>
    </w:p>
    <w:p w:rsidR="00B46352" w:rsidRPr="0008635C" w:rsidRDefault="00B46352" w:rsidP="00836883">
      <w:pPr>
        <w:jc w:val="center"/>
        <w:rPr>
          <w:b/>
        </w:rPr>
      </w:pPr>
    </w:p>
    <w:p w:rsidR="0012031E" w:rsidRPr="0012031E" w:rsidRDefault="001E6B94" w:rsidP="0012031E">
      <w:pPr>
        <w:spacing w:line="480" w:lineRule="auto"/>
        <w:contextualSpacing/>
        <w:rPr>
          <w:b/>
          <w:u w:val="single"/>
        </w:rPr>
      </w:pPr>
      <w:r w:rsidRPr="0008635C">
        <w:rPr>
          <w:b/>
          <w:u w:val="single"/>
        </w:rPr>
        <w:br w:type="page"/>
      </w:r>
      <w:r w:rsidR="00B46352" w:rsidRPr="0008635C">
        <w:rPr>
          <w:b/>
          <w:u w:val="single"/>
        </w:rPr>
        <w:lastRenderedPageBreak/>
        <w:t>I.</w:t>
      </w:r>
      <w:r w:rsidR="00B46352" w:rsidRPr="0008635C">
        <w:rPr>
          <w:u w:val="single"/>
        </w:rPr>
        <w:t xml:space="preserve"> </w:t>
      </w:r>
      <w:r w:rsidR="00A55DFA" w:rsidRPr="0008635C">
        <w:rPr>
          <w:u w:val="single"/>
        </w:rPr>
        <w:t xml:space="preserve"> </w:t>
      </w:r>
      <w:r w:rsidR="00B46352" w:rsidRPr="0008635C">
        <w:rPr>
          <w:u w:val="single"/>
        </w:rPr>
        <w:t xml:space="preserve"> </w:t>
      </w:r>
      <w:r w:rsidR="00B46352" w:rsidRPr="0008635C">
        <w:rPr>
          <w:b/>
          <w:u w:val="single"/>
        </w:rPr>
        <w:t>Introduction</w:t>
      </w:r>
    </w:p>
    <w:p w:rsidR="000A2061" w:rsidRPr="0008635C" w:rsidRDefault="00C00B16" w:rsidP="0012031E">
      <w:pPr>
        <w:spacing w:line="480" w:lineRule="auto"/>
        <w:ind w:firstLine="720"/>
        <w:contextualSpacing/>
        <w:jc w:val="both"/>
      </w:pPr>
      <w:r>
        <w:rPr>
          <w:bCs/>
        </w:rPr>
        <w:t>On November 20 2019</w:t>
      </w:r>
      <w:r w:rsidR="0099421F" w:rsidRPr="0008635C">
        <w:rPr>
          <w:bCs/>
        </w:rPr>
        <w:t>, the</w:t>
      </w:r>
      <w:r w:rsidR="00981243" w:rsidRPr="0008635C">
        <w:rPr>
          <w:bCs/>
        </w:rPr>
        <w:t xml:space="preserve"> Committee on </w:t>
      </w:r>
      <w:r w:rsidR="004D1105" w:rsidRPr="0008635C">
        <w:rPr>
          <w:bCs/>
        </w:rPr>
        <w:t xml:space="preserve">Hospitals, chaired by Council Member Carlina Rivera, </w:t>
      </w:r>
      <w:r w:rsidR="00990C80" w:rsidRPr="0008635C">
        <w:rPr>
          <w:bCs/>
        </w:rPr>
        <w:t>and the Committee on Technology</w:t>
      </w:r>
      <w:r w:rsidR="00A94495">
        <w:rPr>
          <w:bCs/>
        </w:rPr>
        <w:t>,</w:t>
      </w:r>
      <w:r w:rsidR="00990C80" w:rsidRPr="0008635C">
        <w:rPr>
          <w:bCs/>
        </w:rPr>
        <w:t xml:space="preserve"> chaired by Council Member </w:t>
      </w:r>
      <w:r>
        <w:rPr>
          <w:bCs/>
        </w:rPr>
        <w:t xml:space="preserve">Robert </w:t>
      </w:r>
      <w:r w:rsidR="00990C80" w:rsidRPr="0008635C">
        <w:rPr>
          <w:bCs/>
        </w:rPr>
        <w:t xml:space="preserve">Holden </w:t>
      </w:r>
      <w:r w:rsidR="0099421F" w:rsidRPr="0008635C">
        <w:rPr>
          <w:bCs/>
        </w:rPr>
        <w:t>will hold a hearing on</w:t>
      </w:r>
      <w:r w:rsidR="0012031E">
        <w:rPr>
          <w:bCs/>
        </w:rPr>
        <w:t xml:space="preserve"> Electronic </w:t>
      </w:r>
      <w:r w:rsidR="00A016E3">
        <w:rPr>
          <w:bCs/>
        </w:rPr>
        <w:t>Health</w:t>
      </w:r>
      <w:r w:rsidR="0012031E">
        <w:rPr>
          <w:bCs/>
        </w:rPr>
        <w:t xml:space="preserve"> Records</w:t>
      </w:r>
      <w:r w:rsidR="00A016E3">
        <w:rPr>
          <w:bCs/>
        </w:rPr>
        <w:t xml:space="preserve"> (</w:t>
      </w:r>
      <w:r>
        <w:rPr>
          <w:bCs/>
        </w:rPr>
        <w:t>“</w:t>
      </w:r>
      <w:r w:rsidR="00A016E3">
        <w:rPr>
          <w:bCs/>
        </w:rPr>
        <w:t>EH</w:t>
      </w:r>
      <w:r w:rsidR="0012031E">
        <w:rPr>
          <w:bCs/>
        </w:rPr>
        <w:t>Rs</w:t>
      </w:r>
      <w:r>
        <w:rPr>
          <w:bCs/>
        </w:rPr>
        <w:t>”</w:t>
      </w:r>
      <w:r w:rsidR="0012031E">
        <w:rPr>
          <w:bCs/>
        </w:rPr>
        <w:t>)</w:t>
      </w:r>
      <w:r w:rsidR="004D1105" w:rsidRPr="0008635C">
        <w:rPr>
          <w:bCs/>
        </w:rPr>
        <w:t>.</w:t>
      </w:r>
      <w:r w:rsidR="00324D87" w:rsidRPr="0008635C">
        <w:t xml:space="preserve"> </w:t>
      </w:r>
      <w:r w:rsidR="0012031E">
        <w:t>The Committees plan to discuss the use of E</w:t>
      </w:r>
      <w:r w:rsidR="00A016E3">
        <w:t>H</w:t>
      </w:r>
      <w:r w:rsidR="0012031E">
        <w:t xml:space="preserve">Rs in the City’s hospitals as well as their general safety. </w:t>
      </w:r>
      <w:r w:rsidR="004D1105" w:rsidRPr="0008635C">
        <w:rPr>
          <w:bCs/>
        </w:rPr>
        <w:t>Witnesses invited to testify i</w:t>
      </w:r>
      <w:r w:rsidR="0012031E">
        <w:rPr>
          <w:bCs/>
        </w:rPr>
        <w:t>nclude representatives from Health and Hospitals (H+H)</w:t>
      </w:r>
      <w:r w:rsidR="004D1105" w:rsidRPr="0008635C">
        <w:rPr>
          <w:bCs/>
        </w:rPr>
        <w:t xml:space="preserve">, </w:t>
      </w:r>
      <w:r w:rsidR="004D1105" w:rsidRPr="0008635C">
        <w:t>community-based organizations</w:t>
      </w:r>
      <w:r w:rsidR="0012031E">
        <w:t>, and advocates</w:t>
      </w:r>
      <w:r w:rsidR="004D1105" w:rsidRPr="0008635C">
        <w:t>.</w:t>
      </w:r>
    </w:p>
    <w:p w:rsidR="00692FE0" w:rsidRDefault="00B46352" w:rsidP="00C3096B">
      <w:pPr>
        <w:spacing w:line="480" w:lineRule="auto"/>
        <w:jc w:val="both"/>
        <w:rPr>
          <w:b/>
          <w:u w:val="single"/>
        </w:rPr>
      </w:pPr>
      <w:r w:rsidRPr="0008635C">
        <w:rPr>
          <w:b/>
          <w:u w:val="single"/>
        </w:rPr>
        <w:t xml:space="preserve">II.  </w:t>
      </w:r>
      <w:r w:rsidR="00A55DFA" w:rsidRPr="0008635C">
        <w:rPr>
          <w:b/>
          <w:u w:val="single"/>
        </w:rPr>
        <w:t xml:space="preserve"> </w:t>
      </w:r>
      <w:r w:rsidRPr="0008635C">
        <w:rPr>
          <w:b/>
          <w:u w:val="single"/>
        </w:rPr>
        <w:t>Background</w:t>
      </w:r>
    </w:p>
    <w:p w:rsidR="00CE14BD" w:rsidRDefault="00CE14BD" w:rsidP="00C3096B">
      <w:pPr>
        <w:spacing w:line="480" w:lineRule="auto"/>
        <w:jc w:val="both"/>
        <w:rPr>
          <w:i/>
          <w:u w:val="single"/>
        </w:rPr>
      </w:pPr>
      <w:r>
        <w:rPr>
          <w:i/>
          <w:u w:val="single"/>
        </w:rPr>
        <w:t>E</w:t>
      </w:r>
      <w:r w:rsidR="00A016E3">
        <w:rPr>
          <w:i/>
          <w:u w:val="single"/>
        </w:rPr>
        <w:t>H</w:t>
      </w:r>
      <w:r>
        <w:rPr>
          <w:i/>
          <w:u w:val="single"/>
        </w:rPr>
        <w:t>Rs</w:t>
      </w:r>
    </w:p>
    <w:p w:rsidR="009276AF" w:rsidRDefault="00C9492A" w:rsidP="00C9492A">
      <w:pPr>
        <w:spacing w:line="480" w:lineRule="auto"/>
        <w:ind w:firstLine="720"/>
        <w:jc w:val="both"/>
      </w:pPr>
      <w:r>
        <w:t>An E</w:t>
      </w:r>
      <w:r w:rsidR="00A016E3">
        <w:t>H</w:t>
      </w:r>
      <w:r>
        <w:t>R is a digital version of a patient’s</w:t>
      </w:r>
      <w:r w:rsidR="00A574B6">
        <w:t xml:space="preserve"> typical paper chart</w:t>
      </w:r>
      <w:r w:rsidR="00C00B16">
        <w:t>,</w:t>
      </w:r>
      <w:r w:rsidR="00A574B6">
        <w:t xml:space="preserve"> which</w:t>
      </w:r>
      <w:r w:rsidR="009276AF">
        <w:t xml:space="preserve"> can include medical and treatment histories as well as additional, </w:t>
      </w:r>
      <w:r w:rsidR="002C46C7">
        <w:t>broader</w:t>
      </w:r>
      <w:r w:rsidR="009276AF">
        <w:t xml:space="preserve"> information</w:t>
      </w:r>
      <w:r w:rsidR="00A574B6">
        <w:t>, allowing</w:t>
      </w:r>
      <w:r w:rsidR="002C46C7">
        <w:t xml:space="preserve"> for a more complete picture of the patient</w:t>
      </w:r>
      <w:r w:rsidR="009276AF">
        <w:t>.</w:t>
      </w:r>
      <w:r w:rsidR="009276AF">
        <w:rPr>
          <w:rStyle w:val="FootnoteReference"/>
        </w:rPr>
        <w:footnoteReference w:id="2"/>
      </w:r>
      <w:r w:rsidR="009276AF">
        <w:t xml:space="preserve"> </w:t>
      </w:r>
      <w:r w:rsidR="002C46C7">
        <w:t>For example, EHRs can include a patient’s treatment plans, allergies, lab test results, and detailed medical history.</w:t>
      </w:r>
      <w:r w:rsidR="002C46C7">
        <w:rPr>
          <w:rStyle w:val="FootnoteReference"/>
        </w:rPr>
        <w:footnoteReference w:id="3"/>
      </w:r>
      <w:r w:rsidR="002C46C7">
        <w:t xml:space="preserve"> Due to the nature of EHRs, they allow</w:t>
      </w:r>
      <w:r>
        <w:t xml:space="preserve"> the </w:t>
      </w:r>
      <w:r w:rsidR="0073142F">
        <w:t xml:space="preserve">patient’s information </w:t>
      </w:r>
      <w:r>
        <w:t xml:space="preserve">to be </w:t>
      </w:r>
      <w:r w:rsidR="0073142F">
        <w:t xml:space="preserve">updated </w:t>
      </w:r>
      <w:r w:rsidR="00A016E3">
        <w:t xml:space="preserve">in </w:t>
      </w:r>
      <w:r>
        <w:t>real-time and accessible instantly to authorized users.</w:t>
      </w:r>
      <w:r>
        <w:rPr>
          <w:rStyle w:val="FootnoteReference"/>
        </w:rPr>
        <w:footnoteReference w:id="4"/>
      </w:r>
      <w:r w:rsidR="00376382">
        <w:t xml:space="preserve"> </w:t>
      </w:r>
    </w:p>
    <w:p w:rsidR="00CE14BD" w:rsidRDefault="00A016E3" w:rsidP="00C9492A">
      <w:pPr>
        <w:spacing w:line="480" w:lineRule="auto"/>
        <w:ind w:firstLine="720"/>
        <w:jc w:val="both"/>
      </w:pPr>
      <w:r>
        <w:t>By making medical information more available, easier to read, and portable, EHRs have changed the way medicine is delivered and our health care system itself.</w:t>
      </w:r>
      <w:r>
        <w:rPr>
          <w:rStyle w:val="FootnoteReference"/>
        </w:rPr>
        <w:footnoteReference w:id="5"/>
      </w:r>
      <w:r w:rsidR="00997C0E">
        <w:t xml:space="preserve"> EHRs were initially developed and used at academic inpatient and outpatient medical facilities as early as 1971, </w:t>
      </w:r>
      <w:r w:rsidR="00EA63BB">
        <w:t>and oftentimes were incomplete and still necessitated the use of paper records.</w:t>
      </w:r>
      <w:r w:rsidR="00EA63BB">
        <w:rPr>
          <w:rStyle w:val="FootnoteReference"/>
        </w:rPr>
        <w:footnoteReference w:id="6"/>
      </w:r>
      <w:r w:rsidR="0073142F">
        <w:t xml:space="preserve"> Over time, as technology advanced</w:t>
      </w:r>
      <w:r w:rsidR="00EA7502">
        <w:t xml:space="preserve"> and became more widely utilized</w:t>
      </w:r>
      <w:r w:rsidR="0073142F">
        <w:t>,</w:t>
      </w:r>
      <w:r w:rsidR="00EA7502">
        <w:t xml:space="preserve"> EHRs became more and more popular, </w:t>
      </w:r>
      <w:r w:rsidR="00EA7502">
        <w:lastRenderedPageBreak/>
        <w:t>and are now widely utilized.</w:t>
      </w:r>
      <w:r w:rsidR="00EA7502">
        <w:rPr>
          <w:rStyle w:val="FootnoteReference"/>
        </w:rPr>
        <w:footnoteReference w:id="7"/>
      </w:r>
      <w:r w:rsidR="0073142F">
        <w:t xml:space="preserve"> </w:t>
      </w:r>
      <w:r w:rsidR="00802AAE">
        <w:t>In 2009, 46 percent of the public reported that their health provider usually entered their health information into a computer-based medical record.</w:t>
      </w:r>
      <w:r w:rsidR="00952497">
        <w:rPr>
          <w:rStyle w:val="FootnoteReference"/>
        </w:rPr>
        <w:footnoteReference w:id="8"/>
      </w:r>
      <w:r w:rsidR="00802AAE">
        <w:t xml:space="preserve"> By 2019, that number almost doubled to 88 percent.</w:t>
      </w:r>
      <w:r w:rsidR="00802AAE">
        <w:rPr>
          <w:rStyle w:val="FootnoteReference"/>
        </w:rPr>
        <w:footnoteReference w:id="9"/>
      </w:r>
      <w:r w:rsidR="00802AAE">
        <w:t xml:space="preserve"> A</w:t>
      </w:r>
      <w:r w:rsidR="00EA7502">
        <w:t>lthough EHRs have advanced greatly, they raise technical, procedural, ethical, and other issues.</w:t>
      </w:r>
      <w:r w:rsidR="00EA7502">
        <w:rPr>
          <w:rStyle w:val="FootnoteReference"/>
        </w:rPr>
        <w:footnoteReference w:id="10"/>
      </w:r>
    </w:p>
    <w:p w:rsidR="00F035E3" w:rsidRPr="00F035E3" w:rsidRDefault="005E59AC" w:rsidP="00F035E3">
      <w:pPr>
        <w:spacing w:line="480" w:lineRule="auto"/>
        <w:jc w:val="both"/>
        <w:rPr>
          <w:i/>
        </w:rPr>
      </w:pPr>
      <w:r>
        <w:rPr>
          <w:i/>
        </w:rPr>
        <w:t xml:space="preserve">EHR’s Impact on Patients and their Health </w:t>
      </w:r>
    </w:p>
    <w:p w:rsidR="00276E1D" w:rsidRDefault="008F2089" w:rsidP="00C9492A">
      <w:pPr>
        <w:spacing w:line="480" w:lineRule="auto"/>
        <w:ind w:firstLine="720"/>
        <w:jc w:val="both"/>
      </w:pPr>
      <w:r>
        <w:t>The public’s perceptions of EHRs have changed over the years.</w:t>
      </w:r>
      <w:r>
        <w:rPr>
          <w:rStyle w:val="FootnoteReference"/>
        </w:rPr>
        <w:footnoteReference w:id="11"/>
      </w:r>
      <w:r>
        <w:t xml:space="preserve"> </w:t>
      </w:r>
      <w:r w:rsidR="0078311B">
        <w:t>A large proportion of</w:t>
      </w:r>
      <w:r w:rsidR="0078311B" w:rsidRPr="008F2089">
        <w:t xml:space="preserve"> </w:t>
      </w:r>
      <w:r w:rsidR="007061CE">
        <w:t>individuals</w:t>
      </w:r>
      <w:r w:rsidR="0078311B" w:rsidRPr="008F2089">
        <w:t xml:space="preserve"> </w:t>
      </w:r>
      <w:r w:rsidRPr="008F2089">
        <w:t>whose physician use</w:t>
      </w:r>
      <w:r>
        <w:t>s</w:t>
      </w:r>
      <w:r w:rsidRPr="008F2089">
        <w:t xml:space="preserve"> an electronic health record </w:t>
      </w:r>
      <w:r w:rsidR="00C00B16">
        <w:t>report</w:t>
      </w:r>
      <w:r w:rsidR="00C00B16" w:rsidRPr="008F2089">
        <w:t xml:space="preserve"> </w:t>
      </w:r>
      <w:r w:rsidRPr="008F2089">
        <w:t xml:space="preserve">that their quality of care and their interactions with their physician </w:t>
      </w:r>
      <w:r>
        <w:t xml:space="preserve">were </w:t>
      </w:r>
      <w:r w:rsidRPr="008F2089">
        <w:t xml:space="preserve">“better” </w:t>
      </w:r>
      <w:r>
        <w:t xml:space="preserve">because of the EHR </w:t>
      </w:r>
      <w:r w:rsidRPr="008F2089">
        <w:t>(45 percen</w:t>
      </w:r>
      <w:r>
        <w:t xml:space="preserve">t and 44 percent, respectively); </w:t>
      </w:r>
      <w:r w:rsidR="0078311B">
        <w:t>however</w:t>
      </w:r>
      <w:r>
        <w:t>, s</w:t>
      </w:r>
      <w:r w:rsidRPr="008F2089">
        <w:t>imilar shares (47 percent, both) say the quality of care they receive and their interactions with their physician have “stayed the same</w:t>
      </w:r>
      <w:r>
        <w:t>.</w:t>
      </w:r>
      <w:r w:rsidRPr="008F2089">
        <w:t>”</w:t>
      </w:r>
      <w:r>
        <w:rPr>
          <w:rStyle w:val="FootnoteReference"/>
        </w:rPr>
        <w:footnoteReference w:id="12"/>
      </w:r>
      <w:r w:rsidRPr="008F2089">
        <w:t xml:space="preserve"> </w:t>
      </w:r>
      <w:r w:rsidR="00F7564F">
        <w:t>F</w:t>
      </w:r>
      <w:r w:rsidRPr="008F2089">
        <w:t>ew say that EHRs have made the quality of care they receive or their interactions with their physician “worse” (six percent and seven percent, respectively).</w:t>
      </w:r>
      <w:r w:rsidR="00F7564F">
        <w:rPr>
          <w:rStyle w:val="FootnoteReference"/>
        </w:rPr>
        <w:footnoteReference w:id="13"/>
      </w:r>
      <w:r w:rsidR="007808AD">
        <w:t xml:space="preserve"> </w:t>
      </w:r>
    </w:p>
    <w:p w:rsidR="008F2089" w:rsidRDefault="007808AD" w:rsidP="00276E1D">
      <w:pPr>
        <w:spacing w:line="480" w:lineRule="auto"/>
        <w:ind w:firstLine="720"/>
        <w:jc w:val="both"/>
      </w:pPr>
      <w:r>
        <w:t>Despite nearly half of the public feeling as if their care was improved, over half reported feeling “very concerned” or “somewhat concerned” about their EHR’s accessibility to unauthorized persons.</w:t>
      </w:r>
      <w:r>
        <w:rPr>
          <w:rStyle w:val="FootnoteReference"/>
        </w:rPr>
        <w:footnoteReference w:id="14"/>
      </w:r>
      <w:r>
        <w:t xml:space="preserve"> </w:t>
      </w:r>
      <w:r w:rsidR="000631B9">
        <w:t>Additionally, nearly half reported feeling “very concerned” or “somewhat concerned” of errors in their personal health information that can lead to negative impacts on their health care.</w:t>
      </w:r>
      <w:r w:rsidR="009A3947">
        <w:rPr>
          <w:rStyle w:val="FootnoteReference"/>
        </w:rPr>
        <w:footnoteReference w:id="15"/>
      </w:r>
      <w:r w:rsidR="000631B9">
        <w:t xml:space="preserve"> </w:t>
      </w:r>
      <w:r w:rsidR="00F3476F">
        <w:t xml:space="preserve">In fact, </w:t>
      </w:r>
      <w:r w:rsidR="00064FD3">
        <w:t>1</w:t>
      </w:r>
      <w:r w:rsidR="00F3476F">
        <w:t xml:space="preserve"> in </w:t>
      </w:r>
      <w:r w:rsidR="00064FD3">
        <w:t>5</w:t>
      </w:r>
      <w:r w:rsidR="00F3476F">
        <w:t xml:space="preserve"> individuals say that they or a family member had </w:t>
      </w:r>
      <w:r w:rsidR="00F3476F">
        <w:lastRenderedPageBreak/>
        <w:t>already noticed an error in their EHR.</w:t>
      </w:r>
      <w:r w:rsidR="00F3476F">
        <w:rPr>
          <w:rStyle w:val="FootnoteReference"/>
        </w:rPr>
        <w:footnoteReference w:id="16"/>
      </w:r>
      <w:r w:rsidR="00F3476F">
        <w:t xml:space="preserve"> Furthermore, doctors and patients alike have felt the change of using </w:t>
      </w:r>
      <w:r w:rsidR="00CF03B2" w:rsidRPr="00954DAB">
        <w:t>electronic medical records (“</w:t>
      </w:r>
      <w:r w:rsidR="00F3476F">
        <w:t>EMRs</w:t>
      </w:r>
      <w:r w:rsidR="00CF03B2">
        <w:t>”)</w:t>
      </w:r>
      <w:r w:rsidR="00F3476F">
        <w:t xml:space="preserve"> during meetings and treatments, with doctors oftentimes needing to stare at a screen instead of interacting face-to-fact with their patients.</w:t>
      </w:r>
      <w:r w:rsidR="00F3476F">
        <w:rPr>
          <w:rStyle w:val="FootnoteReference"/>
        </w:rPr>
        <w:footnoteReference w:id="17"/>
      </w:r>
    </w:p>
    <w:p w:rsidR="002A4FEB" w:rsidRDefault="002A4FEB" w:rsidP="00C9492A">
      <w:pPr>
        <w:spacing w:line="480" w:lineRule="auto"/>
        <w:ind w:firstLine="720"/>
        <w:jc w:val="both"/>
      </w:pPr>
      <w:r>
        <w:t>Although EHRs have greatly improved medical billing and physician compliance measurements, studies have argued that they have yet to show that they improve patient health.</w:t>
      </w:r>
      <w:r>
        <w:rPr>
          <w:rStyle w:val="FootnoteReference"/>
        </w:rPr>
        <w:footnoteReference w:id="18"/>
      </w:r>
      <w:r>
        <w:t xml:space="preserve"> In fact, one study found “</w:t>
      </w:r>
      <w:r w:rsidRPr="002A4FEB">
        <w:t>significant differences in rates of mortality, readmission, and complications between patients at hospitals with full EHR</w:t>
      </w:r>
      <w:r w:rsidR="0078311B">
        <w:t>s</w:t>
      </w:r>
      <w:r w:rsidRPr="002A4FEB">
        <w:t xml:space="preserve"> or partial EHR</w:t>
      </w:r>
      <w:r w:rsidR="0078311B">
        <w:t>s</w:t>
      </w:r>
      <w:r w:rsidRPr="002A4FEB">
        <w:t xml:space="preserve"> compared to hospitals with no EHR</w:t>
      </w:r>
      <w:r w:rsidR="0078311B">
        <w:t>s</w:t>
      </w:r>
      <w:r w:rsidRPr="002A4FEB">
        <w:t>. However, these differences did not hold when adjusted for patient and hospital factors. Furthermore, the effect of EHR adoption was not associated with improved patient outcomes (specifically inpatient mortality, readmissions, and complications).</w:t>
      </w:r>
      <w:r>
        <w:t>”</w:t>
      </w:r>
      <w:r>
        <w:rPr>
          <w:rStyle w:val="FootnoteReference"/>
        </w:rPr>
        <w:footnoteReference w:id="19"/>
      </w:r>
      <w:r w:rsidRPr="002A4FEB">
        <w:t> </w:t>
      </w:r>
      <w:r w:rsidR="00C124A4">
        <w:t>Another study found that, while EHRs could generate reports, those reports did not necessarily support quality improvement initiatives, and current EHR measurement functionality may be insufficient to support federal initiatives that tie payments to clinical quality measures.</w:t>
      </w:r>
      <w:r w:rsidR="00C124A4">
        <w:rPr>
          <w:rStyle w:val="FootnoteReference"/>
        </w:rPr>
        <w:footnoteReference w:id="20"/>
      </w:r>
    </w:p>
    <w:p w:rsidR="0027329B" w:rsidRDefault="0027329B" w:rsidP="00C9492A">
      <w:pPr>
        <w:spacing w:line="480" w:lineRule="auto"/>
        <w:ind w:firstLine="720"/>
        <w:jc w:val="both"/>
      </w:pPr>
    </w:p>
    <w:p w:rsidR="0027329B" w:rsidRDefault="0027329B" w:rsidP="00C9492A">
      <w:pPr>
        <w:spacing w:line="480" w:lineRule="auto"/>
        <w:ind w:firstLine="720"/>
        <w:jc w:val="both"/>
      </w:pPr>
    </w:p>
    <w:p w:rsidR="0027329B" w:rsidRPr="00C9492A" w:rsidRDefault="0027329B" w:rsidP="00C9492A">
      <w:pPr>
        <w:spacing w:line="480" w:lineRule="auto"/>
        <w:ind w:firstLine="720"/>
        <w:jc w:val="both"/>
      </w:pPr>
    </w:p>
    <w:p w:rsidR="00692FE0" w:rsidRPr="0012031E" w:rsidRDefault="00692FE0" w:rsidP="0012031E">
      <w:pPr>
        <w:pStyle w:val="ListParagraph"/>
        <w:autoSpaceDE w:val="0"/>
        <w:autoSpaceDN w:val="0"/>
        <w:adjustRightInd w:val="0"/>
        <w:spacing w:line="480" w:lineRule="auto"/>
        <w:ind w:left="0"/>
        <w:jc w:val="both"/>
        <w:rPr>
          <w:rFonts w:eastAsia="Calibri"/>
          <w:i/>
          <w:u w:val="single"/>
        </w:rPr>
      </w:pPr>
      <w:r w:rsidRPr="0012031E">
        <w:rPr>
          <w:rFonts w:eastAsia="Calibri"/>
          <w:i/>
          <w:u w:val="single"/>
        </w:rPr>
        <w:lastRenderedPageBreak/>
        <w:t>Cybersecurity of Medical Data</w:t>
      </w:r>
    </w:p>
    <w:p w:rsidR="00692FE0" w:rsidRPr="0012031E" w:rsidRDefault="00692FE0" w:rsidP="0012031E">
      <w:pPr>
        <w:pStyle w:val="ListParagraph"/>
        <w:autoSpaceDE w:val="0"/>
        <w:autoSpaceDN w:val="0"/>
        <w:adjustRightInd w:val="0"/>
        <w:spacing w:line="480" w:lineRule="auto"/>
        <w:ind w:left="0"/>
        <w:jc w:val="both"/>
        <w:rPr>
          <w:rFonts w:eastAsia="Calibri"/>
          <w:i/>
        </w:rPr>
      </w:pPr>
      <w:r w:rsidRPr="0012031E">
        <w:rPr>
          <w:rFonts w:eastAsia="Calibri"/>
          <w:i/>
        </w:rPr>
        <w:t>The importance of medical data and its vulnerabilities.</w:t>
      </w:r>
    </w:p>
    <w:p w:rsidR="00692FE0" w:rsidRPr="0008635C" w:rsidRDefault="00692FE0" w:rsidP="00692FE0">
      <w:pPr>
        <w:autoSpaceDE w:val="0"/>
        <w:autoSpaceDN w:val="0"/>
        <w:adjustRightInd w:val="0"/>
        <w:spacing w:line="480" w:lineRule="auto"/>
        <w:ind w:firstLine="720"/>
        <w:jc w:val="both"/>
        <w:rPr>
          <w:rFonts w:eastAsia="Calibri"/>
        </w:rPr>
      </w:pPr>
      <w:r w:rsidRPr="0008635C">
        <w:rPr>
          <w:rFonts w:eastAsia="Calibri"/>
        </w:rPr>
        <w:t xml:space="preserve">An Internet connection is a necessity to conduct many online activities in hospitals </w:t>
      </w:r>
      <w:r w:rsidR="00D06173">
        <w:rPr>
          <w:rFonts w:eastAsia="Calibri"/>
        </w:rPr>
        <w:t xml:space="preserve">that </w:t>
      </w:r>
      <w:r w:rsidRPr="0008635C">
        <w:rPr>
          <w:rFonts w:eastAsia="Calibri"/>
        </w:rPr>
        <w:t>involv</w:t>
      </w:r>
      <w:r w:rsidR="00A94495">
        <w:rPr>
          <w:rFonts w:eastAsia="Calibri"/>
        </w:rPr>
        <w:t>e</w:t>
      </w:r>
      <w:r w:rsidRPr="0008635C">
        <w:rPr>
          <w:rFonts w:eastAsia="Calibri"/>
        </w:rPr>
        <w:t xml:space="preserve"> </w:t>
      </w:r>
      <w:r w:rsidRPr="0008635C">
        <w:rPr>
          <w:shd w:val="clear" w:color="auto" w:fill="FFFFFF"/>
        </w:rPr>
        <w:t>protected health information</w:t>
      </w:r>
      <w:r w:rsidRPr="0008635C">
        <w:rPr>
          <w:rFonts w:eastAsia="Calibri"/>
        </w:rPr>
        <w:t xml:space="preserve">. Exchanging patient information electronically, submitting claims electronically, generating electronic records for patients’ requests, and e-prescribing are all examples of online activities that </w:t>
      </w:r>
      <w:r w:rsidR="00A94495">
        <w:rPr>
          <w:rFonts w:eastAsia="Calibri"/>
        </w:rPr>
        <w:t>require</w:t>
      </w:r>
      <w:r w:rsidRPr="0008635C">
        <w:rPr>
          <w:rFonts w:eastAsia="Calibri"/>
        </w:rPr>
        <w:t xml:space="preserve"> cybersecurity practices to safeguard systems and information.</w:t>
      </w:r>
      <w:r w:rsidRPr="0008635C">
        <w:rPr>
          <w:rStyle w:val="FootnoteReference"/>
          <w:rFonts w:eastAsia="Calibri"/>
        </w:rPr>
        <w:footnoteReference w:id="21"/>
      </w:r>
    </w:p>
    <w:p w:rsidR="00692FE0" w:rsidRPr="0008635C" w:rsidRDefault="00692FE0" w:rsidP="00692FE0">
      <w:pPr>
        <w:autoSpaceDE w:val="0"/>
        <w:autoSpaceDN w:val="0"/>
        <w:adjustRightInd w:val="0"/>
        <w:spacing w:line="480" w:lineRule="auto"/>
        <w:ind w:firstLine="720"/>
        <w:jc w:val="both"/>
        <w:rPr>
          <w:shd w:val="clear" w:color="auto" w:fill="FCFCFC"/>
        </w:rPr>
      </w:pPr>
      <w:r w:rsidRPr="0008635C">
        <w:rPr>
          <w:shd w:val="clear" w:color="auto" w:fill="FFFFFF"/>
        </w:rPr>
        <w:t>It has been estimated that over the past three years, 40</w:t>
      </w:r>
      <w:r w:rsidR="00AE350B">
        <w:rPr>
          <w:shd w:val="clear" w:color="auto" w:fill="FFFFFF"/>
        </w:rPr>
        <w:t xml:space="preserve"> percent</w:t>
      </w:r>
      <w:r w:rsidRPr="0008635C">
        <w:rPr>
          <w:shd w:val="clear" w:color="auto" w:fill="FFFFFF"/>
        </w:rPr>
        <w:t xml:space="preserve"> of all data breaches in the United States came from the healthcare industry.</w:t>
      </w:r>
      <w:r w:rsidRPr="0008635C">
        <w:rPr>
          <w:rStyle w:val="FootnoteReference"/>
          <w:shd w:val="clear" w:color="auto" w:fill="FFFFFF"/>
        </w:rPr>
        <w:footnoteReference w:id="22"/>
      </w:r>
      <w:r w:rsidRPr="0008635C">
        <w:rPr>
          <w:shd w:val="clear" w:color="auto" w:fill="FFFFFF"/>
        </w:rPr>
        <w:t xml:space="preserve"> </w:t>
      </w:r>
      <w:r w:rsidRPr="0008635C">
        <w:rPr>
          <w:shd w:val="clear" w:color="auto" w:fill="FCFCFC"/>
        </w:rPr>
        <w:t xml:space="preserve">Medical datais one of the most desirable </w:t>
      </w:r>
      <w:r w:rsidR="003F51C8">
        <w:rPr>
          <w:shd w:val="clear" w:color="auto" w:fill="FCFCFC"/>
        </w:rPr>
        <w:t xml:space="preserve">forms of </w:t>
      </w:r>
      <w:r w:rsidRPr="0008635C">
        <w:rPr>
          <w:shd w:val="clear" w:color="auto" w:fill="FCFCFC"/>
        </w:rPr>
        <w:t>information on the b</w:t>
      </w:r>
      <w:r w:rsidR="00A94495">
        <w:rPr>
          <w:shd w:val="clear" w:color="auto" w:fill="FCFCFC"/>
        </w:rPr>
        <w:t>l</w:t>
      </w:r>
      <w:r w:rsidRPr="0008635C">
        <w:rPr>
          <w:shd w:val="clear" w:color="auto" w:fill="FCFCFC"/>
        </w:rPr>
        <w:t>ack market</w:t>
      </w:r>
      <w:r w:rsidRPr="0008635C">
        <w:rPr>
          <w:shd w:val="clear" w:color="auto" w:fill="FFFFFF"/>
        </w:rPr>
        <w:t xml:space="preserve"> making the industry a growing target.</w:t>
      </w:r>
      <w:r w:rsidRPr="0008635C">
        <w:rPr>
          <w:rStyle w:val="FootnoteReference"/>
          <w:shd w:val="clear" w:color="auto" w:fill="FFFFFF"/>
        </w:rPr>
        <w:footnoteReference w:id="23"/>
      </w:r>
      <w:r w:rsidRPr="0008635C">
        <w:rPr>
          <w:shd w:val="clear" w:color="auto" w:fill="FFFFFF"/>
        </w:rPr>
        <w:t xml:space="preserve"> </w:t>
      </w:r>
      <w:r w:rsidRPr="0008635C">
        <w:rPr>
          <w:rFonts w:eastAsia="Calibri"/>
        </w:rPr>
        <w:t>As part of their day</w:t>
      </w:r>
      <w:r w:rsidR="00A94495">
        <w:rPr>
          <w:rFonts w:eastAsia="Calibri"/>
        </w:rPr>
        <w:t>-</w:t>
      </w:r>
      <w:r w:rsidRPr="0008635C">
        <w:rPr>
          <w:rFonts w:eastAsia="Calibri"/>
        </w:rPr>
        <w:t>to</w:t>
      </w:r>
      <w:r w:rsidR="00A94495">
        <w:rPr>
          <w:rFonts w:eastAsia="Calibri"/>
        </w:rPr>
        <w:t>-</w:t>
      </w:r>
      <w:r w:rsidRPr="0008635C">
        <w:rPr>
          <w:rFonts w:eastAsia="Calibri"/>
        </w:rPr>
        <w:t xml:space="preserve">day operations, hospitals </w:t>
      </w:r>
      <w:r w:rsidRPr="0008635C">
        <w:rPr>
          <w:shd w:val="clear" w:color="auto" w:fill="FCFCFC"/>
        </w:rPr>
        <w:t>collect and store vast amounts of personal information, making them a major target for cyber-criminals.</w:t>
      </w:r>
      <w:r w:rsidRPr="0008635C">
        <w:rPr>
          <w:rStyle w:val="FootnoteReference"/>
          <w:shd w:val="clear" w:color="auto" w:fill="FCFCFC"/>
        </w:rPr>
        <w:footnoteReference w:id="24"/>
      </w:r>
      <w:r w:rsidRPr="0008635C">
        <w:rPr>
          <w:shd w:val="clear" w:color="auto" w:fill="FCFCFC"/>
        </w:rPr>
        <w:t> </w:t>
      </w:r>
    </w:p>
    <w:p w:rsidR="00692FE0" w:rsidRPr="0008635C" w:rsidRDefault="00692FE0" w:rsidP="00692FE0">
      <w:pPr>
        <w:autoSpaceDE w:val="0"/>
        <w:autoSpaceDN w:val="0"/>
        <w:adjustRightInd w:val="0"/>
        <w:spacing w:line="480" w:lineRule="auto"/>
        <w:ind w:firstLine="720"/>
        <w:jc w:val="both"/>
        <w:rPr>
          <w:shd w:val="clear" w:color="auto" w:fill="FFFFFF"/>
        </w:rPr>
      </w:pPr>
      <w:r w:rsidRPr="0008635C">
        <w:rPr>
          <w:shd w:val="clear" w:color="auto" w:fill="FCFCFC"/>
        </w:rPr>
        <w:t>This valuable data can be, among other things, used for identity theft.</w:t>
      </w:r>
      <w:r w:rsidR="00E61733">
        <w:rPr>
          <w:rStyle w:val="FootnoteReference"/>
          <w:shd w:val="clear" w:color="auto" w:fill="FCFCFC"/>
        </w:rPr>
        <w:footnoteReference w:id="25"/>
      </w:r>
      <w:r w:rsidRPr="0008635C">
        <w:rPr>
          <w:shd w:val="clear" w:color="auto" w:fill="FCFCFC"/>
        </w:rPr>
        <w:t xml:space="preserve"> In the United States, stolen personal health insurance information can be used by criminals to obtain expensive medical services, devices and prescription medications, as well as to fraudulently acquire government benefits like Medicare or Medicaid.</w:t>
      </w:r>
      <w:r w:rsidR="00E61733">
        <w:rPr>
          <w:rStyle w:val="FootnoteReference"/>
          <w:shd w:val="clear" w:color="auto" w:fill="FCFCFC"/>
        </w:rPr>
        <w:footnoteReference w:id="26"/>
      </w:r>
      <w:r w:rsidRPr="0008635C">
        <w:rPr>
          <w:shd w:val="clear" w:color="auto" w:fill="FCFCFC"/>
        </w:rPr>
        <w:t xml:space="preserve"> </w:t>
      </w:r>
      <w:r w:rsidR="00582D4B">
        <w:rPr>
          <w:shd w:val="clear" w:color="auto" w:fill="FCFCFC"/>
        </w:rPr>
        <w:t>Medical</w:t>
      </w:r>
      <w:r w:rsidR="00582D4B" w:rsidRPr="0008635C">
        <w:rPr>
          <w:shd w:val="clear" w:color="auto" w:fill="FCFCFC"/>
        </w:rPr>
        <w:t xml:space="preserve"> </w:t>
      </w:r>
      <w:r w:rsidR="00582D4B">
        <w:rPr>
          <w:shd w:val="clear" w:color="auto" w:fill="FCFCFC"/>
        </w:rPr>
        <w:t xml:space="preserve">data </w:t>
      </w:r>
      <w:r w:rsidRPr="0008635C">
        <w:rPr>
          <w:shd w:val="clear" w:color="auto" w:fill="FCFCFC"/>
        </w:rPr>
        <w:t xml:space="preserve">breaches are especially serious </w:t>
      </w:r>
      <w:r w:rsidRPr="0008635C">
        <w:rPr>
          <w:shd w:val="clear" w:color="auto" w:fill="FCFCFC"/>
        </w:rPr>
        <w:lastRenderedPageBreak/>
        <w:t xml:space="preserve">because </w:t>
      </w:r>
      <w:r w:rsidR="00582D4B">
        <w:rPr>
          <w:shd w:val="clear" w:color="auto" w:fill="FCFCFC"/>
        </w:rPr>
        <w:t xml:space="preserve">this </w:t>
      </w:r>
      <w:r w:rsidRPr="0008635C">
        <w:rPr>
          <w:shd w:val="clear" w:color="auto" w:fill="FCFCFC"/>
        </w:rPr>
        <w:t>personal data can, in some cases, mean the difference between life and death.</w:t>
      </w:r>
      <w:r w:rsidR="00E61733">
        <w:rPr>
          <w:rStyle w:val="FootnoteReference"/>
          <w:shd w:val="clear" w:color="auto" w:fill="FCFCFC"/>
        </w:rPr>
        <w:footnoteReference w:id="27"/>
      </w:r>
      <w:r w:rsidRPr="0008635C">
        <w:rPr>
          <w:shd w:val="clear" w:color="auto" w:fill="FCFCFC"/>
        </w:rPr>
        <w:t xml:space="preserve"> For example, it could cause medications to become mixed up – or people might fail to get treatment for conditions such as diabetes.</w:t>
      </w:r>
      <w:r w:rsidRPr="0008635C">
        <w:rPr>
          <w:rStyle w:val="FootnoteReference"/>
          <w:shd w:val="clear" w:color="auto" w:fill="FCFCFC"/>
        </w:rPr>
        <w:footnoteReference w:id="28"/>
      </w:r>
      <w:r w:rsidRPr="0008635C">
        <w:rPr>
          <w:shd w:val="clear" w:color="auto" w:fill="FCFCFC"/>
        </w:rPr>
        <w:t xml:space="preserve"> </w:t>
      </w:r>
    </w:p>
    <w:p w:rsidR="00956BB6" w:rsidRPr="0008635C" w:rsidRDefault="00692FE0" w:rsidP="00814B0A">
      <w:pPr>
        <w:spacing w:line="480" w:lineRule="auto"/>
        <w:ind w:firstLine="720"/>
        <w:jc w:val="both"/>
        <w:rPr>
          <w:shd w:val="clear" w:color="auto" w:fill="FFFFFF"/>
        </w:rPr>
      </w:pPr>
      <w:r w:rsidRPr="0008635C">
        <w:rPr>
          <w:shd w:val="clear" w:color="auto" w:fill="FFFFFF"/>
        </w:rPr>
        <w:t>A breach of medical data often causes greater harm in the future than in the present</w:t>
      </w:r>
      <w:r w:rsidR="002A3BF7">
        <w:rPr>
          <w:shd w:val="clear" w:color="auto" w:fill="FFFFFF"/>
        </w:rPr>
        <w:t xml:space="preserve">, with little to </w:t>
      </w:r>
      <w:r w:rsidR="002A3BF7" w:rsidRPr="00E66899">
        <w:rPr>
          <w:shd w:val="clear" w:color="auto" w:fill="FFFFFF"/>
        </w:rPr>
        <w:t>no recourse for its victims</w:t>
      </w:r>
      <w:r w:rsidRPr="00E66899">
        <w:rPr>
          <w:shd w:val="clear" w:color="auto" w:fill="FFFFFF"/>
        </w:rPr>
        <w:t>.</w:t>
      </w:r>
      <w:r w:rsidR="00F5697C" w:rsidRPr="00E66899">
        <w:rPr>
          <w:rStyle w:val="FootnoteReference"/>
          <w:shd w:val="clear" w:color="auto" w:fill="FFFFFF"/>
        </w:rPr>
        <w:footnoteReference w:id="29"/>
      </w:r>
      <w:r w:rsidRPr="00E66899">
        <w:rPr>
          <w:shd w:val="clear" w:color="auto" w:fill="FFFFFF"/>
        </w:rPr>
        <w:t xml:space="preserve"> </w:t>
      </w:r>
      <w:r w:rsidR="00D44730" w:rsidRPr="00E66899">
        <w:rPr>
          <w:shd w:val="clear" w:color="auto" w:fill="FFFFFF"/>
        </w:rPr>
        <w:t xml:space="preserve"> Firstly</w:t>
      </w:r>
      <w:r w:rsidRPr="00E66899">
        <w:rPr>
          <w:shd w:val="clear" w:color="auto" w:fill="FFFFFF"/>
        </w:rPr>
        <w:t xml:space="preserve">, victims are generally unable to sue for these future harms as at the time of the incident, or filing of a lawsuit, </w:t>
      </w:r>
      <w:r w:rsidR="002A3BF7" w:rsidRPr="00E66899">
        <w:rPr>
          <w:shd w:val="clear" w:color="auto" w:fill="FFFFFF"/>
        </w:rPr>
        <w:t xml:space="preserve">as </w:t>
      </w:r>
      <w:r w:rsidRPr="00E66899">
        <w:rPr>
          <w:shd w:val="clear" w:color="auto" w:fill="FFFFFF"/>
        </w:rPr>
        <w:t>there was no injury in fact.</w:t>
      </w:r>
      <w:r w:rsidR="009508F2" w:rsidRPr="00E66899">
        <w:rPr>
          <w:rStyle w:val="FootnoteReference"/>
          <w:shd w:val="clear" w:color="auto" w:fill="FFFFFF"/>
        </w:rPr>
        <w:footnoteReference w:id="30"/>
      </w:r>
      <w:r w:rsidRPr="00E66899">
        <w:rPr>
          <w:shd w:val="clear" w:color="auto" w:fill="FFFFFF"/>
        </w:rPr>
        <w:t xml:space="preserve"> Additionally, potential financial harm </w:t>
      </w:r>
      <w:r w:rsidR="002A3BF7" w:rsidRPr="00E66899">
        <w:rPr>
          <w:shd w:val="clear" w:color="auto" w:fill="FFFFFF"/>
        </w:rPr>
        <w:t>becomes a constantly looming threat</w:t>
      </w:r>
      <w:r w:rsidRPr="00E66899">
        <w:rPr>
          <w:shd w:val="clear" w:color="auto" w:fill="FFFFFF"/>
        </w:rPr>
        <w:t xml:space="preserve">, as victims </w:t>
      </w:r>
      <w:r w:rsidR="00001E06" w:rsidRPr="00E66899">
        <w:rPr>
          <w:shd w:val="clear" w:color="auto" w:fill="FFFFFF"/>
        </w:rPr>
        <w:t xml:space="preserve">now </w:t>
      </w:r>
      <w:r w:rsidRPr="00E66899">
        <w:rPr>
          <w:shd w:val="clear" w:color="auto" w:fill="FFFFFF"/>
        </w:rPr>
        <w:t xml:space="preserve">have the overwhelming task of monitoring </w:t>
      </w:r>
      <w:r w:rsidR="001035E1" w:rsidRPr="00E66899">
        <w:rPr>
          <w:shd w:val="clear" w:color="auto" w:fill="FFFFFF"/>
        </w:rPr>
        <w:t>when their compromised data will be used for harmful purposes</w:t>
      </w:r>
      <w:r w:rsidRPr="00E66899">
        <w:rPr>
          <w:shd w:val="clear" w:color="auto" w:fill="FFFFFF"/>
        </w:rPr>
        <w:t>.</w:t>
      </w:r>
      <w:r w:rsidRPr="00E66899">
        <w:rPr>
          <w:rStyle w:val="FootnoteReference"/>
          <w:shd w:val="clear" w:color="auto" w:fill="FFFFFF"/>
        </w:rPr>
        <w:footnoteReference w:id="31"/>
      </w:r>
      <w:r w:rsidRPr="00E66899">
        <w:rPr>
          <w:shd w:val="clear" w:color="auto" w:fill="FFFFFF"/>
        </w:rPr>
        <w:t xml:space="preserve"> Therefore</w:t>
      </w:r>
      <w:r w:rsidRPr="0008635C">
        <w:rPr>
          <w:shd w:val="clear" w:color="auto" w:fill="FFFFFF"/>
        </w:rPr>
        <w:t xml:space="preserve">, protecting medical data from cyber-attacks or unauthorized disclosure should be essential for hospitals’ IT departments. </w:t>
      </w:r>
    </w:p>
    <w:p w:rsidR="00692FE0" w:rsidRPr="0012031E" w:rsidRDefault="00692FE0" w:rsidP="0012031E">
      <w:pPr>
        <w:pStyle w:val="ListParagraph"/>
        <w:spacing w:line="480" w:lineRule="auto"/>
        <w:ind w:left="0"/>
        <w:jc w:val="both"/>
        <w:rPr>
          <w:i/>
        </w:rPr>
      </w:pPr>
      <w:r w:rsidRPr="0012031E">
        <w:rPr>
          <w:i/>
        </w:rPr>
        <w:t>HIPAA</w:t>
      </w:r>
      <w:r w:rsidR="007C75D3">
        <w:rPr>
          <w:i/>
        </w:rPr>
        <w:t xml:space="preserve">, </w:t>
      </w:r>
      <w:r w:rsidR="007C75D3" w:rsidRPr="00762FCE">
        <w:rPr>
          <w:i/>
        </w:rPr>
        <w:t>HITECH, and Cybersecurity/Privacy Protection</w:t>
      </w:r>
    </w:p>
    <w:p w:rsidR="00B76F1E" w:rsidRPr="00954DAB" w:rsidRDefault="00001E06" w:rsidP="00B76F1E">
      <w:pPr>
        <w:autoSpaceDE w:val="0"/>
        <w:autoSpaceDN w:val="0"/>
        <w:adjustRightInd w:val="0"/>
        <w:spacing w:line="480" w:lineRule="auto"/>
        <w:ind w:firstLine="720"/>
        <w:contextualSpacing/>
        <w:jc w:val="both"/>
      </w:pPr>
      <w:r>
        <w:t xml:space="preserve">The </w:t>
      </w:r>
      <w:r w:rsidR="00692FE0" w:rsidRPr="0008635C">
        <w:t>Health Insurance Portability and Accountability Act (“</w:t>
      </w:r>
      <w:r w:rsidR="00692FE0" w:rsidRPr="0008635C">
        <w:rPr>
          <w:shd w:val="clear" w:color="auto" w:fill="FFFFFF"/>
        </w:rPr>
        <w:t xml:space="preserve">HIPAA”) </w:t>
      </w:r>
      <w:r w:rsidR="00692FE0" w:rsidRPr="0008635C">
        <w:t xml:space="preserve">was enacted in 1996 </w:t>
      </w:r>
      <w:r w:rsidR="00B76F1E" w:rsidRPr="0008635C">
        <w:rPr>
          <w:rStyle w:val="PageNumber"/>
        </w:rPr>
        <w:t>“</w:t>
      </w:r>
      <w:r w:rsidR="00B76F1E" w:rsidRPr="0008635C">
        <w:t>to improve portability and continuity of health insurance coverage in the group and individual markets, to combat waste, fraud, and abuse in health insurance and health care delivery, to promote the use of medical savings accounts, to improve access to long-term care services and coverage, to simplify the administration of health insurance, and for other purposes.</w:t>
      </w:r>
      <w:r w:rsidR="00B76F1E" w:rsidRPr="0008635C">
        <w:rPr>
          <w:rStyle w:val="PageNumber"/>
        </w:rPr>
        <w:t>”</w:t>
      </w:r>
      <w:r w:rsidR="00B76F1E" w:rsidRPr="0008635C">
        <w:rPr>
          <w:rStyle w:val="PageNumber"/>
          <w:vertAlign w:val="superscript"/>
        </w:rPr>
        <w:footnoteReference w:id="32"/>
      </w:r>
      <w:r w:rsidR="00AB4A3B">
        <w:rPr>
          <w:rStyle w:val="PageNumber"/>
        </w:rPr>
        <w:t xml:space="preserve"> HIPPA </w:t>
      </w:r>
      <w:r w:rsidR="00AB4A3B">
        <w:rPr>
          <w:rStyle w:val="PageNumber"/>
        </w:rPr>
        <w:lastRenderedPageBreak/>
        <w:t>has</w:t>
      </w:r>
      <w:r w:rsidR="00692FE0" w:rsidRPr="0008635C">
        <w:t xml:space="preserve"> two main objectives.</w:t>
      </w:r>
      <w:r w:rsidR="00814B0A">
        <w:rPr>
          <w:rStyle w:val="FootnoteReference"/>
        </w:rPr>
        <w:footnoteReference w:id="33"/>
      </w:r>
      <w:r w:rsidR="00692FE0" w:rsidRPr="0008635C">
        <w:rPr>
          <w:vertAlign w:val="superscript"/>
        </w:rPr>
        <w:t xml:space="preserve"> </w:t>
      </w:r>
      <w:r w:rsidR="00692FE0" w:rsidRPr="0008635C">
        <w:t xml:space="preserve">The first objective, “Health Insurance Portability,” aimed to ensure </w:t>
      </w:r>
      <w:r w:rsidR="00692FE0" w:rsidRPr="00954DAB">
        <w:t>that individuals would be able to maintain their health insurance between jobs.</w:t>
      </w:r>
      <w:r w:rsidR="00F5697C" w:rsidRPr="00954DAB">
        <w:rPr>
          <w:rStyle w:val="FootnoteReference"/>
        </w:rPr>
        <w:footnoteReference w:id="34"/>
      </w:r>
      <w:r w:rsidR="00692FE0" w:rsidRPr="00954DAB">
        <w:t xml:space="preserve"> The second objective, “Accountability,” aimed to ensure the security (“Security Rule”) and confidentiality of patient data (“Privacy Rule”)</w:t>
      </w:r>
      <w:r w:rsidR="009C0531" w:rsidRPr="00954DAB">
        <w:t>.</w:t>
      </w:r>
      <w:r w:rsidR="00AB4A3B" w:rsidRPr="00954DAB">
        <w:rPr>
          <w:rStyle w:val="FootnoteReference"/>
        </w:rPr>
        <w:footnoteReference w:id="35"/>
      </w:r>
      <w:r w:rsidR="00692FE0" w:rsidRPr="00954DAB">
        <w:t xml:space="preserve"> </w:t>
      </w:r>
    </w:p>
    <w:p w:rsidR="00AB4A3B" w:rsidRPr="00954DAB" w:rsidRDefault="00CF03B2" w:rsidP="0027329B">
      <w:pPr>
        <w:pStyle w:val="NormalWeb"/>
        <w:spacing w:before="0" w:beforeAutospacing="0" w:after="0" w:afterAutospacing="0" w:line="480" w:lineRule="auto"/>
        <w:contextualSpacing/>
        <w:jc w:val="both"/>
        <w:rPr>
          <w:rStyle w:val="PageNumber"/>
        </w:rPr>
      </w:pPr>
      <w:r>
        <w:tab/>
      </w:r>
      <w:r w:rsidR="00AB4A3B" w:rsidRPr="00954DAB">
        <w:t>The Office for Civil Rights (“OCR”) is responsible for enforcing the HIPAA Privacy and Security Rules.</w:t>
      </w:r>
      <w:r w:rsidR="00AB4A3B" w:rsidRPr="00954DAB">
        <w:rPr>
          <w:rStyle w:val="PageNumber"/>
          <w:vertAlign w:val="superscript"/>
        </w:rPr>
        <w:footnoteReference w:id="36"/>
      </w:r>
      <w:r w:rsidR="00AB4A3B" w:rsidRPr="00954DAB">
        <w:t xml:space="preserve"> One of the ways that the OCR carries out this responsibility is investigating complaints. If a complaint describes an action that could be a violation of the criminal provision of HIPAA,</w:t>
      </w:r>
      <w:r w:rsidR="00AB4A3B" w:rsidRPr="00954DAB">
        <w:rPr>
          <w:rStyle w:val="FootnoteReference"/>
        </w:rPr>
        <w:footnoteReference w:id="37"/>
      </w:r>
      <w:r w:rsidR="00AB4A3B" w:rsidRPr="00954DAB">
        <w:t xml:space="preserve"> the OCR may refer the complaint to the Department of Justice or Attorneys General</w:t>
      </w:r>
      <w:r w:rsidR="00AB4A3B" w:rsidRPr="00954DAB">
        <w:rPr>
          <w:rStyle w:val="PageNumber"/>
          <w:vertAlign w:val="superscript"/>
        </w:rPr>
        <w:footnoteReference w:id="38"/>
      </w:r>
      <w:r w:rsidR="00AB4A3B" w:rsidRPr="00954DAB">
        <w:t xml:space="preserve"> for investigation.</w:t>
      </w:r>
    </w:p>
    <w:p w:rsidR="00B76F1E" w:rsidRPr="00954DAB" w:rsidRDefault="00AB4A3B" w:rsidP="0027329B">
      <w:pPr>
        <w:shd w:val="clear" w:color="auto" w:fill="FFFFFF"/>
        <w:spacing w:after="300" w:line="480" w:lineRule="auto"/>
        <w:ind w:firstLine="720"/>
        <w:contextualSpacing/>
        <w:jc w:val="both"/>
      </w:pPr>
      <w:r w:rsidRPr="00954DAB">
        <w:rPr>
          <w:lang w:val="de-DE"/>
        </w:rPr>
        <w:t>HIPAA</w:t>
      </w:r>
      <w:r w:rsidRPr="00954DAB">
        <w:t xml:space="preserve"> imposes a penalty on the covered entity, not the attacker. The penalty for violation is a fine of </w:t>
      </w:r>
      <w:r w:rsidRPr="00954DAB">
        <w:rPr>
          <w:rStyle w:val="PageNumber"/>
        </w:rPr>
        <w:t>“</w:t>
      </w:r>
      <w:r w:rsidRPr="00954DAB">
        <w:t>up to $50,000, a one-year term of imprisonment or both,</w:t>
      </w:r>
      <w:r w:rsidRPr="00954DAB">
        <w:rPr>
          <w:rStyle w:val="PageNumber"/>
        </w:rPr>
        <w:t>”</w:t>
      </w:r>
      <w:r w:rsidRPr="00954DAB">
        <w:rPr>
          <w:rStyle w:val="PageNumber"/>
          <w:vertAlign w:val="superscript"/>
        </w:rPr>
        <w:footnoteReference w:id="39"/>
      </w:r>
      <w:r w:rsidRPr="00954DAB">
        <w:t xml:space="preserve"> or "if the offense is committed under false pretenses," the fine is "not more than $100,000,”</w:t>
      </w:r>
      <w:r w:rsidRPr="00954DAB">
        <w:rPr>
          <w:rStyle w:val="PageNumber"/>
          <w:vertAlign w:val="superscript"/>
        </w:rPr>
        <w:footnoteReference w:id="40"/>
      </w:r>
      <w:r w:rsidRPr="00954DAB">
        <w:t xml:space="preserve"> imprisonment for up to 5 years, or both.</w:t>
      </w:r>
      <w:r w:rsidRPr="00954DAB">
        <w:rPr>
          <w:rStyle w:val="FootnoteReference"/>
        </w:rPr>
        <w:footnoteReference w:id="41"/>
      </w:r>
      <w:r w:rsidRPr="00954DAB">
        <w:t xml:space="preserve"> "If the offense is committed with intent to sell, transfer, or use individually identifiable health information for commercial advantage, personal gain, or malicious harm," the violator may "be fined not more than $250,000, imprisoned not more than 10 years, or both."</w:t>
      </w:r>
      <w:r w:rsidRPr="00954DAB">
        <w:rPr>
          <w:rStyle w:val="PageNumber"/>
          <w:vertAlign w:val="superscript"/>
        </w:rPr>
        <w:footnoteReference w:id="42"/>
      </w:r>
      <w:r w:rsidRPr="00954DAB">
        <w:t xml:space="preserve"> </w:t>
      </w:r>
    </w:p>
    <w:p w:rsidR="00692FE0" w:rsidRPr="00954DAB" w:rsidRDefault="00692FE0" w:rsidP="00692FE0">
      <w:pPr>
        <w:shd w:val="clear" w:color="auto" w:fill="FFFFFF"/>
        <w:spacing w:line="480" w:lineRule="auto"/>
        <w:ind w:firstLine="720"/>
        <w:jc w:val="both"/>
      </w:pPr>
      <w:r w:rsidRPr="00954DAB">
        <w:lastRenderedPageBreak/>
        <w:t>While </w:t>
      </w:r>
      <w:r w:rsidRPr="00954DAB">
        <w:rPr>
          <w:shd w:val="clear" w:color="auto" w:fill="FFFFFF"/>
        </w:rPr>
        <w:t>HIPAA</w:t>
      </w:r>
      <w:r w:rsidRPr="00954DAB">
        <w:t xml:space="preserve"> began the campaign to increase </w:t>
      </w:r>
      <w:r w:rsidR="00D76932" w:rsidRPr="00954DAB">
        <w:t xml:space="preserve">the </w:t>
      </w:r>
      <w:r w:rsidRPr="00954DAB">
        <w:t>privacy and security of medical records, it was the Health Information Technology for Economic and Clinical Health (“HITECH”) Act</w:t>
      </w:r>
      <w:r w:rsidR="00D76932" w:rsidRPr="00954DAB">
        <w:t xml:space="preserve">—passed </w:t>
      </w:r>
      <w:r w:rsidRPr="00954DAB">
        <w:t>as Title XIII of the American Recovery and Reinvestment Act of 2009</w:t>
      </w:r>
      <w:r w:rsidR="00D76932" w:rsidRPr="00954DAB">
        <w:t xml:space="preserve">—which </w:t>
      </w:r>
      <w:r w:rsidRPr="00954DAB">
        <w:t>primarily focused on EMRs.</w:t>
      </w:r>
      <w:r w:rsidR="00ED7592">
        <w:rPr>
          <w:rStyle w:val="FootnoteReference"/>
        </w:rPr>
        <w:footnoteReference w:id="43"/>
      </w:r>
      <w:r w:rsidRPr="00954DAB">
        <w:rPr>
          <w:vertAlign w:val="superscript"/>
        </w:rPr>
        <w:t xml:space="preserve"> </w:t>
      </w:r>
      <w:r w:rsidRPr="00954DAB">
        <w:t xml:space="preserve">Among a variety of provisions, HITECH directed </w:t>
      </w:r>
      <w:r w:rsidR="00D2132F" w:rsidRPr="00954DAB">
        <w:t xml:space="preserve">the </w:t>
      </w:r>
      <w:r w:rsidR="00B328AF" w:rsidRPr="00954DAB">
        <w:rPr>
          <w:rStyle w:val="PageNumber"/>
        </w:rPr>
        <w:t>Office for Civil Rights</w:t>
      </w:r>
      <w:r w:rsidR="00B328AF" w:rsidRPr="00954DAB">
        <w:t xml:space="preserve"> of the </w:t>
      </w:r>
      <w:r w:rsidR="00D2132F" w:rsidRPr="00954DAB">
        <w:rPr>
          <w:rStyle w:val="PageNumber"/>
        </w:rPr>
        <w:t xml:space="preserve">United States Department of Health and Human Services </w:t>
      </w:r>
      <w:r w:rsidR="00D2132F" w:rsidRPr="00954DAB">
        <w:t>(</w:t>
      </w:r>
      <w:r w:rsidRPr="00954DAB">
        <w:t>“HHS”</w:t>
      </w:r>
      <w:r w:rsidR="00D2132F" w:rsidRPr="00954DAB">
        <w:t>)</w:t>
      </w:r>
      <w:r w:rsidRPr="00954DAB">
        <w:t xml:space="preserve"> to promulgate further regulations to expand and incentivize EMRs.</w:t>
      </w:r>
      <w:r w:rsidR="00DA0018">
        <w:rPr>
          <w:rStyle w:val="FootnoteReference"/>
        </w:rPr>
        <w:footnoteReference w:id="44"/>
      </w:r>
      <w:r w:rsidR="00546511" w:rsidRPr="00954DAB">
        <w:t xml:space="preserve"> </w:t>
      </w:r>
      <w:r w:rsidR="000B5EF5" w:rsidRPr="00954DAB">
        <w:t>T</w:t>
      </w:r>
      <w:r w:rsidRPr="00954DAB">
        <w:t xml:space="preserve">he rapid expansion </w:t>
      </w:r>
      <w:r w:rsidR="000B5EF5" w:rsidRPr="00954DAB">
        <w:t xml:space="preserve">created more </w:t>
      </w:r>
      <w:r w:rsidRPr="00954DAB">
        <w:t>privacy and security issues,</w:t>
      </w:r>
      <w:r w:rsidR="00F5697C" w:rsidRPr="00954DAB">
        <w:rPr>
          <w:vertAlign w:val="superscript"/>
        </w:rPr>
        <w:t xml:space="preserve"> </w:t>
      </w:r>
      <w:r w:rsidRPr="00954DAB">
        <w:t>prompting HHS to roll out firmer regulations for “covered entities” and their “business associates.”</w:t>
      </w:r>
      <w:r w:rsidRPr="00954DAB">
        <w:rPr>
          <w:rStyle w:val="FootnoteReference"/>
        </w:rPr>
        <w:footnoteReference w:id="45"/>
      </w:r>
    </w:p>
    <w:p w:rsidR="00692FE0" w:rsidRPr="00954DAB" w:rsidRDefault="00692FE0" w:rsidP="00692FE0">
      <w:pPr>
        <w:spacing w:line="480" w:lineRule="auto"/>
        <w:ind w:firstLine="720"/>
        <w:jc w:val="both"/>
        <w:rPr>
          <w:rStyle w:val="PageNumber"/>
          <w:shd w:val="clear" w:color="auto" w:fill="FFFFFF"/>
        </w:rPr>
      </w:pPr>
      <w:r w:rsidRPr="00954DAB">
        <w:rPr>
          <w:shd w:val="clear" w:color="auto" w:fill="FFFFFF"/>
        </w:rPr>
        <w:t>Despite increased awareness and guidelines on the issue, cybersecurity continues to be</w:t>
      </w:r>
      <w:r w:rsidR="00E766B1" w:rsidRPr="00954DAB">
        <w:rPr>
          <w:shd w:val="clear" w:color="auto" w:fill="FFFFFF"/>
        </w:rPr>
        <w:t xml:space="preserve"> a problem for</w:t>
      </w:r>
      <w:r w:rsidRPr="00954DAB">
        <w:rPr>
          <w:shd w:val="clear" w:color="auto" w:fill="FFFFFF"/>
        </w:rPr>
        <w:t xml:space="preserve"> the healthcare industry. In 2015 alone, 113 million electronic health records were compromised, and in 2016, the industry has averaged 4 reportable data breaches per week.</w:t>
      </w:r>
      <w:r w:rsidRPr="00954DAB">
        <w:rPr>
          <w:rStyle w:val="FootnoteReference"/>
          <w:shd w:val="clear" w:color="auto" w:fill="FFFFFF"/>
        </w:rPr>
        <w:footnoteReference w:id="46"/>
      </w:r>
      <w:r w:rsidRPr="00954DAB">
        <w:rPr>
          <w:shd w:val="clear" w:color="auto" w:fill="FFFFFF"/>
        </w:rPr>
        <w:t xml:space="preserve"> </w:t>
      </w:r>
      <w:r w:rsidRPr="00954DAB">
        <w:rPr>
          <w:rStyle w:val="PageNumber"/>
          <w:shd w:val="clear" w:color="auto" w:fill="FFFFFF"/>
        </w:rPr>
        <w:t xml:space="preserve">The U.S. Department of Health and Human Services reports that in the last 24 months there have been </w:t>
      </w:r>
      <w:r w:rsidR="00D06173" w:rsidRPr="00954DAB">
        <w:rPr>
          <w:rStyle w:val="PageNumber"/>
          <w:shd w:val="clear" w:color="auto" w:fill="FFFFFF"/>
        </w:rPr>
        <w:t xml:space="preserve">550 </w:t>
      </w:r>
      <w:r w:rsidRPr="00954DAB">
        <w:rPr>
          <w:rStyle w:val="PageNumber"/>
          <w:shd w:val="clear" w:color="auto" w:fill="FFFFFF"/>
        </w:rPr>
        <w:t xml:space="preserve">data breaches, with </w:t>
      </w:r>
      <w:r w:rsidR="00D06173" w:rsidRPr="00954DAB">
        <w:rPr>
          <w:color w:val="000000"/>
        </w:rPr>
        <w:t>47,197,424</w:t>
      </w:r>
      <w:r w:rsidRPr="00954DAB">
        <w:rPr>
          <w:rStyle w:val="PageNumber"/>
          <w:shd w:val="clear" w:color="auto" w:fill="FFFFFF"/>
        </w:rPr>
        <w:t xml:space="preserve"> individuals affected.</w:t>
      </w:r>
      <w:r w:rsidRPr="00954DAB">
        <w:rPr>
          <w:rStyle w:val="PageNumber"/>
          <w:shd w:val="clear" w:color="auto" w:fill="FFFFFF"/>
          <w:vertAlign w:val="superscript"/>
        </w:rPr>
        <w:footnoteReference w:id="47"/>
      </w:r>
      <w:r w:rsidRPr="00954DAB">
        <w:rPr>
          <w:rStyle w:val="PageNumber"/>
          <w:shd w:val="clear" w:color="auto" w:fill="FFFFFF"/>
        </w:rPr>
        <w:t xml:space="preserve"> </w:t>
      </w:r>
      <w:r w:rsidR="00C00B16">
        <w:rPr>
          <w:rStyle w:val="PageNumber"/>
          <w:shd w:val="clear" w:color="auto" w:fill="FFFFFF"/>
        </w:rPr>
        <w:t>Thirty</w:t>
      </w:r>
      <w:r w:rsidR="00C00B16" w:rsidRPr="00954DAB">
        <w:rPr>
          <w:rStyle w:val="PageNumber"/>
          <w:shd w:val="clear" w:color="auto" w:fill="FFFFFF"/>
        </w:rPr>
        <w:t xml:space="preserve"> </w:t>
      </w:r>
      <w:r w:rsidRPr="00954DAB">
        <w:rPr>
          <w:rStyle w:val="PageNumber"/>
          <w:shd w:val="clear" w:color="auto" w:fill="FFFFFF"/>
        </w:rPr>
        <w:t>of them took place in New York State,</w:t>
      </w:r>
      <w:r w:rsidR="00253C61" w:rsidRPr="00954DAB">
        <w:rPr>
          <w:rStyle w:val="PageNumber"/>
          <w:shd w:val="clear" w:color="auto" w:fill="FFFFFF"/>
        </w:rPr>
        <w:t xml:space="preserve"> and</w:t>
      </w:r>
      <w:r w:rsidRPr="00954DAB">
        <w:rPr>
          <w:rStyle w:val="PageNumber"/>
          <w:shd w:val="clear" w:color="auto" w:fill="FFFFFF"/>
        </w:rPr>
        <w:t xml:space="preserve"> </w:t>
      </w:r>
      <w:r w:rsidR="00D06173" w:rsidRPr="00954DAB">
        <w:rPr>
          <w:rStyle w:val="PageNumber"/>
          <w:shd w:val="clear" w:color="auto" w:fill="FFFFFF"/>
        </w:rPr>
        <w:t>13</w:t>
      </w:r>
      <w:r w:rsidR="00253C61" w:rsidRPr="00954DAB">
        <w:rPr>
          <w:rStyle w:val="PageNumber"/>
          <w:shd w:val="clear" w:color="auto" w:fill="FFFFFF"/>
        </w:rPr>
        <w:t xml:space="preserve"> took place in the</w:t>
      </w:r>
      <w:r w:rsidRPr="00954DAB">
        <w:rPr>
          <w:rStyle w:val="PageNumber"/>
          <w:shd w:val="clear" w:color="auto" w:fill="FFFFFF"/>
        </w:rPr>
        <w:t xml:space="preserve"> </w:t>
      </w:r>
      <w:r w:rsidR="00253C61" w:rsidRPr="00954DAB">
        <w:rPr>
          <w:rStyle w:val="PageNumber"/>
          <w:shd w:val="clear" w:color="auto" w:fill="FFFFFF"/>
        </w:rPr>
        <w:t>City of New York</w:t>
      </w:r>
      <w:r w:rsidRPr="00954DAB">
        <w:rPr>
          <w:rStyle w:val="PageNumber"/>
          <w:shd w:val="clear" w:color="auto" w:fill="FFFFFF"/>
        </w:rPr>
        <w:t>, affecting</w:t>
      </w:r>
      <w:r w:rsidR="00D06173" w:rsidRPr="00954DAB">
        <w:rPr>
          <w:rStyle w:val="PageNumber"/>
          <w:shd w:val="clear" w:color="auto" w:fill="FFFFFF"/>
        </w:rPr>
        <w:t xml:space="preserve"> 450</w:t>
      </w:r>
      <w:r w:rsidR="00DA0D8D" w:rsidRPr="00954DAB">
        <w:rPr>
          <w:rStyle w:val="PageNumber"/>
          <w:shd w:val="clear" w:color="auto" w:fill="FFFFFF"/>
        </w:rPr>
        <w:t>,</w:t>
      </w:r>
      <w:r w:rsidR="00D06173" w:rsidRPr="00954DAB">
        <w:rPr>
          <w:rStyle w:val="PageNumber"/>
          <w:shd w:val="clear" w:color="auto" w:fill="FFFFFF"/>
        </w:rPr>
        <w:t>744</w:t>
      </w:r>
      <w:r w:rsidR="00DA0D8D" w:rsidRPr="00954DAB">
        <w:rPr>
          <w:rStyle w:val="PageNumber"/>
          <w:shd w:val="clear" w:color="auto" w:fill="FFFFFF"/>
        </w:rPr>
        <w:t xml:space="preserve"> individuals</w:t>
      </w:r>
      <w:r w:rsidR="00253C61" w:rsidRPr="00954DAB">
        <w:rPr>
          <w:rStyle w:val="PageNumber"/>
          <w:shd w:val="clear" w:color="auto" w:fill="FFFFFF"/>
        </w:rPr>
        <w:t>.</w:t>
      </w:r>
      <w:r w:rsidR="008B544B" w:rsidRPr="00954DAB">
        <w:rPr>
          <w:rStyle w:val="FootnoteReference"/>
          <w:shd w:val="clear" w:color="auto" w:fill="FFFFFF"/>
        </w:rPr>
        <w:footnoteReference w:id="48"/>
      </w:r>
      <w:r w:rsidRPr="00954DAB">
        <w:rPr>
          <w:rStyle w:val="PageNumber"/>
          <w:shd w:val="clear" w:color="auto" w:fill="FFFFFF"/>
        </w:rPr>
        <w:t xml:space="preserve"> </w:t>
      </w:r>
      <w:r w:rsidR="00253C61" w:rsidRPr="00954DAB">
        <w:rPr>
          <w:rStyle w:val="PageNumber"/>
          <w:shd w:val="clear" w:color="auto" w:fill="FFFFFF"/>
        </w:rPr>
        <w:t>The</w:t>
      </w:r>
      <w:r w:rsidRPr="00954DAB">
        <w:rPr>
          <w:rStyle w:val="PageNumber"/>
          <w:shd w:val="clear" w:color="auto" w:fill="FFFFFF"/>
        </w:rPr>
        <w:t xml:space="preserve">se data breaches include </w:t>
      </w:r>
      <w:r w:rsidR="00A6427D" w:rsidRPr="00954DAB">
        <w:rPr>
          <w:rStyle w:val="PageNumber"/>
          <w:shd w:val="clear" w:color="auto" w:fill="FFFFFF"/>
        </w:rPr>
        <w:t>Mount Sinai Hospital.</w:t>
      </w:r>
      <w:r w:rsidR="0064357F" w:rsidRPr="00954DAB">
        <w:rPr>
          <w:rStyle w:val="FootnoteReference"/>
          <w:shd w:val="clear" w:color="auto" w:fill="FFFFFF"/>
        </w:rPr>
        <w:footnoteReference w:id="49"/>
      </w:r>
      <w:r w:rsidR="00A6427D" w:rsidRPr="00954DAB">
        <w:rPr>
          <w:rStyle w:val="PageNumber"/>
          <w:shd w:val="clear" w:color="auto" w:fill="FFFFFF"/>
        </w:rPr>
        <w:t xml:space="preserve"> </w:t>
      </w:r>
      <w:r w:rsidRPr="00954DAB">
        <w:rPr>
          <w:rStyle w:val="PageNumber"/>
          <w:shd w:val="clear" w:color="auto" w:fill="FFFFFF"/>
        </w:rPr>
        <w:t xml:space="preserve">According to the same source, about </w:t>
      </w:r>
      <w:r w:rsidR="00A6427D" w:rsidRPr="00954DAB">
        <w:rPr>
          <w:rStyle w:val="PageNumber"/>
          <w:shd w:val="clear" w:color="auto" w:fill="FFFFFF"/>
        </w:rPr>
        <w:t>106</w:t>
      </w:r>
      <w:r w:rsidRPr="00954DAB">
        <w:rPr>
          <w:rStyle w:val="PageNumber"/>
          <w:shd w:val="clear" w:color="auto" w:fill="FFFFFF"/>
        </w:rPr>
        <w:t xml:space="preserve"> </w:t>
      </w:r>
      <w:r w:rsidRPr="00954DAB">
        <w:rPr>
          <w:rStyle w:val="PageNumber"/>
          <w:shd w:val="clear" w:color="auto" w:fill="FFFFFF"/>
        </w:rPr>
        <w:lastRenderedPageBreak/>
        <w:t xml:space="preserve">data breaches in healthcare settings affecting </w:t>
      </w:r>
      <w:r w:rsidR="00A6427D" w:rsidRPr="00954DAB">
        <w:t>2,843,316</w:t>
      </w:r>
      <w:r w:rsidRPr="00954DAB">
        <w:rPr>
          <w:rStyle w:val="PageNumber"/>
          <w:shd w:val="clear" w:color="auto" w:fill="FFFFFF"/>
        </w:rPr>
        <w:t xml:space="preserve"> individuals have been reported since </w:t>
      </w:r>
      <w:r w:rsidR="00A6427D" w:rsidRPr="00954DAB">
        <w:rPr>
          <w:rStyle w:val="PageNumber"/>
          <w:shd w:val="clear" w:color="auto" w:fill="FFFFFF"/>
        </w:rPr>
        <w:t xml:space="preserve">August </w:t>
      </w:r>
      <w:r w:rsidRPr="00954DAB">
        <w:rPr>
          <w:rStyle w:val="PageNumber"/>
          <w:shd w:val="clear" w:color="auto" w:fill="FFFFFF"/>
        </w:rPr>
        <w:t>2018.</w:t>
      </w:r>
      <w:r w:rsidRPr="00954DAB">
        <w:rPr>
          <w:rStyle w:val="PageNumber"/>
          <w:shd w:val="clear" w:color="auto" w:fill="FFFFFF"/>
          <w:vertAlign w:val="superscript"/>
        </w:rPr>
        <w:footnoteReference w:id="50"/>
      </w:r>
      <w:r w:rsidRPr="00954DAB">
        <w:rPr>
          <w:rStyle w:val="PageNumber"/>
          <w:shd w:val="clear" w:color="auto" w:fill="FFFFFF"/>
        </w:rPr>
        <w:t xml:space="preserve">  </w:t>
      </w:r>
    </w:p>
    <w:p w:rsidR="0008635C" w:rsidRPr="00954DAB" w:rsidRDefault="00CF03B2" w:rsidP="0027329B">
      <w:pPr>
        <w:pStyle w:val="Body"/>
        <w:shd w:val="clear" w:color="auto" w:fill="FFFFFF"/>
        <w:spacing w:after="0" w:line="480" w:lineRule="auto"/>
        <w:jc w:val="both"/>
        <w:rPr>
          <w:rFonts w:ascii="Times New Roman" w:hAnsi="Times New Roman" w:cs="Times New Roman"/>
          <w:color w:val="auto"/>
          <w:lang w:val="en-US"/>
        </w:rPr>
      </w:pPr>
      <w:r>
        <w:rPr>
          <w:rFonts w:ascii="Times New Roman" w:hAnsi="Times New Roman" w:cs="Times New Roman"/>
          <w:color w:val="auto"/>
          <w:lang w:val="en-US"/>
        </w:rPr>
        <w:tab/>
      </w:r>
      <w:r w:rsidR="00692FE0" w:rsidRPr="00954DAB">
        <w:rPr>
          <w:rFonts w:ascii="Times New Roman" w:hAnsi="Times New Roman" w:cs="Times New Roman"/>
          <w:color w:val="auto"/>
          <w:lang w:val="en-US"/>
        </w:rPr>
        <w:t xml:space="preserve">In New York City, </w:t>
      </w:r>
      <w:r>
        <w:rPr>
          <w:rFonts w:ascii="Times New Roman" w:hAnsi="Times New Roman" w:cs="Times New Roman"/>
          <w:color w:val="auto"/>
          <w:shd w:val="clear" w:color="auto" w:fill="FFFFFF"/>
        </w:rPr>
        <w:t>HSS</w:t>
      </w:r>
      <w:r w:rsidR="00230168" w:rsidRPr="00954DAB">
        <w:rPr>
          <w:rFonts w:ascii="Times New Roman" w:hAnsi="Times New Roman" w:cs="Times New Roman"/>
          <w:color w:val="auto"/>
          <w:shd w:val="clear" w:color="auto" w:fill="FFFFFF"/>
        </w:rPr>
        <w:t xml:space="preserve"> </w:t>
      </w:r>
      <w:r w:rsidR="00D2132F" w:rsidRPr="00954DAB">
        <w:rPr>
          <w:rFonts w:ascii="Times New Roman" w:hAnsi="Times New Roman" w:cs="Times New Roman"/>
          <w:color w:val="auto"/>
          <w:shd w:val="clear" w:color="auto" w:fill="FFFFFF"/>
        </w:rPr>
        <w:t>has issued </w:t>
      </w:r>
      <w:hyperlink r:id="rId11" w:tgtFrame="_blank" w:history="1">
        <w:r w:rsidR="00D2132F" w:rsidRPr="00954DAB">
          <w:rPr>
            <w:rStyle w:val="Hyperlink"/>
            <w:rFonts w:ascii="Times New Roman" w:hAnsi="Times New Roman"/>
            <w:bCs/>
            <w:color w:val="auto"/>
            <w:u w:val="none"/>
            <w:shd w:val="clear" w:color="auto" w:fill="FFFFFF"/>
          </w:rPr>
          <w:t>HIPAA enforcement action</w:t>
        </w:r>
      </w:hyperlink>
      <w:r w:rsidR="00D2132F" w:rsidRPr="00954DAB">
        <w:rPr>
          <w:rFonts w:ascii="Times New Roman" w:hAnsi="Times New Roman" w:cs="Times New Roman"/>
          <w:color w:val="auto"/>
          <w:shd w:val="clear" w:color="auto" w:fill="FFFFFF"/>
        </w:rPr>
        <w:t>, entering settlements totaling $4.8 million</w:t>
      </w:r>
      <w:r w:rsidR="00D2132F" w:rsidRPr="00954DAB">
        <w:rPr>
          <w:rStyle w:val="FootnoteReference"/>
          <w:rFonts w:ascii="Times New Roman" w:hAnsi="Times New Roman"/>
          <w:color w:val="auto"/>
          <w:shd w:val="clear" w:color="auto" w:fill="FFFFFF"/>
        </w:rPr>
        <w:footnoteReference w:id="51"/>
      </w:r>
      <w:r w:rsidR="00D2132F" w:rsidRPr="00954DAB">
        <w:rPr>
          <w:rFonts w:ascii="Times New Roman" w:hAnsi="Times New Roman" w:cs="Times New Roman"/>
          <w:color w:val="auto"/>
          <w:shd w:val="clear" w:color="auto" w:fill="FFFFFF"/>
        </w:rPr>
        <w:t xml:space="preserve"> with two New York organizations tied to the same 2010 </w:t>
      </w:r>
      <w:hyperlink r:id="rId12" w:history="1">
        <w:r w:rsidR="00D2132F" w:rsidRPr="00954DAB">
          <w:rPr>
            <w:rStyle w:val="Hyperlink"/>
            <w:rFonts w:ascii="Times New Roman" w:hAnsi="Times New Roman"/>
            <w:bCs/>
            <w:color w:val="auto"/>
            <w:u w:val="none"/>
            <w:shd w:val="clear" w:color="auto" w:fill="FFFFFF"/>
          </w:rPr>
          <w:t>breach</w:t>
        </w:r>
      </w:hyperlink>
      <w:r w:rsidR="00D2132F" w:rsidRPr="00954DAB">
        <w:rPr>
          <w:rFonts w:ascii="Times New Roman" w:hAnsi="Times New Roman" w:cs="Times New Roman"/>
          <w:color w:val="auto"/>
          <w:shd w:val="clear" w:color="auto" w:fill="FFFFFF"/>
        </w:rPr>
        <w:t>, New Y</w:t>
      </w:r>
      <w:r w:rsidR="0008635C" w:rsidRPr="00954DAB">
        <w:rPr>
          <w:rFonts w:ascii="Times New Roman" w:hAnsi="Times New Roman" w:cs="Times New Roman"/>
          <w:color w:val="auto"/>
          <w:shd w:val="clear" w:color="auto" w:fill="FFFFFF"/>
        </w:rPr>
        <w:t xml:space="preserve">ork and Presbyterian Hospital </w:t>
      </w:r>
      <w:r w:rsidR="00D2132F" w:rsidRPr="00954DAB">
        <w:rPr>
          <w:rFonts w:ascii="Times New Roman" w:hAnsi="Times New Roman" w:cs="Times New Roman"/>
          <w:color w:val="auto"/>
          <w:shd w:val="clear" w:color="auto" w:fill="FFFFFF"/>
        </w:rPr>
        <w:t>and Columbia University. The incident, which involved unsecured patient data on a network, affected about 6,800 patients.</w:t>
      </w:r>
      <w:r w:rsidR="00D2132F" w:rsidRPr="00954DAB">
        <w:rPr>
          <w:rStyle w:val="FootnoteReference"/>
          <w:rFonts w:ascii="Times New Roman" w:hAnsi="Times New Roman"/>
          <w:color w:val="auto"/>
          <w:lang w:val="en-US"/>
        </w:rPr>
        <w:footnoteReference w:id="52"/>
      </w:r>
    </w:p>
    <w:p w:rsidR="00731D54" w:rsidRDefault="00731D54" w:rsidP="00731D54">
      <w:pPr>
        <w:spacing w:line="480" w:lineRule="auto"/>
        <w:jc w:val="both"/>
        <w:rPr>
          <w:i/>
          <w:u w:val="single"/>
        </w:rPr>
      </w:pPr>
      <w:r>
        <w:rPr>
          <w:i/>
          <w:u w:val="single"/>
        </w:rPr>
        <w:t>EHR Use at H+H</w:t>
      </w:r>
    </w:p>
    <w:p w:rsidR="008A0F79" w:rsidRPr="004D2B5E" w:rsidRDefault="005B2FD1" w:rsidP="004D2B5E">
      <w:pPr>
        <w:pStyle w:val="Body"/>
        <w:spacing w:after="0" w:line="480" w:lineRule="auto"/>
        <w:ind w:firstLine="720"/>
        <w:contextualSpacing/>
        <w:jc w:val="both"/>
        <w:rPr>
          <w:rFonts w:ascii="Times New Roman" w:hAnsi="Times New Roman" w:cs="Times New Roman"/>
        </w:rPr>
      </w:pPr>
      <w:r w:rsidRPr="005B2FD1">
        <w:rPr>
          <w:rFonts w:ascii="Times New Roman" w:hAnsi="Times New Roman" w:cs="Times New Roman"/>
          <w:lang w:val="en-US"/>
        </w:rPr>
        <w:t>On January 16, 2013, H+H entered into a 15-year, $302 million contract agreement with Epic Systems Corporation (Epic Systems) to replace H+H’s then-20-year-old EMR system</w:t>
      </w:r>
      <w:r>
        <w:rPr>
          <w:rFonts w:ascii="Times New Roman" w:hAnsi="Times New Roman" w:cs="Times New Roman"/>
          <w:lang w:val="en-US"/>
        </w:rPr>
        <w:t>.</w:t>
      </w:r>
      <w:r>
        <w:rPr>
          <w:rStyle w:val="FootnoteReference"/>
          <w:rFonts w:ascii="Times New Roman" w:hAnsi="Times New Roman"/>
          <w:lang w:val="en-US"/>
        </w:rPr>
        <w:footnoteReference w:id="53"/>
      </w:r>
      <w:r w:rsidR="00DC21DE">
        <w:rPr>
          <w:rFonts w:ascii="Times New Roman" w:hAnsi="Times New Roman" w:cs="Times New Roman"/>
          <w:lang w:val="en-US"/>
        </w:rPr>
        <w:t xml:space="preserve"> Epic Systems develops EHRs and currently covers more than 250 million patients.</w:t>
      </w:r>
      <w:r w:rsidR="00DC21DE">
        <w:rPr>
          <w:rStyle w:val="FootnoteReference"/>
          <w:rFonts w:ascii="Times New Roman" w:hAnsi="Times New Roman"/>
          <w:lang w:val="en-US"/>
        </w:rPr>
        <w:footnoteReference w:id="54"/>
      </w:r>
      <w:r w:rsidR="00A574B6">
        <w:rPr>
          <w:rFonts w:ascii="Times New Roman" w:hAnsi="Times New Roman" w:cs="Times New Roman"/>
          <w:lang w:val="en-US"/>
        </w:rPr>
        <w:t xml:space="preserve"> </w:t>
      </w:r>
      <w:r w:rsidR="00276E1D">
        <w:rPr>
          <w:rFonts w:ascii="Times New Roman" w:hAnsi="Times New Roman" w:cs="Times New Roman"/>
          <w:lang w:val="en-US"/>
        </w:rPr>
        <w:t>H+H aims to have Epic used at all of their patient care facilities, including 11 hospitals, 4 long-term care facilities, 6 diagnostic treatment centers, and more than 70 community-based clinics.</w:t>
      </w:r>
      <w:r w:rsidR="00276E1D">
        <w:rPr>
          <w:rStyle w:val="FootnoteReference"/>
          <w:rFonts w:ascii="Times New Roman" w:hAnsi="Times New Roman"/>
          <w:lang w:val="en-US"/>
        </w:rPr>
        <w:footnoteReference w:id="55"/>
      </w:r>
      <w:r w:rsidR="00276E1D">
        <w:rPr>
          <w:rFonts w:ascii="Times New Roman" w:hAnsi="Times New Roman" w:cs="Times New Roman"/>
          <w:lang w:val="en-US"/>
        </w:rPr>
        <w:t xml:space="preserve"> </w:t>
      </w:r>
      <w:r w:rsidR="008A0F79">
        <w:rPr>
          <w:rFonts w:ascii="Times New Roman" w:hAnsi="Times New Roman" w:cs="Times New Roman"/>
          <w:lang w:val="en-US"/>
        </w:rPr>
        <w:t>H+H hopes to have Epic at every site by the end of 2019.</w:t>
      </w:r>
      <w:r w:rsidR="008A0F79">
        <w:rPr>
          <w:rStyle w:val="FootnoteReference"/>
          <w:rFonts w:ascii="Times New Roman" w:hAnsi="Times New Roman"/>
          <w:lang w:val="en-US"/>
        </w:rPr>
        <w:footnoteReference w:id="56"/>
      </w:r>
      <w:r w:rsidR="008A0F79">
        <w:rPr>
          <w:rFonts w:ascii="Times New Roman" w:hAnsi="Times New Roman" w:cs="Times New Roman"/>
          <w:lang w:val="en-US"/>
        </w:rPr>
        <w:t xml:space="preserve"> </w:t>
      </w:r>
      <w:r w:rsidR="004D2B5E">
        <w:rPr>
          <w:rFonts w:ascii="Times New Roman" w:hAnsi="Times New Roman" w:cs="Times New Roman"/>
          <w:lang w:val="en-US"/>
        </w:rPr>
        <w:t xml:space="preserve">H+H has discussed Epic at multiple Council hearings, such as a hearing in November 2018, where H+H testified that they are </w:t>
      </w:r>
      <w:r w:rsidR="004D2B5E">
        <w:rPr>
          <w:rFonts w:ascii="Times New Roman" w:hAnsi="Times New Roman" w:cs="Times New Roman"/>
          <w:lang w:val="en-US"/>
        </w:rPr>
        <w:lastRenderedPageBreak/>
        <w:t>transforming their Epic systems to better meet the needs of those who are transgender and gender non-conforming (TGNC).</w:t>
      </w:r>
      <w:r w:rsidR="004D2B5E">
        <w:rPr>
          <w:rStyle w:val="FootnoteReference"/>
          <w:rFonts w:ascii="Times New Roman" w:hAnsi="Times New Roman"/>
          <w:lang w:val="en-US"/>
        </w:rPr>
        <w:footnoteReference w:id="57"/>
      </w:r>
    </w:p>
    <w:p w:rsidR="00731D54" w:rsidRDefault="00276E1D" w:rsidP="008A0F79">
      <w:pPr>
        <w:pStyle w:val="Body"/>
        <w:spacing w:after="0" w:line="480" w:lineRule="auto"/>
        <w:ind w:firstLine="720"/>
        <w:contextualSpacing/>
        <w:jc w:val="both"/>
        <w:rPr>
          <w:rFonts w:ascii="Times New Roman" w:hAnsi="Times New Roman" w:cs="Times New Roman"/>
          <w:lang w:val="en-US"/>
        </w:rPr>
      </w:pPr>
      <w:r>
        <w:rPr>
          <w:rFonts w:ascii="Times New Roman" w:hAnsi="Times New Roman" w:cs="Times New Roman"/>
          <w:lang w:val="en-US"/>
        </w:rPr>
        <w:t>H+H’s Enterprise Information Technology Services (EITS) group is responsible for implementing Epic throughout all H+H sites.</w:t>
      </w:r>
      <w:r>
        <w:rPr>
          <w:rStyle w:val="FootnoteReference"/>
          <w:rFonts w:ascii="Times New Roman" w:hAnsi="Times New Roman"/>
          <w:lang w:val="en-US"/>
        </w:rPr>
        <w:footnoteReference w:id="58"/>
      </w:r>
      <w:r w:rsidR="008A0F79">
        <w:rPr>
          <w:rFonts w:ascii="Times New Roman" w:hAnsi="Times New Roman" w:cs="Times New Roman"/>
          <w:lang w:val="en-US"/>
        </w:rPr>
        <w:t xml:space="preserve"> An audit performed by New York City Comptroller Scott M. Stringer found that, </w:t>
      </w:r>
      <w:r w:rsidR="008A0F79" w:rsidRPr="008A0F79">
        <w:rPr>
          <w:rFonts w:ascii="Times New Roman" w:hAnsi="Times New Roman" w:cs="Times New Roman"/>
          <w:lang w:val="en-US"/>
        </w:rPr>
        <w:t xml:space="preserve">although EITS maintains a 24-hour, 7-days-per-week, agency-wide helpdesk facility to support users in need </w:t>
      </w:r>
      <w:r w:rsidR="008A0F79">
        <w:rPr>
          <w:rFonts w:ascii="Times New Roman" w:hAnsi="Times New Roman" w:cs="Times New Roman"/>
          <w:lang w:val="en-US"/>
        </w:rPr>
        <w:t xml:space="preserve">of technical assistance, </w:t>
      </w:r>
      <w:r w:rsidR="008A0F79" w:rsidRPr="008A0F79">
        <w:rPr>
          <w:rFonts w:ascii="Times New Roman" w:hAnsi="Times New Roman" w:cs="Times New Roman"/>
          <w:lang w:val="en-US"/>
        </w:rPr>
        <w:t>the average time frames in which it resolved higher-priority service-restoration issues affecting the Epic E</w:t>
      </w:r>
      <w:r w:rsidR="008A0F79">
        <w:rPr>
          <w:rFonts w:ascii="Times New Roman" w:hAnsi="Times New Roman" w:cs="Times New Roman"/>
          <w:lang w:val="en-US"/>
        </w:rPr>
        <w:t>H</w:t>
      </w:r>
      <w:r w:rsidR="008A0F79" w:rsidRPr="008A0F79">
        <w:rPr>
          <w:rFonts w:ascii="Times New Roman" w:hAnsi="Times New Roman" w:cs="Times New Roman"/>
          <w:lang w:val="en-US"/>
        </w:rPr>
        <w:t xml:space="preserve">R at Elmhurst </w:t>
      </w:r>
      <w:r w:rsidR="008A0F79">
        <w:rPr>
          <w:rFonts w:ascii="Times New Roman" w:hAnsi="Times New Roman" w:cs="Times New Roman"/>
          <w:lang w:val="en-US"/>
        </w:rPr>
        <w:t xml:space="preserve">Hospital </w:t>
      </w:r>
      <w:r w:rsidR="008A0F79" w:rsidRPr="008A0F79">
        <w:rPr>
          <w:rFonts w:ascii="Times New Roman" w:hAnsi="Times New Roman" w:cs="Times New Roman"/>
          <w:lang w:val="en-US"/>
        </w:rPr>
        <w:t>significantly exceeded its own targets</w:t>
      </w:r>
      <w:r w:rsidR="008A0F79">
        <w:rPr>
          <w:rFonts w:ascii="Times New Roman" w:hAnsi="Times New Roman" w:cs="Times New Roman"/>
          <w:lang w:val="en-US"/>
        </w:rPr>
        <w:t>.</w:t>
      </w:r>
      <w:r w:rsidR="008A0F79">
        <w:rPr>
          <w:rStyle w:val="FootnoteReference"/>
          <w:rFonts w:ascii="Times New Roman" w:hAnsi="Times New Roman"/>
          <w:lang w:val="en-US"/>
        </w:rPr>
        <w:footnoteReference w:id="59"/>
      </w:r>
      <w:r w:rsidR="009B6D82">
        <w:rPr>
          <w:rFonts w:ascii="Times New Roman" w:hAnsi="Times New Roman" w:cs="Times New Roman"/>
          <w:lang w:val="en-US"/>
        </w:rPr>
        <w:t xml:space="preserve"> </w:t>
      </w:r>
    </w:p>
    <w:p w:rsidR="00601A3F" w:rsidRPr="0008635C" w:rsidRDefault="00601A3F" w:rsidP="00C3096B">
      <w:pPr>
        <w:spacing w:line="480" w:lineRule="auto"/>
        <w:contextualSpacing/>
        <w:jc w:val="both"/>
        <w:rPr>
          <w:b/>
          <w:strike/>
        </w:rPr>
      </w:pPr>
      <w:r w:rsidRPr="0008635C">
        <w:rPr>
          <w:b/>
        </w:rPr>
        <w:t>IV.</w:t>
      </w:r>
      <w:r w:rsidRPr="0008635C">
        <w:rPr>
          <w:b/>
        </w:rPr>
        <w:tab/>
        <w:t>CONCLUSION</w:t>
      </w:r>
    </w:p>
    <w:p w:rsidR="00601A3F" w:rsidRPr="0008635C" w:rsidRDefault="00601A3F" w:rsidP="00C3096B">
      <w:pPr>
        <w:widowControl w:val="0"/>
        <w:suppressLineNumbers/>
        <w:autoSpaceDE w:val="0"/>
        <w:autoSpaceDN w:val="0"/>
        <w:adjustRightInd w:val="0"/>
        <w:spacing w:line="480" w:lineRule="auto"/>
        <w:ind w:firstLine="720"/>
        <w:contextualSpacing/>
        <w:jc w:val="both"/>
        <w:rPr>
          <w:bCs/>
        </w:rPr>
      </w:pPr>
      <w:r w:rsidRPr="0008635C">
        <w:t xml:space="preserve">The Committees look forward to hearing testimony from </w:t>
      </w:r>
      <w:r w:rsidR="00563BEE">
        <w:t>H+H</w:t>
      </w:r>
      <w:r w:rsidRPr="0008635C">
        <w:t>, advocacy groups, community-based non-profit organizations, and other interested members of the public</w:t>
      </w:r>
      <w:r w:rsidRPr="0008635C">
        <w:rPr>
          <w:bCs/>
        </w:rPr>
        <w:t>.</w:t>
      </w:r>
      <w:r w:rsidR="0063505B">
        <w:rPr>
          <w:bCs/>
        </w:rPr>
        <w:t xml:space="preserve"> The Committee hopes to learn more about the Epic roll out at H+H, specifically how the roll-out has progressed, how they see Epic helping with care quality, and how they plan to keep their EHRs secure. </w:t>
      </w:r>
    </w:p>
    <w:p w:rsidR="00692FE0" w:rsidRPr="0008635C" w:rsidRDefault="00692FE0" w:rsidP="00692FE0">
      <w:pPr>
        <w:spacing w:line="480" w:lineRule="auto"/>
        <w:jc w:val="both"/>
      </w:pPr>
    </w:p>
    <w:p w:rsidR="00990C80" w:rsidRPr="0008635C" w:rsidRDefault="00990C80" w:rsidP="009D5677"/>
    <w:sectPr w:rsidR="00990C80" w:rsidRPr="0008635C" w:rsidSect="009D5677">
      <w:headerReference w:type="default" r:id="rId13"/>
      <w:footerReference w:type="default" r:id="rId14"/>
      <w:head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AE" w:rsidRDefault="00691BAE" w:rsidP="00AE2AC8">
      <w:r>
        <w:separator/>
      </w:r>
    </w:p>
  </w:endnote>
  <w:endnote w:type="continuationSeparator" w:id="0">
    <w:p w:rsidR="00691BAE" w:rsidRDefault="00691BAE" w:rsidP="00AE2AC8">
      <w:r>
        <w:continuationSeparator/>
      </w:r>
    </w:p>
  </w:endnote>
  <w:endnote w:type="continuationNotice" w:id="1">
    <w:p w:rsidR="00691BAE" w:rsidRDefault="0069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F" w:rsidRDefault="00D2132F">
    <w:pPr>
      <w:pStyle w:val="Footer"/>
      <w:jc w:val="center"/>
    </w:pPr>
    <w:r>
      <w:fldChar w:fldCharType="begin"/>
    </w:r>
    <w:r>
      <w:instrText xml:space="preserve"> PAGE   \* MERGEFORMAT </w:instrText>
    </w:r>
    <w:r>
      <w:fldChar w:fldCharType="separate"/>
    </w:r>
    <w:r w:rsidR="006F308F">
      <w:rPr>
        <w:noProof/>
      </w:rPr>
      <w:t>10</w:t>
    </w:r>
    <w:r>
      <w:rPr>
        <w:noProof/>
      </w:rPr>
      <w:fldChar w:fldCharType="end"/>
    </w:r>
  </w:p>
  <w:p w:rsidR="00D2132F" w:rsidRDefault="00D2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AE" w:rsidRDefault="00691BAE" w:rsidP="00AE2AC8">
      <w:r>
        <w:separator/>
      </w:r>
    </w:p>
  </w:footnote>
  <w:footnote w:type="continuationSeparator" w:id="0">
    <w:p w:rsidR="00691BAE" w:rsidRDefault="00691BAE" w:rsidP="00AE2AC8">
      <w:r>
        <w:continuationSeparator/>
      </w:r>
    </w:p>
  </w:footnote>
  <w:footnote w:type="continuationNotice" w:id="1">
    <w:p w:rsidR="00691BAE" w:rsidRDefault="00691BAE"/>
  </w:footnote>
  <w:footnote w:id="2">
    <w:p w:rsidR="009276AF" w:rsidRDefault="009276AF">
      <w:pPr>
        <w:pStyle w:val="FootnoteText"/>
      </w:pPr>
      <w:r>
        <w:rPr>
          <w:rStyle w:val="FootnoteReference"/>
        </w:rPr>
        <w:footnoteRef/>
      </w:r>
      <w:r>
        <w:t xml:space="preserve"> </w:t>
      </w:r>
      <w:r w:rsidRPr="0062242C">
        <w:rPr>
          <w:i/>
          <w:szCs w:val="18"/>
        </w:rPr>
        <w:t xml:space="preserve">What is an </w:t>
      </w:r>
      <w:r w:rsidR="0062242C">
        <w:rPr>
          <w:i/>
          <w:szCs w:val="18"/>
        </w:rPr>
        <w:t>Electronic Health R</w:t>
      </w:r>
      <w:r w:rsidRPr="0062242C">
        <w:rPr>
          <w:i/>
          <w:szCs w:val="18"/>
        </w:rPr>
        <w:t>ecord</w:t>
      </w:r>
      <w:r>
        <w:rPr>
          <w:szCs w:val="18"/>
        </w:rPr>
        <w:t xml:space="preserve"> </w:t>
      </w:r>
      <w:r w:rsidRPr="0062242C">
        <w:rPr>
          <w:i/>
          <w:szCs w:val="18"/>
        </w:rPr>
        <w:t xml:space="preserve">(EHR)?, </w:t>
      </w:r>
      <w:r>
        <w:rPr>
          <w:szCs w:val="18"/>
        </w:rPr>
        <w:t xml:space="preserve">The Office of National Coordinator for Health Information Technology (ONC), September 10, 2019, available at </w:t>
      </w:r>
      <w:hyperlink r:id="rId1" w:history="1">
        <w:r>
          <w:rPr>
            <w:rStyle w:val="Hyperlink"/>
          </w:rPr>
          <w:t>https://www.healthit.gov/faq/what-electronic-health-record-ehr</w:t>
        </w:r>
      </w:hyperlink>
      <w:r w:rsidR="0062242C">
        <w:t>.</w:t>
      </w:r>
    </w:p>
  </w:footnote>
  <w:footnote w:id="3">
    <w:p w:rsidR="002C46C7" w:rsidRPr="002C46C7" w:rsidRDefault="002C46C7">
      <w:pPr>
        <w:pStyle w:val="FootnoteText"/>
        <w:rPr>
          <w:i/>
        </w:rPr>
      </w:pPr>
      <w:r>
        <w:rPr>
          <w:rStyle w:val="FootnoteReference"/>
        </w:rPr>
        <w:footnoteRef/>
      </w:r>
      <w:r>
        <w:t xml:space="preserve"> </w:t>
      </w:r>
      <w:r>
        <w:rPr>
          <w:i/>
        </w:rPr>
        <w:t>Id.</w:t>
      </w:r>
    </w:p>
  </w:footnote>
  <w:footnote w:id="4">
    <w:p w:rsidR="00C9492A" w:rsidRPr="00616E95" w:rsidRDefault="00C9492A">
      <w:pPr>
        <w:pStyle w:val="FootnoteText"/>
        <w:rPr>
          <w:szCs w:val="18"/>
        </w:rPr>
      </w:pPr>
      <w:r w:rsidRPr="00616E95">
        <w:rPr>
          <w:rStyle w:val="FootnoteReference"/>
          <w:szCs w:val="18"/>
        </w:rPr>
        <w:footnoteRef/>
      </w:r>
      <w:r w:rsidRPr="00616E95">
        <w:rPr>
          <w:szCs w:val="18"/>
        </w:rPr>
        <w:t xml:space="preserve"> </w:t>
      </w:r>
      <w:r w:rsidR="009276AF">
        <w:rPr>
          <w:i/>
          <w:szCs w:val="18"/>
        </w:rPr>
        <w:t>Id.</w:t>
      </w:r>
    </w:p>
  </w:footnote>
  <w:footnote w:id="5">
    <w:p w:rsidR="00A016E3" w:rsidRPr="00A016E3" w:rsidRDefault="00A016E3">
      <w:pPr>
        <w:pStyle w:val="FootnoteText"/>
      </w:pPr>
      <w:r>
        <w:rPr>
          <w:rStyle w:val="FootnoteReference"/>
        </w:rPr>
        <w:footnoteRef/>
      </w:r>
      <w:r>
        <w:t xml:space="preserve"> R. S. Evans, </w:t>
      </w:r>
      <w:r>
        <w:rPr>
          <w:i/>
        </w:rPr>
        <w:t>Electronic Health Records: Then, Now, and in the Future</w:t>
      </w:r>
      <w:r>
        <w:t xml:space="preserve">, </w:t>
      </w:r>
      <w:r w:rsidRPr="00A016E3">
        <w:t>Yearb Med Inform</w:t>
      </w:r>
      <w:r>
        <w:t>,</w:t>
      </w:r>
      <w:r w:rsidRPr="00A016E3">
        <w:t> 2016; (Suppl 1): S48–S61</w:t>
      </w:r>
      <w:r>
        <w:t>, Published online 2016 May 20,</w:t>
      </w:r>
      <w:r w:rsidRPr="00A016E3">
        <w:t> doi: 10.15265/IYS-2016-s006</w:t>
      </w:r>
      <w:r>
        <w:t xml:space="preserve">, available at </w:t>
      </w:r>
      <w:hyperlink r:id="rId2" w:history="1">
        <w:r>
          <w:rPr>
            <w:rStyle w:val="Hyperlink"/>
          </w:rPr>
          <w:t>https://www.ncbi.nlm.nih.gov/pmc/articles/PMC5171496/</w:t>
        </w:r>
      </w:hyperlink>
      <w:r w:rsidR="00C00B16">
        <w:t xml:space="preserve"> (hereinafter Evans).</w:t>
      </w:r>
    </w:p>
  </w:footnote>
  <w:footnote w:id="6">
    <w:p w:rsidR="00EA63BB" w:rsidRPr="00EA63BB" w:rsidRDefault="00EA63BB">
      <w:pPr>
        <w:pStyle w:val="FootnoteText"/>
        <w:rPr>
          <w:i/>
        </w:rPr>
      </w:pPr>
      <w:r>
        <w:rPr>
          <w:rStyle w:val="FootnoteReference"/>
        </w:rPr>
        <w:footnoteRef/>
      </w:r>
      <w:r>
        <w:t xml:space="preserve"> </w:t>
      </w:r>
      <w:r>
        <w:rPr>
          <w:i/>
        </w:rPr>
        <w:t>Id.</w:t>
      </w:r>
    </w:p>
  </w:footnote>
  <w:footnote w:id="7">
    <w:p w:rsidR="00EA7502" w:rsidRPr="00EA7502" w:rsidRDefault="00EA7502">
      <w:pPr>
        <w:pStyle w:val="FootnoteText"/>
        <w:rPr>
          <w:i/>
        </w:rPr>
      </w:pPr>
      <w:r>
        <w:rPr>
          <w:rStyle w:val="FootnoteReference"/>
        </w:rPr>
        <w:footnoteRef/>
      </w:r>
      <w:r>
        <w:t xml:space="preserve"> </w:t>
      </w:r>
      <w:r>
        <w:rPr>
          <w:i/>
        </w:rPr>
        <w:t>Id.</w:t>
      </w:r>
    </w:p>
  </w:footnote>
  <w:footnote w:id="8">
    <w:p w:rsidR="00952497" w:rsidRDefault="00952497">
      <w:pPr>
        <w:pStyle w:val="FootnoteText"/>
      </w:pPr>
      <w:r>
        <w:rPr>
          <w:rStyle w:val="FootnoteReference"/>
        </w:rPr>
        <w:footnoteRef/>
      </w:r>
      <w:r>
        <w:t xml:space="preserve"> Munana, C., et al., </w:t>
      </w:r>
      <w:r>
        <w:rPr>
          <w:i/>
        </w:rPr>
        <w:t xml:space="preserve">Data Note: Public’s Experiences With Electronic Health Records, </w:t>
      </w:r>
      <w:r>
        <w:t xml:space="preserve">Kaiser Family Foundation, March 18, 2019, available at </w:t>
      </w:r>
      <w:hyperlink r:id="rId3" w:history="1">
        <w:r>
          <w:rPr>
            <w:rStyle w:val="Hyperlink"/>
          </w:rPr>
          <w:t>https://www.kff.org/other/poll-finding/data-note-publics-experiences-with-electronic-health-records/</w:t>
        </w:r>
      </w:hyperlink>
      <w:r w:rsidR="00C00B16">
        <w:t xml:space="preserve"> (hereinafter Munana).</w:t>
      </w:r>
    </w:p>
  </w:footnote>
  <w:footnote w:id="9">
    <w:p w:rsidR="00802AAE" w:rsidRPr="00952497" w:rsidRDefault="00802AAE">
      <w:pPr>
        <w:pStyle w:val="FootnoteText"/>
        <w:rPr>
          <w:i/>
        </w:rPr>
      </w:pPr>
      <w:r>
        <w:rPr>
          <w:rStyle w:val="FootnoteReference"/>
        </w:rPr>
        <w:footnoteRef/>
      </w:r>
      <w:r>
        <w:t xml:space="preserve"> </w:t>
      </w:r>
      <w:r w:rsidR="00952497">
        <w:rPr>
          <w:i/>
        </w:rPr>
        <w:t xml:space="preserve">Id. </w:t>
      </w:r>
    </w:p>
  </w:footnote>
  <w:footnote w:id="10">
    <w:p w:rsidR="00EA7502" w:rsidRPr="00EA7502" w:rsidRDefault="00EA7502">
      <w:pPr>
        <w:pStyle w:val="FootnoteText"/>
        <w:rPr>
          <w:i/>
        </w:rPr>
      </w:pPr>
      <w:r>
        <w:rPr>
          <w:rStyle w:val="FootnoteReference"/>
        </w:rPr>
        <w:footnoteRef/>
      </w:r>
      <w:r>
        <w:t xml:space="preserve"> </w:t>
      </w:r>
      <w:r w:rsidR="00C00B16">
        <w:t xml:space="preserve">Evans, </w:t>
      </w:r>
      <w:r w:rsidR="00C00B16">
        <w:rPr>
          <w:i/>
        </w:rPr>
        <w:t xml:space="preserve">supra </w:t>
      </w:r>
      <w:r w:rsidR="00C00B16">
        <w:t xml:space="preserve">note 4. </w:t>
      </w:r>
    </w:p>
  </w:footnote>
  <w:footnote w:id="11">
    <w:p w:rsidR="008F2089" w:rsidRDefault="008F2089">
      <w:pPr>
        <w:pStyle w:val="FootnoteText"/>
      </w:pPr>
      <w:r>
        <w:rPr>
          <w:rStyle w:val="FootnoteReference"/>
        </w:rPr>
        <w:footnoteRef/>
      </w:r>
      <w:r>
        <w:t xml:space="preserve"> Munana, </w:t>
      </w:r>
      <w:r w:rsidR="00C00B16">
        <w:rPr>
          <w:i/>
        </w:rPr>
        <w:t xml:space="preserve">supra </w:t>
      </w:r>
      <w:r w:rsidR="00C00B16">
        <w:t xml:space="preserve">note 7. </w:t>
      </w:r>
    </w:p>
  </w:footnote>
  <w:footnote w:id="12">
    <w:p w:rsidR="008F2089" w:rsidRPr="008F2089" w:rsidRDefault="008F2089">
      <w:pPr>
        <w:pStyle w:val="FootnoteText"/>
        <w:rPr>
          <w:i/>
        </w:rPr>
      </w:pPr>
      <w:r>
        <w:rPr>
          <w:rStyle w:val="FootnoteReference"/>
        </w:rPr>
        <w:footnoteRef/>
      </w:r>
      <w:r>
        <w:t xml:space="preserve"> </w:t>
      </w:r>
      <w:r>
        <w:rPr>
          <w:i/>
        </w:rPr>
        <w:t>Id.</w:t>
      </w:r>
    </w:p>
  </w:footnote>
  <w:footnote w:id="13">
    <w:p w:rsidR="00F7564F" w:rsidRPr="00F7564F" w:rsidRDefault="00F7564F">
      <w:pPr>
        <w:pStyle w:val="FootnoteText"/>
        <w:rPr>
          <w:i/>
        </w:rPr>
      </w:pPr>
      <w:r>
        <w:rPr>
          <w:rStyle w:val="FootnoteReference"/>
        </w:rPr>
        <w:footnoteRef/>
      </w:r>
      <w:r>
        <w:t xml:space="preserve"> </w:t>
      </w:r>
      <w:r>
        <w:rPr>
          <w:i/>
        </w:rPr>
        <w:t xml:space="preserve">Id. </w:t>
      </w:r>
    </w:p>
  </w:footnote>
  <w:footnote w:id="14">
    <w:p w:rsidR="007808AD" w:rsidRPr="007808AD" w:rsidRDefault="007808AD">
      <w:pPr>
        <w:pStyle w:val="FootnoteText"/>
        <w:rPr>
          <w:i/>
        </w:rPr>
      </w:pPr>
      <w:r>
        <w:rPr>
          <w:rStyle w:val="FootnoteReference"/>
        </w:rPr>
        <w:footnoteRef/>
      </w:r>
      <w:r>
        <w:t xml:space="preserve"> </w:t>
      </w:r>
      <w:r>
        <w:rPr>
          <w:i/>
        </w:rPr>
        <w:t xml:space="preserve">Id. </w:t>
      </w:r>
    </w:p>
  </w:footnote>
  <w:footnote w:id="15">
    <w:p w:rsidR="009A3947" w:rsidRPr="009A3947" w:rsidRDefault="009A3947">
      <w:pPr>
        <w:pStyle w:val="FootnoteText"/>
        <w:rPr>
          <w:i/>
        </w:rPr>
      </w:pPr>
      <w:r>
        <w:rPr>
          <w:rStyle w:val="FootnoteReference"/>
        </w:rPr>
        <w:footnoteRef/>
      </w:r>
      <w:r>
        <w:t xml:space="preserve"> </w:t>
      </w:r>
      <w:r>
        <w:rPr>
          <w:i/>
        </w:rPr>
        <w:t xml:space="preserve">Id. </w:t>
      </w:r>
    </w:p>
  </w:footnote>
  <w:footnote w:id="16">
    <w:p w:rsidR="00F3476F" w:rsidRPr="00F3476F" w:rsidRDefault="00F3476F">
      <w:pPr>
        <w:pStyle w:val="FootnoteText"/>
        <w:rPr>
          <w:i/>
        </w:rPr>
      </w:pPr>
      <w:r>
        <w:rPr>
          <w:rStyle w:val="FootnoteReference"/>
        </w:rPr>
        <w:footnoteRef/>
      </w:r>
      <w:r>
        <w:t xml:space="preserve"> </w:t>
      </w:r>
      <w:r>
        <w:rPr>
          <w:i/>
        </w:rPr>
        <w:t xml:space="preserve">Id. </w:t>
      </w:r>
    </w:p>
  </w:footnote>
  <w:footnote w:id="17">
    <w:p w:rsidR="00F3476F" w:rsidRPr="00F3476F" w:rsidRDefault="00F3476F">
      <w:pPr>
        <w:pStyle w:val="FootnoteText"/>
      </w:pPr>
      <w:r>
        <w:rPr>
          <w:rStyle w:val="FootnoteReference"/>
        </w:rPr>
        <w:footnoteRef/>
      </w:r>
      <w:r>
        <w:t xml:space="preserve"> Ofri, D., </w:t>
      </w:r>
      <w:r>
        <w:rPr>
          <w:i/>
        </w:rPr>
        <w:t>The EMR has changed the doctor-patient duet into a menage-a-trois</w:t>
      </w:r>
      <w:r>
        <w:t xml:space="preserve">, STAT News, October 31, 2019, available at </w:t>
      </w:r>
      <w:hyperlink r:id="rId4" w:history="1">
        <w:r>
          <w:rPr>
            <w:rStyle w:val="Hyperlink"/>
          </w:rPr>
          <w:t>https://www.statnews.com/2019/10/31/emr-changed-doctor-patient-duet-into-menage-a-trois/?utm_source=STAT+Newsletters&amp;utm_campaign=dadf2f9acd-MR_COPY_02&amp;utm_medium=email&amp;utm_term=0_8cab1d7961-dadf2f9acd-151778981</w:t>
        </w:r>
      </w:hyperlink>
      <w:r w:rsidR="0062242C">
        <w:t>.</w:t>
      </w:r>
      <w:r>
        <w:t xml:space="preserve"> </w:t>
      </w:r>
    </w:p>
  </w:footnote>
  <w:footnote w:id="18">
    <w:p w:rsidR="002A4FEB" w:rsidRPr="002A4FEB" w:rsidRDefault="002A4FEB">
      <w:pPr>
        <w:pStyle w:val="FootnoteText"/>
      </w:pPr>
      <w:r>
        <w:rPr>
          <w:rStyle w:val="FootnoteReference"/>
        </w:rPr>
        <w:footnoteRef/>
      </w:r>
      <w:r>
        <w:t xml:space="preserve"> Yanamadala, S., et al., </w:t>
      </w:r>
      <w:r>
        <w:rPr>
          <w:i/>
        </w:rPr>
        <w:t>Electronic Health Records and Quality of Care: An Observational Study Modeling Impact on Mortality, Readmissions, and Complications</w:t>
      </w:r>
      <w:r>
        <w:t xml:space="preserve">, Medicine (Baltimore), 2016 May; 95(19): e3332, published online 2016 May 13, doi: </w:t>
      </w:r>
      <w:r w:rsidRPr="002A4FEB">
        <w:t>10.1097/MD.0000000000003332</w:t>
      </w:r>
      <w:r>
        <w:t xml:space="preserve">, available at </w:t>
      </w:r>
      <w:hyperlink r:id="rId5" w:history="1">
        <w:r>
          <w:rPr>
            <w:rStyle w:val="Hyperlink"/>
          </w:rPr>
          <w:t>https://www.ncbi.nlm.nih.gov/pmc/articles/PMC4902473/</w:t>
        </w:r>
      </w:hyperlink>
      <w:r w:rsidR="0062242C">
        <w:t>.</w:t>
      </w:r>
    </w:p>
  </w:footnote>
  <w:footnote w:id="19">
    <w:p w:rsidR="002A4FEB" w:rsidRPr="002A4FEB" w:rsidRDefault="002A4FEB">
      <w:pPr>
        <w:pStyle w:val="FootnoteText"/>
        <w:rPr>
          <w:i/>
        </w:rPr>
      </w:pPr>
      <w:r>
        <w:rPr>
          <w:rStyle w:val="FootnoteReference"/>
        </w:rPr>
        <w:footnoteRef/>
      </w:r>
      <w:r>
        <w:t xml:space="preserve"> </w:t>
      </w:r>
      <w:r>
        <w:rPr>
          <w:i/>
        </w:rPr>
        <w:t xml:space="preserve">Id. </w:t>
      </w:r>
    </w:p>
  </w:footnote>
  <w:footnote w:id="20">
    <w:p w:rsidR="00C124A4" w:rsidRPr="003E7645" w:rsidRDefault="00C124A4">
      <w:pPr>
        <w:pStyle w:val="FootnoteText"/>
      </w:pPr>
      <w:r>
        <w:rPr>
          <w:rStyle w:val="FootnoteReference"/>
        </w:rPr>
        <w:footnoteRef/>
      </w:r>
      <w:r>
        <w:t xml:space="preserve"> Cohen, D., et al., </w:t>
      </w:r>
      <w:r w:rsidR="003E7645">
        <w:rPr>
          <w:i/>
        </w:rPr>
        <w:t>Primary Care Practices’ Abilities And Challenges In Using Electronic Health Record Data for Quality Improvement</w:t>
      </w:r>
      <w:r w:rsidR="003E7645">
        <w:t xml:space="preserve">, HealthAffairs, April 2018, available at </w:t>
      </w:r>
      <w:hyperlink r:id="rId6" w:history="1">
        <w:r w:rsidR="003E7645">
          <w:rPr>
            <w:rStyle w:val="Hyperlink"/>
          </w:rPr>
          <w:t>https://www.healthaffairs.org/doi/pdf/10.1377/hlthaff.2017.1254</w:t>
        </w:r>
      </w:hyperlink>
      <w:r w:rsidR="0062242C">
        <w:t>.</w:t>
      </w:r>
      <w:r w:rsidR="003E7645">
        <w:t xml:space="preserve"> </w:t>
      </w:r>
    </w:p>
  </w:footnote>
  <w:footnote w:id="21">
    <w:p w:rsidR="00D2132F" w:rsidRPr="00616E95" w:rsidRDefault="00D2132F" w:rsidP="00692FE0">
      <w:pPr>
        <w:pStyle w:val="FootnoteText"/>
        <w:rPr>
          <w:szCs w:val="18"/>
        </w:rPr>
      </w:pPr>
      <w:r w:rsidRPr="00616E95">
        <w:rPr>
          <w:rStyle w:val="FootnoteReference"/>
          <w:szCs w:val="18"/>
        </w:rPr>
        <w:footnoteRef/>
      </w:r>
      <w:r w:rsidRPr="00616E95">
        <w:rPr>
          <w:szCs w:val="18"/>
        </w:rPr>
        <w:t xml:space="preserve"> Guide to Privacy and Security of Electronic Health Information, Understanding Electronic Health Records, the HIPAA Security Rule, and Cybersecurity, </w:t>
      </w:r>
      <w:hyperlink r:id="rId7" w:history="1">
        <w:r w:rsidRPr="00616E95">
          <w:rPr>
            <w:rStyle w:val="Hyperlink"/>
            <w:szCs w:val="18"/>
          </w:rPr>
          <w:t>https://www.healthit.gov/sites/default/files/pdf/privacy/privacy-and-security-guide-chapter-4.pdf</w:t>
        </w:r>
      </w:hyperlink>
      <w:r w:rsidRPr="00616E95">
        <w:rPr>
          <w:szCs w:val="18"/>
        </w:rPr>
        <w:t xml:space="preserve">. </w:t>
      </w:r>
    </w:p>
  </w:footnote>
  <w:footnote w:id="22">
    <w:p w:rsidR="00D2132F" w:rsidRPr="00AE350B" w:rsidRDefault="00D2132F" w:rsidP="00AE350B">
      <w:pPr>
        <w:shd w:val="clear" w:color="auto" w:fill="FFFFFF"/>
        <w:rPr>
          <w:color w:val="000000"/>
          <w:sz w:val="20"/>
          <w:szCs w:val="20"/>
        </w:rPr>
      </w:pPr>
      <w:r w:rsidRPr="00D2132F">
        <w:rPr>
          <w:rStyle w:val="FootnoteReference"/>
          <w:sz w:val="20"/>
          <w:szCs w:val="20"/>
        </w:rPr>
        <w:footnoteRef/>
      </w:r>
      <w:r w:rsidRPr="00D2132F">
        <w:rPr>
          <w:sz w:val="20"/>
          <w:szCs w:val="20"/>
        </w:rPr>
        <w:t xml:space="preserve"> </w:t>
      </w:r>
      <w:r w:rsidRPr="00D2132F">
        <w:rPr>
          <w:rStyle w:val="Emphasis"/>
          <w:color w:val="212121"/>
          <w:sz w:val="20"/>
          <w:szCs w:val="20"/>
        </w:rPr>
        <w:t>Addressing Gaps in </w:t>
      </w:r>
      <w:r w:rsidRPr="00D2132F">
        <w:rPr>
          <w:rStyle w:val="cosearchterm"/>
          <w:bCs/>
          <w:i/>
          <w:iCs/>
          <w:color w:val="252525"/>
          <w:sz w:val="20"/>
          <w:szCs w:val="20"/>
        </w:rPr>
        <w:t>Cybersecurity</w:t>
      </w:r>
      <w:r w:rsidRPr="00D2132F">
        <w:rPr>
          <w:rStyle w:val="Emphasis"/>
          <w:color w:val="212121"/>
          <w:sz w:val="20"/>
          <w:szCs w:val="20"/>
        </w:rPr>
        <w:t>: OCR Releases Crosswalk Between </w:t>
      </w:r>
      <w:r w:rsidRPr="00D2132F">
        <w:rPr>
          <w:rStyle w:val="cosearchterm"/>
          <w:bCs/>
          <w:i/>
          <w:iCs/>
          <w:color w:val="252525"/>
          <w:sz w:val="20"/>
          <w:szCs w:val="20"/>
        </w:rPr>
        <w:t>HIPAA</w:t>
      </w:r>
      <w:r w:rsidRPr="00D2132F">
        <w:rPr>
          <w:rStyle w:val="Emphasis"/>
          <w:color w:val="212121"/>
          <w:sz w:val="20"/>
          <w:szCs w:val="20"/>
        </w:rPr>
        <w:t> Security Rule and NIST </w:t>
      </w:r>
      <w:r w:rsidRPr="00D2132F">
        <w:rPr>
          <w:rStyle w:val="cosearchterm"/>
          <w:bCs/>
          <w:i/>
          <w:iCs/>
          <w:color w:val="252525"/>
          <w:sz w:val="20"/>
          <w:szCs w:val="20"/>
        </w:rPr>
        <w:t>Cybersecurity</w:t>
      </w:r>
      <w:r w:rsidRPr="00D2132F">
        <w:rPr>
          <w:rStyle w:val="Emphasis"/>
          <w:color w:val="212121"/>
          <w:sz w:val="20"/>
          <w:szCs w:val="20"/>
        </w:rPr>
        <w:t>Framework,</w:t>
      </w:r>
      <w:r w:rsidRPr="00D2132F">
        <w:rPr>
          <w:color w:val="212121"/>
          <w:sz w:val="20"/>
          <w:szCs w:val="20"/>
        </w:rPr>
        <w:t> </w:t>
      </w:r>
      <w:r w:rsidRPr="00D2132F">
        <w:rPr>
          <w:rStyle w:val="cosmallcaps"/>
          <w:caps/>
          <w:color w:val="212121"/>
          <w:sz w:val="20"/>
          <w:szCs w:val="20"/>
        </w:rPr>
        <w:t>U.S. DEP'T. OF HEALTH &amp; HUMAN SERVS</w:t>
      </w:r>
      <w:r w:rsidR="0062242C">
        <w:rPr>
          <w:color w:val="212121"/>
          <w:sz w:val="20"/>
          <w:szCs w:val="20"/>
        </w:rPr>
        <w:t xml:space="preserve">, </w:t>
      </w:r>
      <w:r w:rsidRPr="00D2132F">
        <w:rPr>
          <w:color w:val="212121"/>
          <w:sz w:val="20"/>
          <w:szCs w:val="20"/>
        </w:rPr>
        <w:t xml:space="preserve">Feb. 23, 2016, </w:t>
      </w:r>
      <w:hyperlink r:id="rId8" w:history="1">
        <w:r w:rsidRPr="00D2132F">
          <w:rPr>
            <w:rStyle w:val="Hyperlink"/>
            <w:sz w:val="20"/>
            <w:szCs w:val="20"/>
          </w:rPr>
          <w:t>http://www.hhs.gov/</w:t>
        </w:r>
        <w:r w:rsidRPr="00D2132F">
          <w:rPr>
            <w:rStyle w:val="Hyperlink"/>
            <w:bCs/>
            <w:sz w:val="20"/>
            <w:szCs w:val="20"/>
          </w:rPr>
          <w:t>hipaa</w:t>
        </w:r>
        <w:r w:rsidRPr="00D2132F">
          <w:rPr>
            <w:rStyle w:val="Hyperlink"/>
            <w:sz w:val="20"/>
            <w:szCs w:val="20"/>
          </w:rPr>
          <w:t>/for-professionals/security/nist-security-</w:t>
        </w:r>
        <w:r w:rsidRPr="00D2132F">
          <w:rPr>
            <w:rStyle w:val="Hyperlink"/>
            <w:bCs/>
            <w:sz w:val="20"/>
            <w:szCs w:val="20"/>
          </w:rPr>
          <w:t>hipaa</w:t>
        </w:r>
        <w:r w:rsidRPr="00D2132F">
          <w:rPr>
            <w:rStyle w:val="Hyperlink"/>
            <w:sz w:val="20"/>
            <w:szCs w:val="20"/>
          </w:rPr>
          <w:t>-crosswalk/</w:t>
        </w:r>
      </w:hyperlink>
      <w:r w:rsidRPr="00D2132F">
        <w:rPr>
          <w:color w:val="212121"/>
          <w:sz w:val="20"/>
          <w:szCs w:val="20"/>
        </w:rPr>
        <w:t>.</w:t>
      </w:r>
    </w:p>
  </w:footnote>
  <w:footnote w:id="23">
    <w:p w:rsidR="00D2132F" w:rsidRPr="00D2132F" w:rsidRDefault="00D2132F" w:rsidP="00692FE0">
      <w:pPr>
        <w:pStyle w:val="FootnoteText"/>
      </w:pPr>
      <w:r w:rsidRPr="00D2132F">
        <w:rPr>
          <w:rStyle w:val="FootnoteReference"/>
        </w:rPr>
        <w:footnoteRef/>
      </w:r>
      <w:r w:rsidRPr="00D2132F">
        <w:t xml:space="preserve"> </w:t>
      </w:r>
      <w:r w:rsidRPr="00533E1F">
        <w:rPr>
          <w:i/>
        </w:rPr>
        <w:t>6 Reasons Why Healthcare is the Biggest Target for Cyberattack</w:t>
      </w:r>
      <w:r w:rsidRPr="00D2132F">
        <w:t xml:space="preserve">, SWIVELSECURE, </w:t>
      </w:r>
      <w:hyperlink r:id="rId9" w:history="1">
        <w:r w:rsidRPr="00D2132F">
          <w:rPr>
            <w:rStyle w:val="Hyperlink"/>
          </w:rPr>
          <w:t>https://swivelsecure.com/us/solutions/healthca</w:t>
        </w:r>
        <w:r w:rsidRPr="00D2132F">
          <w:rPr>
            <w:rStyle w:val="Hyperlink"/>
          </w:rPr>
          <w:t>r</w:t>
        </w:r>
        <w:r w:rsidRPr="00D2132F">
          <w:rPr>
            <w:rStyle w:val="Hyperlink"/>
          </w:rPr>
          <w:t>e/healthcare-is-the-biggest-target-for-cyberattacks/</w:t>
        </w:r>
      </w:hyperlink>
      <w:r w:rsidRPr="00D2132F">
        <w:t xml:space="preserve">. </w:t>
      </w:r>
    </w:p>
  </w:footnote>
  <w:footnote w:id="24">
    <w:p w:rsidR="00D2132F" w:rsidRPr="00D2132F" w:rsidRDefault="00D2132F" w:rsidP="00692FE0">
      <w:pPr>
        <w:pStyle w:val="Heading1"/>
        <w:shd w:val="clear" w:color="auto" w:fill="FCFCFC"/>
        <w:spacing w:before="0"/>
        <w:rPr>
          <w:rFonts w:ascii="Times New Roman" w:hAnsi="Times New Roman"/>
          <w:b w:val="0"/>
          <w:color w:val="333333"/>
          <w:sz w:val="20"/>
          <w:szCs w:val="20"/>
        </w:rPr>
      </w:pPr>
      <w:r w:rsidRPr="00D2132F">
        <w:rPr>
          <w:rStyle w:val="FootnoteReference"/>
          <w:rFonts w:ascii="Times New Roman" w:hAnsi="Times New Roman"/>
          <w:b w:val="0"/>
          <w:sz w:val="20"/>
          <w:szCs w:val="20"/>
        </w:rPr>
        <w:footnoteRef/>
      </w:r>
      <w:r w:rsidRPr="00D2132F">
        <w:rPr>
          <w:rFonts w:ascii="Times New Roman" w:hAnsi="Times New Roman"/>
          <w:b w:val="0"/>
          <w:sz w:val="20"/>
          <w:szCs w:val="20"/>
        </w:rPr>
        <w:t xml:space="preserve"> </w:t>
      </w:r>
      <w:hyperlink r:id="rId10" w:history="1">
        <w:r w:rsidRPr="00D2132F">
          <w:rPr>
            <w:rStyle w:val="Hyperlink"/>
            <w:rFonts w:ascii="Times New Roman" w:hAnsi="Times New Roman"/>
            <w:b w:val="0"/>
            <w:bCs w:val="0"/>
            <w:color w:val="auto"/>
            <w:sz w:val="20"/>
            <w:szCs w:val="20"/>
            <w:u w:val="none"/>
            <w:shd w:val="clear" w:color="auto" w:fill="FCFCFC"/>
          </w:rPr>
          <w:t>Kate O'Flaherty</w:t>
        </w:r>
      </w:hyperlink>
      <w:r w:rsidRPr="00D2132F">
        <w:rPr>
          <w:rFonts w:ascii="Times New Roman" w:hAnsi="Times New Roman"/>
          <w:b w:val="0"/>
          <w:color w:val="auto"/>
          <w:sz w:val="20"/>
          <w:szCs w:val="20"/>
        </w:rPr>
        <w:t xml:space="preserve">, </w:t>
      </w:r>
      <w:r w:rsidRPr="00D2132F">
        <w:rPr>
          <w:rFonts w:ascii="Times New Roman" w:hAnsi="Times New Roman"/>
          <w:b w:val="0"/>
          <w:i/>
          <w:color w:val="333333"/>
          <w:sz w:val="20"/>
          <w:szCs w:val="20"/>
        </w:rPr>
        <w:t>Why Cyber-Criminals Are Attacking Healthcare -- and how to Stop Them</w:t>
      </w:r>
      <w:r w:rsidRPr="00D2132F">
        <w:rPr>
          <w:rFonts w:ascii="Times New Roman" w:hAnsi="Times New Roman"/>
          <w:b w:val="0"/>
          <w:color w:val="333333"/>
          <w:sz w:val="20"/>
          <w:szCs w:val="20"/>
        </w:rPr>
        <w:t>,</w:t>
      </w:r>
      <w:r w:rsidRPr="00D2132F">
        <w:rPr>
          <w:rFonts w:ascii="Times New Roman" w:hAnsi="Times New Roman"/>
          <w:b w:val="0"/>
          <w:color w:val="auto"/>
          <w:sz w:val="20"/>
          <w:szCs w:val="20"/>
        </w:rPr>
        <w:t xml:space="preserve"> </w:t>
      </w:r>
      <w:r w:rsidRPr="00D2132F">
        <w:rPr>
          <w:rFonts w:ascii="Times New Roman" w:hAnsi="Times New Roman"/>
          <w:b w:val="0"/>
          <w:color w:val="auto"/>
          <w:spacing w:val="-3"/>
          <w:sz w:val="20"/>
          <w:szCs w:val="20"/>
          <w:shd w:val="clear" w:color="auto" w:fill="FCFCFC"/>
        </w:rPr>
        <w:t xml:space="preserve">October 5, 2018, </w:t>
      </w:r>
      <w:hyperlink r:id="rId11" w:anchor="4a2c96167f69" w:history="1">
        <w:r w:rsidRPr="00D2132F">
          <w:rPr>
            <w:rStyle w:val="Hyperlink"/>
            <w:rFonts w:ascii="Times New Roman" w:hAnsi="Times New Roman"/>
            <w:b w:val="0"/>
            <w:sz w:val="20"/>
            <w:szCs w:val="20"/>
          </w:rPr>
          <w:t>https://www.forbes.com/sites/kateoflahertyuk/2018/10/05/why-cyber-criminals-are-attacking-healthcare-and-how-to-stop-them/#4a2c96167f69</w:t>
        </w:r>
      </w:hyperlink>
      <w:r w:rsidRPr="00D2132F">
        <w:rPr>
          <w:rFonts w:ascii="Times New Roman" w:hAnsi="Times New Roman"/>
          <w:b w:val="0"/>
          <w:sz w:val="20"/>
          <w:szCs w:val="20"/>
        </w:rPr>
        <w:t xml:space="preserve">. </w:t>
      </w:r>
    </w:p>
  </w:footnote>
  <w:footnote w:id="25">
    <w:p w:rsidR="00E61733" w:rsidRPr="00762FCE" w:rsidRDefault="00E61733">
      <w:pPr>
        <w:pStyle w:val="FootnoteText"/>
      </w:pPr>
      <w:r>
        <w:rPr>
          <w:rStyle w:val="FootnoteReference"/>
        </w:rPr>
        <w:footnoteRef/>
      </w:r>
      <w:r>
        <w:t xml:space="preserve"> </w:t>
      </w:r>
      <w:r>
        <w:rPr>
          <w:i/>
        </w:rPr>
        <w:t>Id.</w:t>
      </w:r>
    </w:p>
  </w:footnote>
  <w:footnote w:id="26">
    <w:p w:rsidR="00E61733" w:rsidRPr="00762FCE" w:rsidRDefault="00E61733">
      <w:pPr>
        <w:pStyle w:val="FootnoteText"/>
      </w:pPr>
      <w:r>
        <w:rPr>
          <w:rStyle w:val="FootnoteReference"/>
        </w:rPr>
        <w:footnoteRef/>
      </w:r>
      <w:r>
        <w:t xml:space="preserve"> </w:t>
      </w:r>
      <w:r>
        <w:rPr>
          <w:i/>
        </w:rPr>
        <w:t>Id</w:t>
      </w:r>
      <w:r>
        <w:t>.</w:t>
      </w:r>
    </w:p>
  </w:footnote>
  <w:footnote w:id="27">
    <w:p w:rsidR="00E61733" w:rsidRPr="00762FCE" w:rsidRDefault="00E61733">
      <w:pPr>
        <w:pStyle w:val="FootnoteText"/>
      </w:pPr>
      <w:r>
        <w:rPr>
          <w:rStyle w:val="FootnoteReference"/>
        </w:rPr>
        <w:footnoteRef/>
      </w:r>
      <w:r>
        <w:t xml:space="preserve"> </w:t>
      </w:r>
      <w:r>
        <w:rPr>
          <w:i/>
        </w:rPr>
        <w:t>Id.</w:t>
      </w:r>
    </w:p>
  </w:footnote>
  <w:footnote w:id="28">
    <w:p w:rsidR="00D2132F" w:rsidRPr="00D2132F" w:rsidRDefault="00D2132F" w:rsidP="00692FE0">
      <w:pPr>
        <w:pStyle w:val="FootnoteText"/>
      </w:pPr>
      <w:r w:rsidRPr="00D2132F">
        <w:rPr>
          <w:rStyle w:val="FootnoteReference"/>
        </w:rPr>
        <w:footnoteRef/>
      </w:r>
      <w:r w:rsidRPr="00D2132F">
        <w:t xml:space="preserve"> </w:t>
      </w:r>
      <w:r w:rsidR="00C00B16">
        <w:rPr>
          <w:i/>
        </w:rPr>
        <w:t xml:space="preserve">Id. </w:t>
      </w:r>
    </w:p>
  </w:footnote>
  <w:footnote w:id="29">
    <w:p w:rsidR="00D2132F" w:rsidRPr="00D2132F" w:rsidRDefault="00D2132F">
      <w:pPr>
        <w:pStyle w:val="FootnoteText"/>
      </w:pPr>
      <w:r w:rsidRPr="00D2132F">
        <w:rPr>
          <w:rStyle w:val="FootnoteReference"/>
        </w:rPr>
        <w:footnoteRef/>
      </w:r>
      <w:r w:rsidRPr="00D2132F">
        <w:t xml:space="preserve"> </w:t>
      </w:r>
      <w:r w:rsidRPr="00D2132F">
        <w:rPr>
          <w:color w:val="212121"/>
        </w:rPr>
        <w:t>Farai Chideya, </w:t>
      </w:r>
      <w:r w:rsidRPr="00D2132F">
        <w:rPr>
          <w:rStyle w:val="Emphasis"/>
          <w:color w:val="212121"/>
        </w:rPr>
        <w:t>Data Theft Today Poses Indefinite Threat of “Future Harm”</w:t>
      </w:r>
      <w:r w:rsidRPr="00D2132F">
        <w:rPr>
          <w:color w:val="212121"/>
        </w:rPr>
        <w:t>, </w:t>
      </w:r>
      <w:r w:rsidRPr="00D2132F">
        <w:rPr>
          <w:rStyle w:val="cosmallcaps"/>
          <w:caps/>
          <w:color w:val="212121"/>
        </w:rPr>
        <w:t>THE INTERCEPT</w:t>
      </w:r>
      <w:r w:rsidRPr="00D2132F">
        <w:rPr>
          <w:color w:val="212121"/>
        </w:rPr>
        <w:t xml:space="preserve">, June 12, 2015, </w:t>
      </w:r>
      <w:hyperlink r:id="rId12" w:history="1">
        <w:r w:rsidRPr="00D2132F">
          <w:rPr>
            <w:rStyle w:val="Hyperlink"/>
          </w:rPr>
          <w:t>https://theintercept.com/2015/06/12/data-breach-threat-of-future-harm</w:t>
        </w:r>
      </w:hyperlink>
      <w:r w:rsidRPr="00D2132F">
        <w:rPr>
          <w:color w:val="212121"/>
        </w:rPr>
        <w:t>.</w:t>
      </w:r>
    </w:p>
  </w:footnote>
  <w:footnote w:id="30">
    <w:p w:rsidR="009508F2" w:rsidRDefault="009508F2">
      <w:pPr>
        <w:pStyle w:val="FootnoteText"/>
      </w:pPr>
      <w:r>
        <w:rPr>
          <w:rStyle w:val="FootnoteReference"/>
        </w:rPr>
        <w:footnoteRef/>
      </w:r>
      <w:r>
        <w:t xml:space="preserve"> </w:t>
      </w:r>
      <w:r w:rsidRPr="009508F2">
        <w:t>Clapper v. Amnesty Int'l USA, 133 S.Ct. 1138 (2013).</w:t>
      </w:r>
      <w:r>
        <w:t xml:space="preserve"> </w:t>
      </w:r>
    </w:p>
  </w:footnote>
  <w:footnote w:id="31">
    <w:p w:rsidR="00D2132F" w:rsidRPr="00533E1F" w:rsidRDefault="00D2132F" w:rsidP="00814B0A">
      <w:pPr>
        <w:rPr>
          <w:sz w:val="20"/>
          <w:szCs w:val="20"/>
        </w:rPr>
      </w:pPr>
      <w:r w:rsidRPr="00D2132F">
        <w:rPr>
          <w:rStyle w:val="FootnoteReference"/>
          <w:sz w:val="20"/>
          <w:szCs w:val="20"/>
        </w:rPr>
        <w:footnoteRef/>
      </w:r>
      <w:r w:rsidRPr="00D2132F">
        <w:rPr>
          <w:sz w:val="20"/>
          <w:szCs w:val="20"/>
        </w:rPr>
        <w:t xml:space="preserve"> </w:t>
      </w:r>
      <w:r w:rsidRPr="00FA6157">
        <w:rPr>
          <w:color w:val="000000"/>
          <w:sz w:val="20"/>
          <w:szCs w:val="20"/>
        </w:rPr>
        <w:t>Ryan L. Garner, </w:t>
      </w:r>
      <w:r w:rsidRPr="00FA6157">
        <w:rPr>
          <w:i/>
          <w:iCs/>
          <w:color w:val="000000"/>
          <w:sz w:val="20"/>
          <w:szCs w:val="20"/>
        </w:rPr>
        <w:t>Evaluating Solutions to Cyber Attack Breaches of Health Data: How Enacting A Private Right of Action for Breach Victims Would Lower Costs</w:t>
      </w:r>
      <w:r w:rsidRPr="00FA6157">
        <w:rPr>
          <w:color w:val="000000"/>
          <w:sz w:val="20"/>
          <w:szCs w:val="20"/>
        </w:rPr>
        <w:t>, 14 </w:t>
      </w:r>
      <w:r w:rsidRPr="00FA6157">
        <w:rPr>
          <w:smallCaps/>
          <w:color w:val="000000"/>
          <w:sz w:val="20"/>
          <w:szCs w:val="20"/>
          <w:shd w:val="clear" w:color="auto" w:fill="FFFFFF"/>
        </w:rPr>
        <w:t>Ind. Health L. Rev.</w:t>
      </w:r>
      <w:r w:rsidRPr="00FA6157">
        <w:rPr>
          <w:color w:val="000000"/>
          <w:sz w:val="20"/>
          <w:szCs w:val="20"/>
        </w:rPr>
        <w:t> 127, 133 (2017)</w:t>
      </w:r>
      <w:r w:rsidRPr="00D2132F">
        <w:rPr>
          <w:color w:val="000000"/>
          <w:sz w:val="20"/>
          <w:szCs w:val="20"/>
        </w:rPr>
        <w:t xml:space="preserve">; </w:t>
      </w:r>
      <w:r w:rsidRPr="00D2132F">
        <w:rPr>
          <w:color w:val="212121"/>
          <w:sz w:val="20"/>
          <w:szCs w:val="20"/>
        </w:rPr>
        <w:t>Farai Chideya, </w:t>
      </w:r>
      <w:r w:rsidRPr="00D2132F">
        <w:rPr>
          <w:rStyle w:val="Emphasis"/>
          <w:color w:val="212121"/>
          <w:sz w:val="20"/>
          <w:szCs w:val="20"/>
        </w:rPr>
        <w:t>Data Theft Today Poses Indefinite Threat of “Future Harm”</w:t>
      </w:r>
      <w:r w:rsidRPr="00D2132F">
        <w:rPr>
          <w:color w:val="212121"/>
          <w:sz w:val="20"/>
          <w:szCs w:val="20"/>
        </w:rPr>
        <w:t>, </w:t>
      </w:r>
      <w:r w:rsidRPr="00D2132F">
        <w:rPr>
          <w:rStyle w:val="cosmallcaps"/>
          <w:caps/>
          <w:color w:val="212121"/>
          <w:sz w:val="20"/>
          <w:szCs w:val="20"/>
        </w:rPr>
        <w:t>THE INTERCEPT</w:t>
      </w:r>
      <w:r w:rsidRPr="00D2132F">
        <w:rPr>
          <w:color w:val="212121"/>
          <w:sz w:val="20"/>
          <w:szCs w:val="20"/>
        </w:rPr>
        <w:t xml:space="preserve">, June 12, 2015, </w:t>
      </w:r>
      <w:hyperlink r:id="rId13" w:history="1">
        <w:r w:rsidRPr="00D2132F">
          <w:rPr>
            <w:rStyle w:val="Hyperlink"/>
            <w:sz w:val="20"/>
            <w:szCs w:val="20"/>
          </w:rPr>
          <w:t>https://theintercept.com/2015/06/12/data-breach-threat-of-future-harm</w:t>
        </w:r>
      </w:hyperlink>
      <w:r w:rsidRPr="00D2132F">
        <w:rPr>
          <w:color w:val="212121"/>
          <w:sz w:val="20"/>
          <w:szCs w:val="20"/>
        </w:rPr>
        <w:t>; s</w:t>
      </w:r>
      <w:r w:rsidRPr="00D2132F">
        <w:rPr>
          <w:rStyle w:val="Emphasis"/>
          <w:color w:val="212121"/>
          <w:sz w:val="20"/>
          <w:szCs w:val="20"/>
        </w:rPr>
        <w:t>ee also</w:t>
      </w:r>
      <w:r w:rsidRPr="00D2132F">
        <w:rPr>
          <w:color w:val="212121"/>
          <w:sz w:val="20"/>
          <w:szCs w:val="20"/>
        </w:rPr>
        <w:t> </w:t>
      </w:r>
      <w:hyperlink r:id="rId14" w:history="1">
        <w:r w:rsidRPr="00533E1F">
          <w:rPr>
            <w:rStyle w:val="Hyperlink"/>
            <w:i/>
            <w:color w:val="auto"/>
            <w:sz w:val="20"/>
            <w:szCs w:val="20"/>
            <w:u w:val="none"/>
          </w:rPr>
          <w:t>Clapper v. Amnesty Int'l USA</w:t>
        </w:r>
        <w:r w:rsidRPr="00533E1F">
          <w:rPr>
            <w:rStyle w:val="Hyperlink"/>
            <w:color w:val="auto"/>
            <w:sz w:val="20"/>
            <w:szCs w:val="20"/>
            <w:u w:val="none"/>
          </w:rPr>
          <w:t>, 133 S.Ct. 1138 (2013)</w:t>
        </w:r>
      </w:hyperlink>
      <w:r w:rsidRPr="00533E1F">
        <w:rPr>
          <w:sz w:val="20"/>
          <w:szCs w:val="20"/>
        </w:rPr>
        <w:t>.</w:t>
      </w:r>
    </w:p>
  </w:footnote>
  <w:footnote w:id="32">
    <w:p w:rsidR="00B76F1E" w:rsidRPr="00D2132F" w:rsidRDefault="00B76F1E" w:rsidP="00B76F1E">
      <w:pPr>
        <w:pStyle w:val="Body"/>
        <w:spacing w:after="0"/>
        <w:rPr>
          <w:rFonts w:ascii="Times New Roman" w:hAnsi="Times New Roman" w:cs="Times New Roman"/>
          <w:color w:val="auto"/>
          <w:sz w:val="20"/>
          <w:szCs w:val="20"/>
        </w:rPr>
      </w:pPr>
      <w:r w:rsidRPr="00D2132F">
        <w:rPr>
          <w:rStyle w:val="PageNumber"/>
          <w:rFonts w:ascii="Times New Roman" w:eastAsia="Times New Roman" w:hAnsi="Times New Roman" w:cs="Times New Roman"/>
          <w:color w:val="auto"/>
          <w:sz w:val="20"/>
          <w:szCs w:val="20"/>
          <w:vertAlign w:val="superscript"/>
        </w:rPr>
        <w:footnoteRef/>
      </w:r>
      <w:r w:rsidRPr="00D2132F">
        <w:rPr>
          <w:rStyle w:val="PageNumber"/>
          <w:rFonts w:ascii="Times New Roman" w:hAnsi="Times New Roman" w:cs="Times New Roman"/>
          <w:color w:val="auto"/>
          <w:sz w:val="20"/>
          <w:szCs w:val="20"/>
          <w:lang w:val="en-US"/>
        </w:rPr>
        <w:t xml:space="preserve"> Health Insurance Portability and Accountability Act </w:t>
      </w:r>
      <w:r w:rsidR="0062242C">
        <w:rPr>
          <w:rStyle w:val="PageNumber"/>
          <w:rFonts w:ascii="Times New Roman" w:hAnsi="Times New Roman" w:cs="Times New Roman"/>
          <w:color w:val="auto"/>
          <w:sz w:val="20"/>
          <w:szCs w:val="20"/>
          <w:lang w:val="en-US"/>
        </w:rPr>
        <w:t>o</w:t>
      </w:r>
      <w:r w:rsidRPr="00D2132F">
        <w:rPr>
          <w:rStyle w:val="PageNumber"/>
          <w:rFonts w:ascii="Times New Roman" w:hAnsi="Times New Roman" w:cs="Times New Roman"/>
          <w:color w:val="auto"/>
          <w:sz w:val="20"/>
          <w:szCs w:val="20"/>
          <w:lang w:val="en-US"/>
        </w:rPr>
        <w:t>f 1996, 1996 Enacted H.R. 3103, 104 Enacted H.R. 3103, 110 Stat. 1936.</w:t>
      </w:r>
    </w:p>
  </w:footnote>
  <w:footnote w:id="33">
    <w:p w:rsidR="00814B0A" w:rsidRDefault="00814B0A">
      <w:pPr>
        <w:pStyle w:val="FootnoteText"/>
      </w:pPr>
      <w:r>
        <w:rPr>
          <w:rStyle w:val="FootnoteReference"/>
        </w:rPr>
        <w:footnoteRef/>
      </w:r>
      <w:r>
        <w:t xml:space="preserve"> </w:t>
      </w:r>
      <w:r w:rsidRPr="00D2132F">
        <w:t xml:space="preserve">HIPAA </w:t>
      </w:r>
      <w:r w:rsidRPr="00D2132F">
        <w:rPr>
          <w:i/>
          <w:iCs/>
          <w:color w:val="212121"/>
        </w:rPr>
        <w:t>Background</w:t>
      </w:r>
      <w:r w:rsidRPr="00D2132F">
        <w:rPr>
          <w:color w:val="212121"/>
        </w:rPr>
        <w:t>, </w:t>
      </w:r>
      <w:r w:rsidRPr="00D2132F">
        <w:rPr>
          <w:caps/>
          <w:color w:val="212121"/>
        </w:rPr>
        <w:t>U. CHI.</w:t>
      </w:r>
      <w:r w:rsidRPr="00D2132F">
        <w:rPr>
          <w:color w:val="212121"/>
        </w:rPr>
        <w:t xml:space="preserve">, 1, 1, Oct. 23, 2006, </w:t>
      </w:r>
      <w:hyperlink r:id="rId15" w:history="1">
        <w:r w:rsidRPr="00D2132F">
          <w:rPr>
            <w:rStyle w:val="Hyperlink"/>
          </w:rPr>
          <w:t>http://hipaa.bsd.uchicago.edu/</w:t>
        </w:r>
        <w:r w:rsidRPr="00EB40D7">
          <w:rPr>
            <w:rStyle w:val="Hyperlink"/>
            <w:bCs/>
          </w:rPr>
          <w:t>hipaa</w:t>
        </w:r>
        <w:r w:rsidRPr="00D2132F">
          <w:rPr>
            <w:rStyle w:val="Hyperlink"/>
          </w:rPr>
          <w:t>_background_200</w:t>
        </w:r>
        <w:r w:rsidRPr="00D2132F">
          <w:rPr>
            <w:rStyle w:val="Hyperlink"/>
          </w:rPr>
          <w:t>7</w:t>
        </w:r>
        <w:r w:rsidRPr="00D2132F">
          <w:rPr>
            <w:rStyle w:val="Hyperlink"/>
          </w:rPr>
          <w:t>0122.pdf</w:t>
        </w:r>
      </w:hyperlink>
      <w:r w:rsidRPr="00D2132F">
        <w:rPr>
          <w:color w:val="212121"/>
        </w:rPr>
        <w:t xml:space="preserve">. </w:t>
      </w:r>
    </w:p>
  </w:footnote>
  <w:footnote w:id="34">
    <w:p w:rsidR="00D2132F" w:rsidRPr="00D2132F" w:rsidRDefault="00D2132F">
      <w:pPr>
        <w:pStyle w:val="FootnoteText"/>
      </w:pPr>
      <w:r w:rsidRPr="00D2132F">
        <w:rPr>
          <w:rStyle w:val="FootnoteReference"/>
        </w:rPr>
        <w:footnoteRef/>
      </w:r>
      <w:r w:rsidRPr="00D2132F">
        <w:t xml:space="preserve"> </w:t>
      </w:r>
      <w:r w:rsidR="00814B0A">
        <w:rPr>
          <w:i/>
        </w:rPr>
        <w:t>Id.</w:t>
      </w:r>
      <w:r w:rsidRPr="00D2132F">
        <w:rPr>
          <w:color w:val="212121"/>
        </w:rPr>
        <w:t xml:space="preserve"> </w:t>
      </w:r>
    </w:p>
  </w:footnote>
  <w:footnote w:id="35">
    <w:p w:rsidR="00AB4A3B" w:rsidRDefault="00AB4A3B">
      <w:pPr>
        <w:pStyle w:val="FootnoteText"/>
      </w:pPr>
      <w:r>
        <w:rPr>
          <w:rStyle w:val="FootnoteReference"/>
        </w:rPr>
        <w:footnoteRef/>
      </w:r>
      <w:r>
        <w:t xml:space="preserve"> </w:t>
      </w:r>
      <w:r w:rsidRPr="00762FCE">
        <w:rPr>
          <w:i/>
        </w:rPr>
        <w:t>Id</w:t>
      </w:r>
      <w:r>
        <w:t>.</w:t>
      </w:r>
    </w:p>
  </w:footnote>
  <w:footnote w:id="36">
    <w:p w:rsidR="00AB4A3B" w:rsidRPr="00D2132F" w:rsidRDefault="00AB4A3B" w:rsidP="00AB4A3B">
      <w:pPr>
        <w:pStyle w:val="FootnoteText"/>
      </w:pPr>
      <w:r w:rsidRPr="00D2132F">
        <w:rPr>
          <w:rStyle w:val="PageNumber"/>
          <w:vertAlign w:val="superscript"/>
        </w:rPr>
        <w:footnoteRef/>
      </w:r>
      <w:r w:rsidRPr="00D2132F">
        <w:rPr>
          <w:rStyle w:val="PageNumber"/>
        </w:rPr>
        <w:t xml:space="preserve"> 45 C.F.R. Parts 160 and 164, Subparts A, C, and E.</w:t>
      </w:r>
    </w:p>
  </w:footnote>
  <w:footnote w:id="37">
    <w:p w:rsidR="00AB4A3B" w:rsidRDefault="00AB4A3B" w:rsidP="00AB4A3B">
      <w:pPr>
        <w:pStyle w:val="FootnoteText"/>
      </w:pPr>
      <w:r>
        <w:rPr>
          <w:rStyle w:val="FootnoteReference"/>
        </w:rPr>
        <w:footnoteRef/>
      </w:r>
      <w:r>
        <w:t xml:space="preserve"> </w:t>
      </w:r>
      <w:r w:rsidRPr="0008635C">
        <w:t>42 U.S.C. 1320d-6</w:t>
      </w:r>
      <w:r>
        <w:t>.</w:t>
      </w:r>
    </w:p>
  </w:footnote>
  <w:footnote w:id="38">
    <w:p w:rsidR="00AB4A3B" w:rsidRPr="00D2132F" w:rsidRDefault="00AB4A3B" w:rsidP="00AB4A3B">
      <w:pPr>
        <w:pStyle w:val="FootnoteText"/>
      </w:pPr>
      <w:r w:rsidRPr="00D2132F">
        <w:rPr>
          <w:rStyle w:val="PageNumber"/>
          <w:vertAlign w:val="superscript"/>
        </w:rPr>
        <w:footnoteRef/>
      </w:r>
      <w:r w:rsidRPr="00D2132F">
        <w:rPr>
          <w:rStyle w:val="PageNumber"/>
        </w:rPr>
        <w:t xml:space="preserve"> </w:t>
      </w:r>
      <w:r w:rsidRPr="00D2132F">
        <w:rPr>
          <w:rStyle w:val="PageNumber"/>
          <w:i/>
          <w:iCs/>
        </w:rPr>
        <w:t xml:space="preserve">See </w:t>
      </w:r>
      <w:r w:rsidRPr="00D2132F">
        <w:rPr>
          <w:rStyle w:val="PageNumber"/>
        </w:rPr>
        <w:t xml:space="preserve">Danielle Keats Citron, </w:t>
      </w:r>
      <w:r w:rsidRPr="00D2132F">
        <w:rPr>
          <w:rStyle w:val="PageNumber"/>
          <w:i/>
          <w:iCs/>
        </w:rPr>
        <w:t>Privacy Enforcement Pioneers: The Role of State Attorneys General in the Development of Privacy Law</w:t>
      </w:r>
      <w:r w:rsidRPr="00D2132F">
        <w:rPr>
          <w:rStyle w:val="PageNumber"/>
        </w:rPr>
        <w:t xml:space="preserve">, </w:t>
      </w:r>
      <w:r w:rsidRPr="00D2132F">
        <w:rPr>
          <w:rStyle w:val="PageNumber"/>
          <w:smallCaps/>
        </w:rPr>
        <w:t>University Of Maryland Francis King Carey School Of Law</w:t>
      </w:r>
      <w:r w:rsidRPr="00D2132F">
        <w:rPr>
          <w:rStyle w:val="PageNumber"/>
        </w:rPr>
        <w:t>, Legal Studies Research Paper, No.2016–8, February 2016.</w:t>
      </w:r>
    </w:p>
  </w:footnote>
  <w:footnote w:id="39">
    <w:p w:rsidR="00AB4A3B" w:rsidRPr="00D2132F" w:rsidRDefault="00AB4A3B" w:rsidP="00AB4A3B">
      <w:pPr>
        <w:pStyle w:val="FootnoteText"/>
      </w:pPr>
      <w:r w:rsidRPr="00D2132F">
        <w:rPr>
          <w:rStyle w:val="PageNumber"/>
          <w:vertAlign w:val="superscript"/>
        </w:rPr>
        <w:footnoteRef/>
      </w:r>
      <w:r w:rsidRPr="00D2132F">
        <w:rPr>
          <w:rStyle w:val="PageNumber"/>
        </w:rPr>
        <w:t xml:space="preserve"> 42 U.S.C. § 1320d-6(b)(1).</w:t>
      </w:r>
    </w:p>
  </w:footnote>
  <w:footnote w:id="40">
    <w:p w:rsidR="00AB4A3B" w:rsidRPr="00D2132F" w:rsidRDefault="00AB4A3B" w:rsidP="00AB4A3B">
      <w:pPr>
        <w:pStyle w:val="FootnoteText"/>
      </w:pPr>
      <w:r w:rsidRPr="00D2132F">
        <w:rPr>
          <w:rStyle w:val="PageNumber"/>
          <w:vertAlign w:val="superscript"/>
        </w:rPr>
        <w:footnoteRef/>
      </w:r>
      <w:r w:rsidRPr="00D2132F">
        <w:rPr>
          <w:rStyle w:val="PageNumber"/>
        </w:rPr>
        <w:t xml:space="preserve"> </w:t>
      </w:r>
      <w:r w:rsidRPr="00D2132F">
        <w:rPr>
          <w:rStyle w:val="PageNumber"/>
          <w:i/>
          <w:iCs/>
        </w:rPr>
        <w:t>Id.</w:t>
      </w:r>
      <w:r w:rsidRPr="00D2132F">
        <w:rPr>
          <w:rStyle w:val="PageNumber"/>
        </w:rPr>
        <w:t xml:space="preserve"> § 1320d-6(b)(2).</w:t>
      </w:r>
    </w:p>
  </w:footnote>
  <w:footnote w:id="41">
    <w:p w:rsidR="00AB4A3B" w:rsidRPr="00D2132F" w:rsidRDefault="00AB4A3B" w:rsidP="00AB4A3B">
      <w:pPr>
        <w:pStyle w:val="FootnoteText"/>
      </w:pPr>
      <w:r w:rsidRPr="00D2132F">
        <w:rPr>
          <w:rStyle w:val="FootnoteReference"/>
        </w:rPr>
        <w:footnoteRef/>
      </w:r>
      <w:r w:rsidRPr="00D2132F">
        <w:t xml:space="preserve"> </w:t>
      </w:r>
      <w:r w:rsidRPr="00D2132F">
        <w:rPr>
          <w:i/>
        </w:rPr>
        <w:t>Id.</w:t>
      </w:r>
      <w:r w:rsidRPr="00D2132F">
        <w:t xml:space="preserve"> § 1320d-6(b)(3).</w:t>
      </w:r>
    </w:p>
  </w:footnote>
  <w:footnote w:id="42">
    <w:p w:rsidR="00AB4A3B" w:rsidRPr="00D2132F" w:rsidRDefault="00AB4A3B" w:rsidP="00AB4A3B">
      <w:pPr>
        <w:pStyle w:val="FootnoteText"/>
      </w:pPr>
      <w:r w:rsidRPr="00D2132F">
        <w:rPr>
          <w:rStyle w:val="PageNumber"/>
          <w:vertAlign w:val="superscript"/>
        </w:rPr>
        <w:footnoteRef/>
      </w:r>
      <w:r w:rsidRPr="00D2132F">
        <w:rPr>
          <w:rStyle w:val="PageNumber"/>
        </w:rPr>
        <w:t xml:space="preserve"> </w:t>
      </w:r>
      <w:r w:rsidRPr="00D2132F">
        <w:rPr>
          <w:rStyle w:val="PageNumber"/>
          <w:i/>
          <w:iCs/>
        </w:rPr>
        <w:t>Id.</w:t>
      </w:r>
      <w:r w:rsidRPr="00D2132F">
        <w:rPr>
          <w:rStyle w:val="PageNumber"/>
        </w:rPr>
        <w:t xml:space="preserve"> § 1320d-6(b)(3).</w:t>
      </w:r>
    </w:p>
  </w:footnote>
  <w:footnote w:id="43">
    <w:p w:rsidR="00ED7592" w:rsidRPr="005D5331" w:rsidRDefault="00ED7592">
      <w:pPr>
        <w:pStyle w:val="FootnoteText"/>
      </w:pPr>
      <w:r>
        <w:rPr>
          <w:rStyle w:val="FootnoteReference"/>
        </w:rPr>
        <w:footnoteRef/>
      </w:r>
      <w:r>
        <w:t xml:space="preserve"> </w:t>
      </w:r>
      <w:r w:rsidR="00DA0018">
        <w:t xml:space="preserve">Office of the Assistant Secretary for Planning and Evaluation, </w:t>
      </w:r>
      <w:r w:rsidR="00DA0018" w:rsidRPr="007D072C">
        <w:rPr>
          <w:i/>
        </w:rPr>
        <w:t>EHR Payment Incentives for Providers Ineligible for Payment Incentives and Other Funding Study Appendices</w:t>
      </w:r>
      <w:r w:rsidR="00DA0018">
        <w:t xml:space="preserve">, </w:t>
      </w:r>
      <w:r w:rsidR="00DA0018" w:rsidRPr="007D072C">
        <w:rPr>
          <w:smallCaps/>
        </w:rPr>
        <w:t>U.S. Department of Health &amp; Human Services</w:t>
      </w:r>
      <w:r w:rsidR="00DA0018">
        <w:t xml:space="preserve">, June 1, 2013, </w:t>
      </w:r>
      <w:hyperlink r:id="rId16" w:history="1">
        <w:r w:rsidR="00DA0018" w:rsidRPr="004F7DDB">
          <w:rPr>
            <w:rStyle w:val="Hyperlink"/>
          </w:rPr>
          <w:t>https://aspe.hhs.gov/basic-report/ehr-payment-incentives-providers-ineligible-payment-incentives-and-other-funding-study-appendices</w:t>
        </w:r>
      </w:hyperlink>
      <w:r w:rsidR="00DA0018">
        <w:t xml:space="preserve">. </w:t>
      </w:r>
    </w:p>
  </w:footnote>
  <w:footnote w:id="44">
    <w:p w:rsidR="00DA0018" w:rsidRPr="005D5331" w:rsidRDefault="00DA0018">
      <w:pPr>
        <w:pStyle w:val="FootnoteText"/>
      </w:pPr>
      <w:r>
        <w:rPr>
          <w:rStyle w:val="FootnoteReference"/>
        </w:rPr>
        <w:footnoteRef/>
      </w:r>
      <w:r>
        <w:t xml:space="preserve"> </w:t>
      </w:r>
      <w:r>
        <w:rPr>
          <w:i/>
        </w:rPr>
        <w:t>Id</w:t>
      </w:r>
      <w:r>
        <w:t xml:space="preserve">. </w:t>
      </w:r>
    </w:p>
  </w:footnote>
  <w:footnote w:id="45">
    <w:p w:rsidR="00D2132F" w:rsidRPr="00D2132F" w:rsidRDefault="00D2132F" w:rsidP="00692FE0">
      <w:pPr>
        <w:shd w:val="clear" w:color="auto" w:fill="FFFFFF"/>
        <w:rPr>
          <w:color w:val="000000"/>
          <w:sz w:val="20"/>
          <w:szCs w:val="20"/>
        </w:rPr>
      </w:pPr>
      <w:r w:rsidRPr="00D2132F">
        <w:rPr>
          <w:rStyle w:val="FootnoteReference"/>
          <w:sz w:val="20"/>
          <w:szCs w:val="20"/>
        </w:rPr>
        <w:footnoteRef/>
      </w:r>
      <w:r w:rsidRPr="00D2132F">
        <w:rPr>
          <w:sz w:val="20"/>
          <w:szCs w:val="20"/>
        </w:rPr>
        <w:t xml:space="preserve"> </w:t>
      </w:r>
      <w:r w:rsidRPr="00D2132F">
        <w:rPr>
          <w:color w:val="000000"/>
          <w:sz w:val="20"/>
          <w:szCs w:val="20"/>
        </w:rPr>
        <w:t>Ryan L. Garner, </w:t>
      </w:r>
      <w:r w:rsidRPr="00D2132F">
        <w:rPr>
          <w:i/>
          <w:iCs/>
          <w:color w:val="000000"/>
          <w:sz w:val="20"/>
          <w:szCs w:val="20"/>
        </w:rPr>
        <w:t>Evaluating Solutions to Cyber Attack Breaches of Health Data: How Enacting A Private Right of Action for Breach Victims Would Lower Costs</w:t>
      </w:r>
      <w:r w:rsidRPr="00D2132F">
        <w:rPr>
          <w:color w:val="000000"/>
          <w:sz w:val="20"/>
          <w:szCs w:val="20"/>
        </w:rPr>
        <w:t>, 14 </w:t>
      </w:r>
      <w:r w:rsidRPr="00D2132F">
        <w:rPr>
          <w:smallCaps/>
          <w:color w:val="000000"/>
          <w:sz w:val="20"/>
          <w:szCs w:val="20"/>
          <w:shd w:val="clear" w:color="auto" w:fill="FFFFFF"/>
        </w:rPr>
        <w:t>Ind. Health L. Rev.</w:t>
      </w:r>
      <w:r w:rsidRPr="00D2132F">
        <w:rPr>
          <w:color w:val="000000"/>
          <w:sz w:val="20"/>
          <w:szCs w:val="20"/>
        </w:rPr>
        <w:t> 127, 135–36 (2017)</w:t>
      </w:r>
      <w:r w:rsidR="00A6427D">
        <w:rPr>
          <w:color w:val="000000"/>
          <w:sz w:val="20"/>
          <w:szCs w:val="20"/>
        </w:rPr>
        <w:t>.</w:t>
      </w:r>
    </w:p>
  </w:footnote>
  <w:footnote w:id="46">
    <w:p w:rsidR="00D2132F" w:rsidRPr="00D2132F" w:rsidRDefault="00D2132F" w:rsidP="00692FE0">
      <w:pPr>
        <w:rPr>
          <w:color w:val="000000"/>
          <w:sz w:val="20"/>
          <w:szCs w:val="20"/>
        </w:rPr>
      </w:pPr>
      <w:r w:rsidRPr="00D2132F">
        <w:rPr>
          <w:rStyle w:val="FootnoteReference"/>
          <w:sz w:val="20"/>
          <w:szCs w:val="20"/>
        </w:rPr>
        <w:footnoteRef/>
      </w:r>
      <w:r w:rsidRPr="00D2132F">
        <w:rPr>
          <w:sz w:val="20"/>
          <w:szCs w:val="20"/>
        </w:rPr>
        <w:t xml:space="preserve"> </w:t>
      </w:r>
      <w:r w:rsidRPr="00D2132F">
        <w:rPr>
          <w:color w:val="000000"/>
          <w:sz w:val="20"/>
          <w:szCs w:val="20"/>
          <w:shd w:val="clear" w:color="auto" w:fill="FFFFFF"/>
        </w:rPr>
        <w:t>Nsikan Akpan, </w:t>
      </w:r>
      <w:r w:rsidRPr="00D2132F">
        <w:rPr>
          <w:i/>
          <w:iCs/>
          <w:color w:val="000000"/>
          <w:sz w:val="20"/>
          <w:szCs w:val="20"/>
        </w:rPr>
        <w:t>Has health care hacking become an epidemic?,</w:t>
      </w:r>
      <w:r w:rsidRPr="00D2132F">
        <w:rPr>
          <w:color w:val="000000"/>
          <w:sz w:val="20"/>
          <w:szCs w:val="20"/>
          <w:shd w:val="clear" w:color="auto" w:fill="FFFFFF"/>
        </w:rPr>
        <w:t xml:space="preserve"> PBS (Mar. 23, 2016, 6:19 PM), </w:t>
      </w:r>
      <w:hyperlink r:id="rId17" w:history="1">
        <w:r w:rsidR="00A6427D" w:rsidRPr="00EF6DCE">
          <w:rPr>
            <w:rStyle w:val="Hyperlink"/>
            <w:sz w:val="20"/>
            <w:szCs w:val="20"/>
            <w:shd w:val="clear" w:color="auto" w:fill="FFFFFF"/>
          </w:rPr>
          <w:t>http://www.pbs.org/newshour/updates/has-health-care-hacking-become-an-epidemic/</w:t>
        </w:r>
      </w:hyperlink>
      <w:r w:rsidRPr="00D2132F">
        <w:rPr>
          <w:color w:val="000000"/>
          <w:sz w:val="20"/>
          <w:szCs w:val="20"/>
          <w:shd w:val="clear" w:color="auto" w:fill="FFFFFF"/>
        </w:rPr>
        <w:t>;</w:t>
      </w:r>
      <w:r w:rsidR="00A6427D">
        <w:rPr>
          <w:color w:val="000000"/>
          <w:sz w:val="20"/>
          <w:szCs w:val="20"/>
          <w:shd w:val="clear" w:color="auto" w:fill="FFFFFF"/>
        </w:rPr>
        <w:t xml:space="preserve"> </w:t>
      </w:r>
      <w:r w:rsidRPr="0096131B">
        <w:rPr>
          <w:color w:val="000000"/>
          <w:sz w:val="20"/>
          <w:szCs w:val="20"/>
        </w:rPr>
        <w:t>Connor McLarren, </w:t>
      </w:r>
      <w:r w:rsidRPr="0096131B">
        <w:rPr>
          <w:i/>
          <w:iCs/>
          <w:color w:val="000000"/>
          <w:sz w:val="20"/>
          <w:szCs w:val="20"/>
        </w:rPr>
        <w:t>Once More Unto the Breach: How the Growing Th</w:t>
      </w:r>
      <w:r w:rsidRPr="00D2132F">
        <w:rPr>
          <w:i/>
          <w:iCs/>
          <w:color w:val="000000"/>
          <w:sz w:val="20"/>
          <w:szCs w:val="20"/>
        </w:rPr>
        <w:t>reat of Ransomware Affects HIPAA</w:t>
      </w:r>
      <w:r w:rsidRPr="0096131B">
        <w:rPr>
          <w:i/>
          <w:iCs/>
          <w:color w:val="000000"/>
          <w:sz w:val="20"/>
          <w:szCs w:val="20"/>
        </w:rPr>
        <w:t xml:space="preserve"> Compliance for Covered Entities</w:t>
      </w:r>
      <w:r w:rsidRPr="0096131B">
        <w:rPr>
          <w:color w:val="000000"/>
          <w:sz w:val="20"/>
          <w:szCs w:val="20"/>
        </w:rPr>
        <w:t>, 15 </w:t>
      </w:r>
      <w:r w:rsidRPr="0096131B">
        <w:rPr>
          <w:smallCaps/>
          <w:color w:val="000000"/>
          <w:sz w:val="20"/>
          <w:szCs w:val="20"/>
          <w:shd w:val="clear" w:color="auto" w:fill="FFFFFF"/>
        </w:rPr>
        <w:t>Ind. Health L. Rev.</w:t>
      </w:r>
      <w:r w:rsidRPr="0096131B">
        <w:rPr>
          <w:color w:val="000000"/>
          <w:sz w:val="20"/>
          <w:szCs w:val="20"/>
        </w:rPr>
        <w:t> 305, 330 (2018)</w:t>
      </w:r>
      <w:r w:rsidRPr="00D2132F">
        <w:rPr>
          <w:color w:val="000000"/>
          <w:sz w:val="20"/>
          <w:szCs w:val="20"/>
        </w:rPr>
        <w:t>.</w:t>
      </w:r>
    </w:p>
  </w:footnote>
  <w:footnote w:id="47">
    <w:p w:rsidR="00D2132F" w:rsidRPr="00D2132F" w:rsidRDefault="00D2132F" w:rsidP="00692FE0">
      <w:pPr>
        <w:pStyle w:val="Body"/>
        <w:widowControl w:val="0"/>
        <w:spacing w:after="0"/>
        <w:rPr>
          <w:rFonts w:ascii="Times New Roman" w:hAnsi="Times New Roman" w:cs="Times New Roman"/>
          <w:color w:val="auto"/>
          <w:sz w:val="20"/>
          <w:szCs w:val="20"/>
        </w:rPr>
      </w:pPr>
      <w:r w:rsidRPr="00D2132F">
        <w:rPr>
          <w:rStyle w:val="PageNumber"/>
          <w:rFonts w:ascii="Times New Roman" w:eastAsia="Times New Roman" w:hAnsi="Times New Roman" w:cs="Times New Roman"/>
          <w:color w:val="auto"/>
          <w:sz w:val="20"/>
          <w:szCs w:val="20"/>
          <w:shd w:val="clear" w:color="auto" w:fill="FFFFFF"/>
          <w:vertAlign w:val="superscript"/>
        </w:rPr>
        <w:footnoteRef/>
      </w:r>
      <w:r w:rsidRPr="00D2132F">
        <w:rPr>
          <w:rStyle w:val="PageNumber"/>
          <w:rFonts w:ascii="Times New Roman" w:hAnsi="Times New Roman" w:cs="Times New Roman"/>
          <w:color w:val="auto"/>
          <w:sz w:val="20"/>
          <w:szCs w:val="20"/>
          <w:lang w:val="en-US"/>
        </w:rPr>
        <w:t xml:space="preserve"> U.S. Department of Health and Human Services Office for Civil Rights, Breach Portal: Notice to the Secretary of HHS Breach of Unsecured Protected Health Information, </w:t>
      </w:r>
      <w:hyperlink r:id="rId18" w:history="1">
        <w:r w:rsidRPr="00D2132F">
          <w:rPr>
            <w:rStyle w:val="Hyperlink1"/>
            <w:rFonts w:eastAsia="Arial Unicode MS"/>
            <w:color w:val="auto"/>
            <w:lang w:val="en-US"/>
          </w:rPr>
          <w:t>https://ocrportal.hhs.gov/ocr/breach/breach_report.jsf</w:t>
        </w:r>
      </w:hyperlink>
      <w:r w:rsidR="00A6427D">
        <w:rPr>
          <w:rStyle w:val="Hyperlink1"/>
          <w:rFonts w:eastAsia="Arial Unicode MS"/>
          <w:color w:val="auto"/>
          <w:lang w:val="en-US"/>
        </w:rPr>
        <w:t xml:space="preserve">. </w:t>
      </w:r>
      <w:r w:rsidRPr="00D2132F">
        <w:rPr>
          <w:rStyle w:val="PageNumber"/>
          <w:rFonts w:ascii="Times New Roman" w:hAnsi="Times New Roman" w:cs="Times New Roman"/>
          <w:color w:val="auto"/>
          <w:sz w:val="20"/>
          <w:szCs w:val="20"/>
        </w:rPr>
        <w:t xml:space="preserve"> </w:t>
      </w:r>
    </w:p>
  </w:footnote>
  <w:footnote w:id="48">
    <w:p w:rsidR="008B544B" w:rsidRPr="00762FCE" w:rsidRDefault="008B544B">
      <w:pPr>
        <w:pStyle w:val="FootnoteText"/>
      </w:pPr>
      <w:r>
        <w:rPr>
          <w:rStyle w:val="FootnoteReference"/>
        </w:rPr>
        <w:footnoteRef/>
      </w:r>
      <w:r>
        <w:t xml:space="preserve"> </w:t>
      </w:r>
      <w:r>
        <w:rPr>
          <w:i/>
        </w:rPr>
        <w:t>Id.</w:t>
      </w:r>
    </w:p>
  </w:footnote>
  <w:footnote w:id="49">
    <w:p w:rsidR="0064357F" w:rsidRPr="00762FCE" w:rsidRDefault="0064357F">
      <w:pPr>
        <w:pStyle w:val="FootnoteText"/>
      </w:pPr>
      <w:r>
        <w:rPr>
          <w:rStyle w:val="FootnoteReference"/>
        </w:rPr>
        <w:footnoteRef/>
      </w:r>
      <w:r>
        <w:t xml:space="preserve"> </w:t>
      </w:r>
      <w:r>
        <w:rPr>
          <w:i/>
        </w:rPr>
        <w:t>Id.</w:t>
      </w:r>
    </w:p>
  </w:footnote>
  <w:footnote w:id="50">
    <w:p w:rsidR="00D2132F" w:rsidRPr="00D2132F" w:rsidRDefault="00D2132F" w:rsidP="00692FE0">
      <w:pPr>
        <w:pStyle w:val="FootnoteText"/>
      </w:pPr>
      <w:r w:rsidRPr="00D2132F">
        <w:rPr>
          <w:rStyle w:val="PageNumber"/>
          <w:shd w:val="clear" w:color="auto" w:fill="FFFFFF"/>
          <w:vertAlign w:val="superscript"/>
        </w:rPr>
        <w:footnoteRef/>
      </w:r>
      <w:r w:rsidRPr="00D2132F">
        <w:rPr>
          <w:rStyle w:val="PageNumber"/>
        </w:rPr>
        <w:t xml:space="preserve"> </w:t>
      </w:r>
      <w:r w:rsidR="00CD56B5" w:rsidRPr="00762FCE">
        <w:rPr>
          <w:rStyle w:val="PageNumber"/>
          <w:i/>
        </w:rPr>
        <w:t>Id</w:t>
      </w:r>
      <w:r w:rsidR="00CD56B5">
        <w:rPr>
          <w:rStyle w:val="PageNumber"/>
        </w:rPr>
        <w:t xml:space="preserve">; </w:t>
      </w:r>
      <w:r w:rsidRPr="00762FCE">
        <w:rPr>
          <w:rStyle w:val="PageNumber"/>
        </w:rPr>
        <w:t>Sammy</w:t>
      </w:r>
      <w:r w:rsidRPr="00D2132F">
        <w:rPr>
          <w:rStyle w:val="PageNumber"/>
        </w:rPr>
        <w:t xml:space="preserve"> Caiola, </w:t>
      </w:r>
      <w:r w:rsidRPr="00D2132F">
        <w:rPr>
          <w:rStyle w:val="PageNumber"/>
          <w:i/>
          <w:iCs/>
        </w:rPr>
        <w:t>California Hospital Hacks Reveal Weak Links in Health Cybersecurity</w:t>
      </w:r>
      <w:r w:rsidRPr="00D2132F">
        <w:rPr>
          <w:rStyle w:val="PageNumber"/>
        </w:rPr>
        <w:t xml:space="preserve">, </w:t>
      </w:r>
      <w:r w:rsidRPr="00D2132F">
        <w:rPr>
          <w:rStyle w:val="PageNumber"/>
          <w:smallCaps/>
        </w:rPr>
        <w:t>The Sacramento Bee</w:t>
      </w:r>
      <w:r w:rsidRPr="00D2132F">
        <w:rPr>
          <w:rStyle w:val="PageNumber"/>
        </w:rPr>
        <w:t xml:space="preserve">, April 5, 2016, </w:t>
      </w:r>
      <w:hyperlink r:id="rId19" w:anchor="storylink=cpy" w:history="1">
        <w:r w:rsidRPr="00D2132F">
          <w:rPr>
            <w:rStyle w:val="Hyperlink0"/>
          </w:rPr>
          <w:t>http://www.sacbee.com/news/local/health-and-medicine/article70113852.html#storylink=cpy</w:t>
        </w:r>
      </w:hyperlink>
      <w:r w:rsidRPr="00D2132F">
        <w:rPr>
          <w:rStyle w:val="PageNumber"/>
        </w:rPr>
        <w:t xml:space="preserve">. </w:t>
      </w:r>
    </w:p>
  </w:footnote>
  <w:footnote w:id="51">
    <w:p w:rsidR="00D2132F" w:rsidRPr="00D2132F" w:rsidRDefault="00D2132F">
      <w:pPr>
        <w:pStyle w:val="FootnoteText"/>
      </w:pPr>
      <w:r w:rsidRPr="00D2132F">
        <w:rPr>
          <w:rStyle w:val="FootnoteReference"/>
        </w:rPr>
        <w:footnoteRef/>
      </w:r>
      <w:r w:rsidRPr="00D2132F">
        <w:t xml:space="preserve"> </w:t>
      </w:r>
      <w:r w:rsidRPr="00D2132F">
        <w:rPr>
          <w:color w:val="000000"/>
          <w:shd w:val="clear" w:color="auto" w:fill="FFFFFF"/>
        </w:rPr>
        <w:t>New York and Presbyterian Hospital (NYP) has agreed to pay OCR $3,300,000 to settle potential violations of the Health Insurance Portability and Accountability Act of 1996 (HIPAA) Privacy and Security Rules, and will adopt a corrective action plan to evidence their remediation of these findings. Columbia University (CU) has agreed to settle potential violations of the Health Insurance Portability and Accountability Act of 1996 (HIPAA) Privacy and Security Rules, including a $1,500,000 monetary settlement and corrective action plan to address deficiencies in its HIPAA compliance program.</w:t>
      </w:r>
    </w:p>
  </w:footnote>
  <w:footnote w:id="52">
    <w:p w:rsidR="00D2132F" w:rsidRPr="00D2132F" w:rsidRDefault="00D2132F" w:rsidP="00762FCE">
      <w:pPr>
        <w:pStyle w:val="Body"/>
        <w:spacing w:after="0"/>
        <w:rPr>
          <w:rFonts w:ascii="Times New Roman" w:hAnsi="Times New Roman" w:cs="Times New Roman"/>
          <w:color w:val="auto"/>
          <w:sz w:val="20"/>
          <w:szCs w:val="20"/>
          <w:lang w:val="en-US"/>
        </w:rPr>
      </w:pPr>
      <w:r w:rsidRPr="00D2132F">
        <w:rPr>
          <w:rStyle w:val="FootnoteReference"/>
          <w:rFonts w:ascii="Times New Roman" w:hAnsi="Times New Roman"/>
          <w:sz w:val="20"/>
          <w:szCs w:val="20"/>
        </w:rPr>
        <w:footnoteRef/>
      </w:r>
      <w:r w:rsidRPr="00D2132F">
        <w:rPr>
          <w:rFonts w:ascii="Times New Roman" w:hAnsi="Times New Roman" w:cs="Times New Roman"/>
          <w:sz w:val="20"/>
          <w:szCs w:val="20"/>
        </w:rPr>
        <w:t xml:space="preserve"> </w:t>
      </w:r>
      <w:r w:rsidRPr="00D2132F">
        <w:rPr>
          <w:rStyle w:val="PageNumber"/>
          <w:rFonts w:ascii="Times New Roman" w:hAnsi="Times New Roman" w:cs="Times New Roman"/>
          <w:i/>
          <w:color w:val="auto"/>
          <w:sz w:val="20"/>
          <w:szCs w:val="20"/>
          <w:lang w:val="en-US"/>
        </w:rPr>
        <w:t>See</w:t>
      </w:r>
      <w:r w:rsidRPr="00D2132F">
        <w:rPr>
          <w:rStyle w:val="PageNumber"/>
          <w:rFonts w:ascii="Times New Roman" w:hAnsi="Times New Roman" w:cs="Times New Roman"/>
          <w:color w:val="auto"/>
          <w:sz w:val="20"/>
          <w:szCs w:val="20"/>
          <w:lang w:val="en-US"/>
        </w:rPr>
        <w:t xml:space="preserve"> RESOLUTION AGREEMENT between the United States Department of Health and Human Services, Office for Civil Rights (“</w:t>
      </w:r>
      <w:r w:rsidRPr="00D2132F">
        <w:rPr>
          <w:rStyle w:val="PageNumber"/>
          <w:rFonts w:ascii="Times New Roman" w:hAnsi="Times New Roman" w:cs="Times New Roman"/>
          <w:color w:val="auto"/>
          <w:sz w:val="20"/>
          <w:szCs w:val="20"/>
        </w:rPr>
        <w:t>HHS</w:t>
      </w:r>
      <w:r w:rsidRPr="00D2132F">
        <w:rPr>
          <w:rStyle w:val="PageNumber"/>
          <w:rFonts w:ascii="Times New Roman" w:hAnsi="Times New Roman" w:cs="Times New Roman"/>
          <w:color w:val="auto"/>
          <w:sz w:val="20"/>
          <w:szCs w:val="20"/>
          <w:lang w:val="en-US"/>
        </w:rPr>
        <w:t xml:space="preserve">”) and The New York and Presbyterian Hospital (NYP) dated April 20, 2014, </w:t>
      </w:r>
      <w:hyperlink r:id="rId20" w:history="1">
        <w:r w:rsidRPr="00D2132F">
          <w:rPr>
            <w:rStyle w:val="Hyperlink"/>
            <w:rFonts w:ascii="Times New Roman" w:hAnsi="Times New Roman"/>
            <w:sz w:val="20"/>
            <w:szCs w:val="20"/>
          </w:rPr>
          <w:t>https://www.hhs.gov/sites/default/files/ocr/privacy/hipaa/enforcement/examples/ny-and-presbyterian-hospital-settlement-agreement.pdf</w:t>
        </w:r>
      </w:hyperlink>
      <w:r w:rsidRPr="00D2132F">
        <w:rPr>
          <w:rFonts w:ascii="Times New Roman" w:hAnsi="Times New Roman" w:cs="Times New Roman"/>
          <w:sz w:val="20"/>
          <w:szCs w:val="20"/>
        </w:rPr>
        <w:t xml:space="preserve">. </w:t>
      </w:r>
    </w:p>
  </w:footnote>
  <w:footnote w:id="53">
    <w:p w:rsidR="005B2FD1" w:rsidRPr="005B2FD1" w:rsidRDefault="005B2FD1">
      <w:pPr>
        <w:pStyle w:val="FootnoteText"/>
      </w:pPr>
      <w:r>
        <w:rPr>
          <w:rStyle w:val="FootnoteReference"/>
        </w:rPr>
        <w:footnoteRef/>
      </w:r>
      <w:r>
        <w:t xml:space="preserve"> </w:t>
      </w:r>
      <w:r>
        <w:rPr>
          <w:i/>
        </w:rPr>
        <w:t>Audit Report on the Epic Electronic Medical Record System That NYC Health + Hospitals Implemented at the Elmhurst Hospital Center</w:t>
      </w:r>
      <w:r>
        <w:t xml:space="preserve">, New York City Comptroller Scott M. Stringer, January 31, 2018, available at </w:t>
      </w:r>
      <w:hyperlink r:id="rId21" w:history="1">
        <w:r>
          <w:rPr>
            <w:rStyle w:val="Hyperlink"/>
          </w:rPr>
          <w:t>https://comptroller.nyc.gov/reports/audit-report-on-the-epic-electronic-medical-record-system-that-nyc-health-hospitals-implemented-at-the-elmhurst-hospital-center/</w:t>
        </w:r>
      </w:hyperlink>
      <w:r w:rsidR="00CF03B2">
        <w:t xml:space="preserve"> (hereinafter Audit Report). </w:t>
      </w:r>
    </w:p>
  </w:footnote>
  <w:footnote w:id="54">
    <w:p w:rsidR="00DC21DE" w:rsidRPr="00DC21DE" w:rsidRDefault="00DC21DE">
      <w:pPr>
        <w:pStyle w:val="FootnoteText"/>
      </w:pPr>
      <w:r>
        <w:rPr>
          <w:rStyle w:val="FootnoteReference"/>
        </w:rPr>
        <w:footnoteRef/>
      </w:r>
      <w:r>
        <w:t xml:space="preserve"> </w:t>
      </w:r>
      <w:r>
        <w:rPr>
          <w:i/>
        </w:rPr>
        <w:t xml:space="preserve">In a nutshell, </w:t>
      </w:r>
      <w:r>
        <w:t xml:space="preserve">Epic System, available at </w:t>
      </w:r>
      <w:hyperlink r:id="rId22" w:history="1">
        <w:r>
          <w:rPr>
            <w:rStyle w:val="Hyperlink"/>
          </w:rPr>
          <w:t>https://www.epic.com/about</w:t>
        </w:r>
      </w:hyperlink>
    </w:p>
  </w:footnote>
  <w:footnote w:id="55">
    <w:p w:rsidR="00276E1D" w:rsidRDefault="00276E1D">
      <w:pPr>
        <w:pStyle w:val="FootnoteText"/>
      </w:pPr>
      <w:r>
        <w:rPr>
          <w:rStyle w:val="FootnoteReference"/>
        </w:rPr>
        <w:footnoteRef/>
      </w:r>
      <w:r>
        <w:t xml:space="preserve"> </w:t>
      </w:r>
      <w:r>
        <w:rPr>
          <w:i/>
        </w:rPr>
        <w:t>Audit Report</w:t>
      </w:r>
      <w:r w:rsidR="00CF03B2">
        <w:rPr>
          <w:i/>
        </w:rPr>
        <w:t>, supra</w:t>
      </w:r>
      <w:r w:rsidR="00CF03B2">
        <w:t xml:space="preserve"> note 52.</w:t>
      </w:r>
      <w:r>
        <w:rPr>
          <w:i/>
        </w:rPr>
        <w:t xml:space="preserve"> </w:t>
      </w:r>
    </w:p>
  </w:footnote>
  <w:footnote w:id="56">
    <w:p w:rsidR="008A0F79" w:rsidRDefault="008A0F79">
      <w:pPr>
        <w:pStyle w:val="FootnoteText"/>
      </w:pPr>
      <w:r>
        <w:rPr>
          <w:rStyle w:val="FootnoteReference"/>
        </w:rPr>
        <w:footnoteRef/>
      </w:r>
      <w:r>
        <w:t xml:space="preserve"> Hearing Transcript, September 18, 2019, available at </w:t>
      </w:r>
      <w:hyperlink r:id="rId23" w:history="1">
        <w:r>
          <w:rPr>
            <w:rStyle w:val="Hyperlink"/>
          </w:rPr>
          <w:t>file:///C:/Users/EBalkan/Downloads/Hearing%20Transcript%20(5).pdf</w:t>
        </w:r>
      </w:hyperlink>
      <w:r w:rsidR="001D6B58">
        <w:t>.</w:t>
      </w:r>
    </w:p>
  </w:footnote>
  <w:footnote w:id="57">
    <w:p w:rsidR="004D2B5E" w:rsidRDefault="004D2B5E" w:rsidP="004D2B5E">
      <w:pPr>
        <w:pStyle w:val="FootnoteText"/>
      </w:pPr>
      <w:r w:rsidRPr="00533E1F">
        <w:rPr>
          <w:rStyle w:val="FootnoteReference"/>
        </w:rPr>
        <w:footnoteRef/>
      </w:r>
      <w:r w:rsidRPr="00533E1F">
        <w:t xml:space="preserve"> Hearing Transcript, November 2018, available at </w:t>
      </w:r>
      <w:hyperlink r:id="rId24" w:history="1">
        <w:r w:rsidR="001C02C7">
          <w:rPr>
            <w:rStyle w:val="Hyperlink"/>
          </w:rPr>
          <w:t>https://legistar.council.nyc.gov/LegislationDetail.aspx?ID=3721024&amp;GUID=5ED77B87-4A4B-4E8F-B444-3D72F5550DCD&amp;Options=&amp;Search=</w:t>
        </w:r>
      </w:hyperlink>
      <w:r w:rsidR="001C02C7">
        <w:t xml:space="preserve"> </w:t>
      </w:r>
    </w:p>
  </w:footnote>
  <w:footnote w:id="58">
    <w:p w:rsidR="00276E1D" w:rsidRPr="00276E1D" w:rsidRDefault="00276E1D">
      <w:pPr>
        <w:pStyle w:val="FootnoteText"/>
        <w:rPr>
          <w:i/>
        </w:rPr>
      </w:pPr>
      <w:r>
        <w:rPr>
          <w:rStyle w:val="FootnoteReference"/>
        </w:rPr>
        <w:footnoteRef/>
      </w:r>
      <w:r>
        <w:t xml:space="preserve"> </w:t>
      </w:r>
      <w:r w:rsidR="00CF03B2">
        <w:rPr>
          <w:i/>
        </w:rPr>
        <w:t>Audit Report, supra</w:t>
      </w:r>
      <w:r w:rsidR="00CF03B2">
        <w:t xml:space="preserve"> note 52.</w:t>
      </w:r>
    </w:p>
  </w:footnote>
  <w:footnote w:id="59">
    <w:p w:rsidR="008A0F79" w:rsidRPr="008A0F79" w:rsidRDefault="008A0F79">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A9" w:rsidRDefault="00BF5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F" w:rsidRPr="007A4BEE" w:rsidRDefault="00D2132F" w:rsidP="007A4BEE">
    <w:pPr>
      <w:pStyle w:val="Header"/>
      <w:jc w:val="cen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0A0"/>
    <w:multiLevelType w:val="hybridMultilevel"/>
    <w:tmpl w:val="8376A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86266"/>
    <w:multiLevelType w:val="hybridMultilevel"/>
    <w:tmpl w:val="42982B14"/>
    <w:lvl w:ilvl="0" w:tplc="275AF30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BB926CD4">
      <w:start w:val="1"/>
      <w:numFmt w:val="decimal"/>
      <w:lvlText w:val="%2."/>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2" w:tplc="86F60178">
      <w:start w:val="1"/>
      <w:numFmt w:val="decimal"/>
      <w:lvlText w:val="%3."/>
      <w:lvlJc w:val="left"/>
      <w:pPr>
        <w:tabs>
          <w:tab w:val="left" w:pos="1440"/>
        </w:tabs>
        <w:ind w:left="2520" w:hanging="720"/>
      </w:pPr>
      <w:rPr>
        <w:rFonts w:hAnsi="Arial Unicode MS"/>
        <w:caps w:val="0"/>
        <w:smallCaps w:val="0"/>
        <w:strike w:val="0"/>
        <w:dstrike w:val="0"/>
        <w:color w:val="000000"/>
        <w:spacing w:val="0"/>
        <w:w w:val="100"/>
        <w:kern w:val="0"/>
        <w:position w:val="0"/>
        <w:highlight w:val="none"/>
        <w:vertAlign w:val="baseline"/>
      </w:rPr>
    </w:lvl>
    <w:lvl w:ilvl="3" w:tplc="BEB6EFD8">
      <w:start w:val="1"/>
      <w:numFmt w:val="decimal"/>
      <w:lvlText w:val="%4."/>
      <w:lvlJc w:val="left"/>
      <w:pPr>
        <w:tabs>
          <w:tab w:val="left" w:pos="1440"/>
        </w:tabs>
        <w:ind w:left="3240" w:hanging="720"/>
      </w:pPr>
      <w:rPr>
        <w:rFonts w:hAnsi="Arial Unicode MS"/>
        <w:caps w:val="0"/>
        <w:smallCaps w:val="0"/>
        <w:strike w:val="0"/>
        <w:dstrike w:val="0"/>
        <w:color w:val="000000"/>
        <w:spacing w:val="0"/>
        <w:w w:val="100"/>
        <w:kern w:val="0"/>
        <w:position w:val="0"/>
        <w:highlight w:val="none"/>
        <w:vertAlign w:val="baseline"/>
      </w:rPr>
    </w:lvl>
    <w:lvl w:ilvl="4" w:tplc="B8763D36">
      <w:start w:val="1"/>
      <w:numFmt w:val="decimal"/>
      <w:lvlText w:val="%5."/>
      <w:lvlJc w:val="left"/>
      <w:pPr>
        <w:tabs>
          <w:tab w:val="left" w:pos="1440"/>
        </w:tabs>
        <w:ind w:left="3960" w:hanging="720"/>
      </w:pPr>
      <w:rPr>
        <w:rFonts w:hAnsi="Arial Unicode MS"/>
        <w:caps w:val="0"/>
        <w:smallCaps w:val="0"/>
        <w:strike w:val="0"/>
        <w:dstrike w:val="0"/>
        <w:color w:val="000000"/>
        <w:spacing w:val="0"/>
        <w:w w:val="100"/>
        <w:kern w:val="0"/>
        <w:position w:val="0"/>
        <w:highlight w:val="none"/>
        <w:vertAlign w:val="baseline"/>
      </w:rPr>
    </w:lvl>
    <w:lvl w:ilvl="5" w:tplc="8BA48FF2">
      <w:start w:val="1"/>
      <w:numFmt w:val="decimal"/>
      <w:lvlText w:val="%6."/>
      <w:lvlJc w:val="left"/>
      <w:pPr>
        <w:tabs>
          <w:tab w:val="left" w:pos="1440"/>
        </w:tabs>
        <w:ind w:left="4680" w:hanging="720"/>
      </w:pPr>
      <w:rPr>
        <w:rFonts w:hAnsi="Arial Unicode MS"/>
        <w:caps w:val="0"/>
        <w:smallCaps w:val="0"/>
        <w:strike w:val="0"/>
        <w:dstrike w:val="0"/>
        <w:color w:val="000000"/>
        <w:spacing w:val="0"/>
        <w:w w:val="100"/>
        <w:kern w:val="0"/>
        <w:position w:val="0"/>
        <w:highlight w:val="none"/>
        <w:vertAlign w:val="baseline"/>
      </w:rPr>
    </w:lvl>
    <w:lvl w:ilvl="6" w:tplc="D9E2536A">
      <w:start w:val="1"/>
      <w:numFmt w:val="decimal"/>
      <w:lvlText w:val="%7."/>
      <w:lvlJc w:val="left"/>
      <w:pPr>
        <w:tabs>
          <w:tab w:val="left" w:pos="1440"/>
        </w:tabs>
        <w:ind w:left="5400" w:hanging="720"/>
      </w:pPr>
      <w:rPr>
        <w:rFonts w:hAnsi="Arial Unicode MS"/>
        <w:caps w:val="0"/>
        <w:smallCaps w:val="0"/>
        <w:strike w:val="0"/>
        <w:dstrike w:val="0"/>
        <w:color w:val="000000"/>
        <w:spacing w:val="0"/>
        <w:w w:val="100"/>
        <w:kern w:val="0"/>
        <w:position w:val="0"/>
        <w:highlight w:val="none"/>
        <w:vertAlign w:val="baseline"/>
      </w:rPr>
    </w:lvl>
    <w:lvl w:ilvl="7" w:tplc="811C7D88">
      <w:start w:val="1"/>
      <w:numFmt w:val="decimal"/>
      <w:lvlText w:val="%8."/>
      <w:lvlJc w:val="left"/>
      <w:pPr>
        <w:tabs>
          <w:tab w:val="left" w:pos="1440"/>
        </w:tabs>
        <w:ind w:left="6120" w:hanging="720"/>
      </w:pPr>
      <w:rPr>
        <w:rFonts w:hAnsi="Arial Unicode MS"/>
        <w:caps w:val="0"/>
        <w:smallCaps w:val="0"/>
        <w:strike w:val="0"/>
        <w:dstrike w:val="0"/>
        <w:color w:val="000000"/>
        <w:spacing w:val="0"/>
        <w:w w:val="100"/>
        <w:kern w:val="0"/>
        <w:position w:val="0"/>
        <w:highlight w:val="none"/>
        <w:vertAlign w:val="baseline"/>
      </w:rPr>
    </w:lvl>
    <w:lvl w:ilvl="8" w:tplc="2EBC2FD8">
      <w:start w:val="1"/>
      <w:numFmt w:val="decimal"/>
      <w:lvlText w:val="%9."/>
      <w:lvlJc w:val="left"/>
      <w:pPr>
        <w:tabs>
          <w:tab w:val="left" w:pos="1440"/>
        </w:tabs>
        <w:ind w:left="6840" w:hanging="72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87B070D"/>
    <w:multiLevelType w:val="hybridMultilevel"/>
    <w:tmpl w:val="35D22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042FC2"/>
    <w:multiLevelType w:val="hybridMultilevel"/>
    <w:tmpl w:val="B50E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4070"/>
    <w:multiLevelType w:val="hybridMultilevel"/>
    <w:tmpl w:val="8FCA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A2604"/>
    <w:multiLevelType w:val="hybridMultilevel"/>
    <w:tmpl w:val="50B0CF78"/>
    <w:lvl w:ilvl="0" w:tplc="65F29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57359"/>
    <w:multiLevelType w:val="hybridMultilevel"/>
    <w:tmpl w:val="EB4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746424"/>
    <w:multiLevelType w:val="hybridMultilevel"/>
    <w:tmpl w:val="B2EA6C54"/>
    <w:lvl w:ilvl="0" w:tplc="A7862A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355CD6"/>
    <w:multiLevelType w:val="hybridMultilevel"/>
    <w:tmpl w:val="EC9A6F1E"/>
    <w:lvl w:ilvl="0" w:tplc="031A74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8508AD"/>
    <w:multiLevelType w:val="hybridMultilevel"/>
    <w:tmpl w:val="05AAA6A0"/>
    <w:lvl w:ilvl="0" w:tplc="A7FAA478">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F05944"/>
    <w:multiLevelType w:val="hybridMultilevel"/>
    <w:tmpl w:val="86DE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170BB8"/>
    <w:multiLevelType w:val="hybridMultilevel"/>
    <w:tmpl w:val="18E21B46"/>
    <w:lvl w:ilvl="0" w:tplc="5A3AED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F15BE"/>
    <w:multiLevelType w:val="hybridMultilevel"/>
    <w:tmpl w:val="6C9C0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97055B"/>
    <w:multiLevelType w:val="hybridMultilevel"/>
    <w:tmpl w:val="5E6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483B97"/>
    <w:multiLevelType w:val="multilevel"/>
    <w:tmpl w:val="B7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71B51"/>
    <w:multiLevelType w:val="multilevel"/>
    <w:tmpl w:val="5D1C5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B407D8A"/>
    <w:multiLevelType w:val="multilevel"/>
    <w:tmpl w:val="ACCED4E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9361D15"/>
    <w:multiLevelType w:val="multilevel"/>
    <w:tmpl w:val="D60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D36B1"/>
    <w:multiLevelType w:val="hybridMultilevel"/>
    <w:tmpl w:val="D5A0E44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0" w15:restartNumberingAfterBreak="0">
    <w:nsid w:val="7C0E0959"/>
    <w:multiLevelType w:val="hybridMultilevel"/>
    <w:tmpl w:val="95A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52AA4"/>
    <w:multiLevelType w:val="hybridMultilevel"/>
    <w:tmpl w:val="7F848BC0"/>
    <w:lvl w:ilvl="0" w:tplc="E41CBCF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9"/>
  </w:num>
  <w:num w:numId="4">
    <w:abstractNumId w:val="18"/>
  </w:num>
  <w:num w:numId="5">
    <w:abstractNumId w:val="9"/>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num>
  <w:num w:numId="14">
    <w:abstractNumId w:val="13"/>
  </w:num>
  <w:num w:numId="15">
    <w:abstractNumId w:val="3"/>
  </w:num>
  <w:num w:numId="16">
    <w:abstractNumId w:val="14"/>
  </w:num>
  <w:num w:numId="17">
    <w:abstractNumId w:val="5"/>
  </w:num>
  <w:num w:numId="18">
    <w:abstractNumId w:val="10"/>
  </w:num>
  <w:num w:numId="19">
    <w:abstractNumId w:val="12"/>
  </w:num>
  <w:num w:numId="20">
    <w:abstractNumId w:val="1"/>
  </w:num>
  <w:num w:numId="21">
    <w:abstractNumId w:val="6"/>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1019"/>
    <w:rsid w:val="00001E06"/>
    <w:rsid w:val="00003827"/>
    <w:rsid w:val="000041BC"/>
    <w:rsid w:val="0000436F"/>
    <w:rsid w:val="00007B0B"/>
    <w:rsid w:val="00011C4B"/>
    <w:rsid w:val="00012739"/>
    <w:rsid w:val="00013617"/>
    <w:rsid w:val="00013A7C"/>
    <w:rsid w:val="00013D87"/>
    <w:rsid w:val="00014C3C"/>
    <w:rsid w:val="00015A8D"/>
    <w:rsid w:val="00016254"/>
    <w:rsid w:val="00016369"/>
    <w:rsid w:val="00023B12"/>
    <w:rsid w:val="000255D9"/>
    <w:rsid w:val="00026371"/>
    <w:rsid w:val="00027E67"/>
    <w:rsid w:val="000306E4"/>
    <w:rsid w:val="00030C17"/>
    <w:rsid w:val="00033582"/>
    <w:rsid w:val="00035B90"/>
    <w:rsid w:val="00040BB2"/>
    <w:rsid w:val="000437EB"/>
    <w:rsid w:val="00044B16"/>
    <w:rsid w:val="00044B95"/>
    <w:rsid w:val="0004672E"/>
    <w:rsid w:val="000568F4"/>
    <w:rsid w:val="00056F93"/>
    <w:rsid w:val="000573CF"/>
    <w:rsid w:val="000631B9"/>
    <w:rsid w:val="00064FD3"/>
    <w:rsid w:val="00065205"/>
    <w:rsid w:val="00065BC9"/>
    <w:rsid w:val="00067412"/>
    <w:rsid w:val="00067607"/>
    <w:rsid w:val="00070FA7"/>
    <w:rsid w:val="000712C4"/>
    <w:rsid w:val="00071A4B"/>
    <w:rsid w:val="00072630"/>
    <w:rsid w:val="00073AB3"/>
    <w:rsid w:val="00074267"/>
    <w:rsid w:val="00081964"/>
    <w:rsid w:val="00084780"/>
    <w:rsid w:val="00084FC4"/>
    <w:rsid w:val="000857ED"/>
    <w:rsid w:val="0008635C"/>
    <w:rsid w:val="00087E78"/>
    <w:rsid w:val="00093BB3"/>
    <w:rsid w:val="000969E0"/>
    <w:rsid w:val="00096A8A"/>
    <w:rsid w:val="00096D33"/>
    <w:rsid w:val="000A2061"/>
    <w:rsid w:val="000A5016"/>
    <w:rsid w:val="000A53B1"/>
    <w:rsid w:val="000A73DF"/>
    <w:rsid w:val="000B1700"/>
    <w:rsid w:val="000B2BE0"/>
    <w:rsid w:val="000B4233"/>
    <w:rsid w:val="000B5EF5"/>
    <w:rsid w:val="000B649E"/>
    <w:rsid w:val="000B7EF9"/>
    <w:rsid w:val="000C27C1"/>
    <w:rsid w:val="000C4993"/>
    <w:rsid w:val="000C4C4B"/>
    <w:rsid w:val="000D1917"/>
    <w:rsid w:val="000D4250"/>
    <w:rsid w:val="000D6405"/>
    <w:rsid w:val="000D68AF"/>
    <w:rsid w:val="000E1003"/>
    <w:rsid w:val="000E1892"/>
    <w:rsid w:val="000E4BC3"/>
    <w:rsid w:val="000E5AC3"/>
    <w:rsid w:val="000F1D6B"/>
    <w:rsid w:val="000F60EC"/>
    <w:rsid w:val="00101A92"/>
    <w:rsid w:val="001035E1"/>
    <w:rsid w:val="0010381F"/>
    <w:rsid w:val="001050CC"/>
    <w:rsid w:val="001054F2"/>
    <w:rsid w:val="001065EC"/>
    <w:rsid w:val="00107DB8"/>
    <w:rsid w:val="0011099A"/>
    <w:rsid w:val="001114B7"/>
    <w:rsid w:val="00113A5C"/>
    <w:rsid w:val="001177EB"/>
    <w:rsid w:val="0012031E"/>
    <w:rsid w:val="00123B9B"/>
    <w:rsid w:val="00123D36"/>
    <w:rsid w:val="00124293"/>
    <w:rsid w:val="001246AF"/>
    <w:rsid w:val="00126D4E"/>
    <w:rsid w:val="0013033F"/>
    <w:rsid w:val="00130934"/>
    <w:rsid w:val="00132129"/>
    <w:rsid w:val="001340B5"/>
    <w:rsid w:val="001349AB"/>
    <w:rsid w:val="00134CBF"/>
    <w:rsid w:val="00136076"/>
    <w:rsid w:val="001378B6"/>
    <w:rsid w:val="001405A8"/>
    <w:rsid w:val="00140AE0"/>
    <w:rsid w:val="0014483E"/>
    <w:rsid w:val="001456BB"/>
    <w:rsid w:val="00146BA2"/>
    <w:rsid w:val="00147730"/>
    <w:rsid w:val="00152590"/>
    <w:rsid w:val="0015363B"/>
    <w:rsid w:val="001548EA"/>
    <w:rsid w:val="00155BBB"/>
    <w:rsid w:val="00156115"/>
    <w:rsid w:val="001561F6"/>
    <w:rsid w:val="00156EDE"/>
    <w:rsid w:val="00165324"/>
    <w:rsid w:val="001662AD"/>
    <w:rsid w:val="00166C61"/>
    <w:rsid w:val="00167554"/>
    <w:rsid w:val="001710ED"/>
    <w:rsid w:val="00181CC7"/>
    <w:rsid w:val="0018678D"/>
    <w:rsid w:val="0019036F"/>
    <w:rsid w:val="00190EAF"/>
    <w:rsid w:val="00193403"/>
    <w:rsid w:val="00194434"/>
    <w:rsid w:val="00195472"/>
    <w:rsid w:val="00196EEF"/>
    <w:rsid w:val="0019760A"/>
    <w:rsid w:val="001A1CA5"/>
    <w:rsid w:val="001A2D2F"/>
    <w:rsid w:val="001A5AF2"/>
    <w:rsid w:val="001B0568"/>
    <w:rsid w:val="001B14B0"/>
    <w:rsid w:val="001B2CD2"/>
    <w:rsid w:val="001B2E12"/>
    <w:rsid w:val="001B4B3D"/>
    <w:rsid w:val="001B4CCA"/>
    <w:rsid w:val="001B541E"/>
    <w:rsid w:val="001B5C32"/>
    <w:rsid w:val="001B61DE"/>
    <w:rsid w:val="001B7410"/>
    <w:rsid w:val="001B7DBE"/>
    <w:rsid w:val="001C02C7"/>
    <w:rsid w:val="001C4F48"/>
    <w:rsid w:val="001C5913"/>
    <w:rsid w:val="001D0CC4"/>
    <w:rsid w:val="001D4BBD"/>
    <w:rsid w:val="001D5A1E"/>
    <w:rsid w:val="001D6B58"/>
    <w:rsid w:val="001E182F"/>
    <w:rsid w:val="001E1EE4"/>
    <w:rsid w:val="001E291A"/>
    <w:rsid w:val="001E6B94"/>
    <w:rsid w:val="001E71D1"/>
    <w:rsid w:val="001E74BF"/>
    <w:rsid w:val="001E785D"/>
    <w:rsid w:val="001F0896"/>
    <w:rsid w:val="001F1F89"/>
    <w:rsid w:val="001F24A9"/>
    <w:rsid w:val="001F26B4"/>
    <w:rsid w:val="001F26B6"/>
    <w:rsid w:val="001F43CA"/>
    <w:rsid w:val="001F4429"/>
    <w:rsid w:val="002005F2"/>
    <w:rsid w:val="00201360"/>
    <w:rsid w:val="002026AB"/>
    <w:rsid w:val="002030F8"/>
    <w:rsid w:val="0020382B"/>
    <w:rsid w:val="00203B66"/>
    <w:rsid w:val="00204ED5"/>
    <w:rsid w:val="002069C5"/>
    <w:rsid w:val="002123C8"/>
    <w:rsid w:val="002139BE"/>
    <w:rsid w:val="00213E91"/>
    <w:rsid w:val="002154A8"/>
    <w:rsid w:val="00216658"/>
    <w:rsid w:val="00220A46"/>
    <w:rsid w:val="00226400"/>
    <w:rsid w:val="00227ADA"/>
    <w:rsid w:val="00230168"/>
    <w:rsid w:val="00230D2F"/>
    <w:rsid w:val="002365F3"/>
    <w:rsid w:val="00236FB4"/>
    <w:rsid w:val="00240D73"/>
    <w:rsid w:val="00244B24"/>
    <w:rsid w:val="002459FD"/>
    <w:rsid w:val="00246F37"/>
    <w:rsid w:val="0024780B"/>
    <w:rsid w:val="00247CF5"/>
    <w:rsid w:val="00253C61"/>
    <w:rsid w:val="00253D9D"/>
    <w:rsid w:val="0025473F"/>
    <w:rsid w:val="002548EE"/>
    <w:rsid w:val="00260224"/>
    <w:rsid w:val="002619B8"/>
    <w:rsid w:val="002706DE"/>
    <w:rsid w:val="00272477"/>
    <w:rsid w:val="0027267E"/>
    <w:rsid w:val="0027329B"/>
    <w:rsid w:val="0027385D"/>
    <w:rsid w:val="00273EED"/>
    <w:rsid w:val="00275DA0"/>
    <w:rsid w:val="00276E1D"/>
    <w:rsid w:val="00277339"/>
    <w:rsid w:val="00277902"/>
    <w:rsid w:val="00280AD3"/>
    <w:rsid w:val="00282E2F"/>
    <w:rsid w:val="00283F2D"/>
    <w:rsid w:val="0028652F"/>
    <w:rsid w:val="00291C6D"/>
    <w:rsid w:val="00294CD2"/>
    <w:rsid w:val="0029553D"/>
    <w:rsid w:val="002960FF"/>
    <w:rsid w:val="002974C3"/>
    <w:rsid w:val="002A00CF"/>
    <w:rsid w:val="002A06B8"/>
    <w:rsid w:val="002A0DB0"/>
    <w:rsid w:val="002A12FD"/>
    <w:rsid w:val="002A3BF7"/>
    <w:rsid w:val="002A4FEB"/>
    <w:rsid w:val="002A6941"/>
    <w:rsid w:val="002A6FDA"/>
    <w:rsid w:val="002A76F0"/>
    <w:rsid w:val="002B10AB"/>
    <w:rsid w:val="002B1951"/>
    <w:rsid w:val="002B2FEE"/>
    <w:rsid w:val="002B4BCE"/>
    <w:rsid w:val="002B4E9E"/>
    <w:rsid w:val="002B5150"/>
    <w:rsid w:val="002B5B28"/>
    <w:rsid w:val="002B742E"/>
    <w:rsid w:val="002C0013"/>
    <w:rsid w:val="002C1D5B"/>
    <w:rsid w:val="002C2781"/>
    <w:rsid w:val="002C3662"/>
    <w:rsid w:val="002C3985"/>
    <w:rsid w:val="002C46C7"/>
    <w:rsid w:val="002D60E2"/>
    <w:rsid w:val="002D7F43"/>
    <w:rsid w:val="002E5BFF"/>
    <w:rsid w:val="002E6491"/>
    <w:rsid w:val="002E7866"/>
    <w:rsid w:val="002F00F6"/>
    <w:rsid w:val="002F61A2"/>
    <w:rsid w:val="002F713D"/>
    <w:rsid w:val="002F7607"/>
    <w:rsid w:val="00303055"/>
    <w:rsid w:val="00303200"/>
    <w:rsid w:val="0030529D"/>
    <w:rsid w:val="003074FE"/>
    <w:rsid w:val="00313632"/>
    <w:rsid w:val="00314C37"/>
    <w:rsid w:val="003163C8"/>
    <w:rsid w:val="00316A3D"/>
    <w:rsid w:val="0031706B"/>
    <w:rsid w:val="00317689"/>
    <w:rsid w:val="00320D37"/>
    <w:rsid w:val="00320EF9"/>
    <w:rsid w:val="00321C57"/>
    <w:rsid w:val="00322C29"/>
    <w:rsid w:val="00324D87"/>
    <w:rsid w:val="0033039B"/>
    <w:rsid w:val="00330442"/>
    <w:rsid w:val="00330E9A"/>
    <w:rsid w:val="00332055"/>
    <w:rsid w:val="00332465"/>
    <w:rsid w:val="00333D3B"/>
    <w:rsid w:val="00337B68"/>
    <w:rsid w:val="00340197"/>
    <w:rsid w:val="00340F04"/>
    <w:rsid w:val="00341E75"/>
    <w:rsid w:val="003427C7"/>
    <w:rsid w:val="00343783"/>
    <w:rsid w:val="003446D4"/>
    <w:rsid w:val="0034793C"/>
    <w:rsid w:val="0035009B"/>
    <w:rsid w:val="0035029A"/>
    <w:rsid w:val="003508C7"/>
    <w:rsid w:val="00352233"/>
    <w:rsid w:val="00352A8C"/>
    <w:rsid w:val="00355C48"/>
    <w:rsid w:val="00363166"/>
    <w:rsid w:val="00365384"/>
    <w:rsid w:val="0036715A"/>
    <w:rsid w:val="003679BD"/>
    <w:rsid w:val="00370750"/>
    <w:rsid w:val="003736B3"/>
    <w:rsid w:val="00373780"/>
    <w:rsid w:val="00376382"/>
    <w:rsid w:val="00377D10"/>
    <w:rsid w:val="00377F4C"/>
    <w:rsid w:val="0038065F"/>
    <w:rsid w:val="00383DBA"/>
    <w:rsid w:val="003872AD"/>
    <w:rsid w:val="003872FF"/>
    <w:rsid w:val="00396973"/>
    <w:rsid w:val="00397F00"/>
    <w:rsid w:val="003A166C"/>
    <w:rsid w:val="003A2025"/>
    <w:rsid w:val="003A3058"/>
    <w:rsid w:val="003A4C04"/>
    <w:rsid w:val="003B2EA1"/>
    <w:rsid w:val="003B30AB"/>
    <w:rsid w:val="003B314A"/>
    <w:rsid w:val="003B5FBA"/>
    <w:rsid w:val="003C1478"/>
    <w:rsid w:val="003C191B"/>
    <w:rsid w:val="003C38B8"/>
    <w:rsid w:val="003C42D5"/>
    <w:rsid w:val="003C56FD"/>
    <w:rsid w:val="003C5917"/>
    <w:rsid w:val="003C7155"/>
    <w:rsid w:val="003D0499"/>
    <w:rsid w:val="003D1E5B"/>
    <w:rsid w:val="003D314D"/>
    <w:rsid w:val="003D71F0"/>
    <w:rsid w:val="003D7248"/>
    <w:rsid w:val="003E0174"/>
    <w:rsid w:val="003E02A1"/>
    <w:rsid w:val="003E118D"/>
    <w:rsid w:val="003E366A"/>
    <w:rsid w:val="003E3E0B"/>
    <w:rsid w:val="003E4648"/>
    <w:rsid w:val="003E7645"/>
    <w:rsid w:val="003F0C41"/>
    <w:rsid w:val="003F1AB6"/>
    <w:rsid w:val="003F51C8"/>
    <w:rsid w:val="003F6522"/>
    <w:rsid w:val="00401A80"/>
    <w:rsid w:val="00403A28"/>
    <w:rsid w:val="00406E76"/>
    <w:rsid w:val="00407303"/>
    <w:rsid w:val="004074DC"/>
    <w:rsid w:val="00410058"/>
    <w:rsid w:val="00411C75"/>
    <w:rsid w:val="00412D4E"/>
    <w:rsid w:val="004139A0"/>
    <w:rsid w:val="00414465"/>
    <w:rsid w:val="00420235"/>
    <w:rsid w:val="00420473"/>
    <w:rsid w:val="00423A65"/>
    <w:rsid w:val="00425784"/>
    <w:rsid w:val="004308C8"/>
    <w:rsid w:val="00431805"/>
    <w:rsid w:val="00431FA8"/>
    <w:rsid w:val="004326B3"/>
    <w:rsid w:val="00434893"/>
    <w:rsid w:val="00434BD9"/>
    <w:rsid w:val="00435A17"/>
    <w:rsid w:val="00436338"/>
    <w:rsid w:val="00441602"/>
    <w:rsid w:val="00441E7F"/>
    <w:rsid w:val="0044317D"/>
    <w:rsid w:val="004451D6"/>
    <w:rsid w:val="0044608D"/>
    <w:rsid w:val="00446357"/>
    <w:rsid w:val="00446C3B"/>
    <w:rsid w:val="00446D67"/>
    <w:rsid w:val="00451015"/>
    <w:rsid w:val="004539EA"/>
    <w:rsid w:val="00454619"/>
    <w:rsid w:val="00455977"/>
    <w:rsid w:val="00455DF5"/>
    <w:rsid w:val="00457070"/>
    <w:rsid w:val="004575C6"/>
    <w:rsid w:val="004579EC"/>
    <w:rsid w:val="00460975"/>
    <w:rsid w:val="00460EFC"/>
    <w:rsid w:val="00463452"/>
    <w:rsid w:val="00463515"/>
    <w:rsid w:val="00463767"/>
    <w:rsid w:val="00464902"/>
    <w:rsid w:val="004674F3"/>
    <w:rsid w:val="004732CA"/>
    <w:rsid w:val="004779C9"/>
    <w:rsid w:val="00480EEE"/>
    <w:rsid w:val="00482357"/>
    <w:rsid w:val="00485B33"/>
    <w:rsid w:val="004860A7"/>
    <w:rsid w:val="0048688C"/>
    <w:rsid w:val="00487405"/>
    <w:rsid w:val="00492FB7"/>
    <w:rsid w:val="0049538F"/>
    <w:rsid w:val="00495C1B"/>
    <w:rsid w:val="004969D3"/>
    <w:rsid w:val="0049705C"/>
    <w:rsid w:val="004977A1"/>
    <w:rsid w:val="004A32D8"/>
    <w:rsid w:val="004A3C0A"/>
    <w:rsid w:val="004A41B5"/>
    <w:rsid w:val="004A6C83"/>
    <w:rsid w:val="004B0C86"/>
    <w:rsid w:val="004B77CB"/>
    <w:rsid w:val="004C1DBF"/>
    <w:rsid w:val="004C6B57"/>
    <w:rsid w:val="004C73BA"/>
    <w:rsid w:val="004D1105"/>
    <w:rsid w:val="004D19E1"/>
    <w:rsid w:val="004D2B29"/>
    <w:rsid w:val="004D2B5E"/>
    <w:rsid w:val="004D4F72"/>
    <w:rsid w:val="004D5379"/>
    <w:rsid w:val="004D6F7D"/>
    <w:rsid w:val="004E3878"/>
    <w:rsid w:val="004E47AF"/>
    <w:rsid w:val="004E5790"/>
    <w:rsid w:val="004E74D7"/>
    <w:rsid w:val="004F0D9A"/>
    <w:rsid w:val="004F1DE0"/>
    <w:rsid w:val="004F3A7E"/>
    <w:rsid w:val="004F4BB2"/>
    <w:rsid w:val="00500CD5"/>
    <w:rsid w:val="00502778"/>
    <w:rsid w:val="00503959"/>
    <w:rsid w:val="00503F4D"/>
    <w:rsid w:val="00504B53"/>
    <w:rsid w:val="005065F0"/>
    <w:rsid w:val="005067FD"/>
    <w:rsid w:val="00507B45"/>
    <w:rsid w:val="00507D52"/>
    <w:rsid w:val="00512A91"/>
    <w:rsid w:val="00514506"/>
    <w:rsid w:val="00517D3A"/>
    <w:rsid w:val="005212C7"/>
    <w:rsid w:val="00523442"/>
    <w:rsid w:val="00526C29"/>
    <w:rsid w:val="005307C6"/>
    <w:rsid w:val="0053180B"/>
    <w:rsid w:val="00531C1A"/>
    <w:rsid w:val="00533E1F"/>
    <w:rsid w:val="005345D3"/>
    <w:rsid w:val="00535B78"/>
    <w:rsid w:val="00536E75"/>
    <w:rsid w:val="005434EC"/>
    <w:rsid w:val="00543B1E"/>
    <w:rsid w:val="0054495C"/>
    <w:rsid w:val="00545306"/>
    <w:rsid w:val="00546511"/>
    <w:rsid w:val="0054660E"/>
    <w:rsid w:val="00547364"/>
    <w:rsid w:val="00553A7E"/>
    <w:rsid w:val="005543C5"/>
    <w:rsid w:val="00561C52"/>
    <w:rsid w:val="00563BEE"/>
    <w:rsid w:val="0056401B"/>
    <w:rsid w:val="005644B8"/>
    <w:rsid w:val="005646B3"/>
    <w:rsid w:val="005725ED"/>
    <w:rsid w:val="00573487"/>
    <w:rsid w:val="005735B7"/>
    <w:rsid w:val="00573FB9"/>
    <w:rsid w:val="00574099"/>
    <w:rsid w:val="00575FBF"/>
    <w:rsid w:val="00577C39"/>
    <w:rsid w:val="00577F7C"/>
    <w:rsid w:val="00581EBB"/>
    <w:rsid w:val="00582D4B"/>
    <w:rsid w:val="00582DAE"/>
    <w:rsid w:val="00584B38"/>
    <w:rsid w:val="005850C5"/>
    <w:rsid w:val="00586022"/>
    <w:rsid w:val="00586B3B"/>
    <w:rsid w:val="00587EAB"/>
    <w:rsid w:val="0059531C"/>
    <w:rsid w:val="005965D8"/>
    <w:rsid w:val="0059768F"/>
    <w:rsid w:val="0059787D"/>
    <w:rsid w:val="005A1A57"/>
    <w:rsid w:val="005A59DD"/>
    <w:rsid w:val="005A5ACF"/>
    <w:rsid w:val="005A617A"/>
    <w:rsid w:val="005B0194"/>
    <w:rsid w:val="005B0D9E"/>
    <w:rsid w:val="005B1129"/>
    <w:rsid w:val="005B18B2"/>
    <w:rsid w:val="005B2FD1"/>
    <w:rsid w:val="005C1364"/>
    <w:rsid w:val="005C4526"/>
    <w:rsid w:val="005C5EC7"/>
    <w:rsid w:val="005C7BB2"/>
    <w:rsid w:val="005D366A"/>
    <w:rsid w:val="005D47DA"/>
    <w:rsid w:val="005D5331"/>
    <w:rsid w:val="005D557A"/>
    <w:rsid w:val="005D5B10"/>
    <w:rsid w:val="005D67E7"/>
    <w:rsid w:val="005D6DC8"/>
    <w:rsid w:val="005E2245"/>
    <w:rsid w:val="005E2F5D"/>
    <w:rsid w:val="005E4E16"/>
    <w:rsid w:val="005E56C5"/>
    <w:rsid w:val="005E59AC"/>
    <w:rsid w:val="005F08A3"/>
    <w:rsid w:val="005F244A"/>
    <w:rsid w:val="005F2503"/>
    <w:rsid w:val="006004E9"/>
    <w:rsid w:val="00600930"/>
    <w:rsid w:val="00600BC2"/>
    <w:rsid w:val="006013D4"/>
    <w:rsid w:val="00601A3F"/>
    <w:rsid w:val="0060512B"/>
    <w:rsid w:val="0060549E"/>
    <w:rsid w:val="00605619"/>
    <w:rsid w:val="00606546"/>
    <w:rsid w:val="00607F69"/>
    <w:rsid w:val="0061070D"/>
    <w:rsid w:val="00612516"/>
    <w:rsid w:val="00615656"/>
    <w:rsid w:val="00615F62"/>
    <w:rsid w:val="00616E95"/>
    <w:rsid w:val="0062242C"/>
    <w:rsid w:val="0062266E"/>
    <w:rsid w:val="00625E5C"/>
    <w:rsid w:val="0062747C"/>
    <w:rsid w:val="006276E9"/>
    <w:rsid w:val="00627AAE"/>
    <w:rsid w:val="006315C3"/>
    <w:rsid w:val="00633532"/>
    <w:rsid w:val="0063505B"/>
    <w:rsid w:val="00635DCD"/>
    <w:rsid w:val="00636B75"/>
    <w:rsid w:val="00637631"/>
    <w:rsid w:val="00637692"/>
    <w:rsid w:val="006403A2"/>
    <w:rsid w:val="00640D73"/>
    <w:rsid w:val="0064357F"/>
    <w:rsid w:val="0065198D"/>
    <w:rsid w:val="00652B14"/>
    <w:rsid w:val="00653734"/>
    <w:rsid w:val="00657DCC"/>
    <w:rsid w:val="00662161"/>
    <w:rsid w:val="00662C34"/>
    <w:rsid w:val="00664AFB"/>
    <w:rsid w:val="00665735"/>
    <w:rsid w:val="006659A0"/>
    <w:rsid w:val="006703CB"/>
    <w:rsid w:val="006714E8"/>
    <w:rsid w:val="0067581A"/>
    <w:rsid w:val="00676A92"/>
    <w:rsid w:val="006773F3"/>
    <w:rsid w:val="00677AB0"/>
    <w:rsid w:val="00681CC3"/>
    <w:rsid w:val="00686FFF"/>
    <w:rsid w:val="00687A62"/>
    <w:rsid w:val="00691073"/>
    <w:rsid w:val="00691BAE"/>
    <w:rsid w:val="00692848"/>
    <w:rsid w:val="00692FE0"/>
    <w:rsid w:val="006930A8"/>
    <w:rsid w:val="00695F45"/>
    <w:rsid w:val="006A01CD"/>
    <w:rsid w:val="006A133E"/>
    <w:rsid w:val="006A2592"/>
    <w:rsid w:val="006A43B4"/>
    <w:rsid w:val="006A538B"/>
    <w:rsid w:val="006A62A9"/>
    <w:rsid w:val="006A6915"/>
    <w:rsid w:val="006B3C49"/>
    <w:rsid w:val="006B4712"/>
    <w:rsid w:val="006B5F90"/>
    <w:rsid w:val="006B7C0C"/>
    <w:rsid w:val="006C06BE"/>
    <w:rsid w:val="006C1AE2"/>
    <w:rsid w:val="006C247B"/>
    <w:rsid w:val="006C3A64"/>
    <w:rsid w:val="006C459A"/>
    <w:rsid w:val="006C5A57"/>
    <w:rsid w:val="006C6EC4"/>
    <w:rsid w:val="006D1AB0"/>
    <w:rsid w:val="006D4F0A"/>
    <w:rsid w:val="006D513B"/>
    <w:rsid w:val="006D700E"/>
    <w:rsid w:val="006D74D0"/>
    <w:rsid w:val="006D7B4E"/>
    <w:rsid w:val="006E1A09"/>
    <w:rsid w:val="006E224A"/>
    <w:rsid w:val="006E3E99"/>
    <w:rsid w:val="006E4E30"/>
    <w:rsid w:val="006E6689"/>
    <w:rsid w:val="006F0E80"/>
    <w:rsid w:val="006F1113"/>
    <w:rsid w:val="006F1488"/>
    <w:rsid w:val="006F247E"/>
    <w:rsid w:val="006F308F"/>
    <w:rsid w:val="006F33B5"/>
    <w:rsid w:val="006F4091"/>
    <w:rsid w:val="006F6D94"/>
    <w:rsid w:val="007026E0"/>
    <w:rsid w:val="00703C39"/>
    <w:rsid w:val="007061CE"/>
    <w:rsid w:val="00706397"/>
    <w:rsid w:val="00707E4C"/>
    <w:rsid w:val="007107B4"/>
    <w:rsid w:val="00711704"/>
    <w:rsid w:val="007126B3"/>
    <w:rsid w:val="0071544C"/>
    <w:rsid w:val="00722053"/>
    <w:rsid w:val="00722308"/>
    <w:rsid w:val="0072247B"/>
    <w:rsid w:val="00727559"/>
    <w:rsid w:val="00727BB1"/>
    <w:rsid w:val="0073097D"/>
    <w:rsid w:val="0073142F"/>
    <w:rsid w:val="00731D54"/>
    <w:rsid w:val="007327E0"/>
    <w:rsid w:val="007334A1"/>
    <w:rsid w:val="00743F4E"/>
    <w:rsid w:val="00747368"/>
    <w:rsid w:val="00747BFD"/>
    <w:rsid w:val="007509FD"/>
    <w:rsid w:val="00751856"/>
    <w:rsid w:val="00754AE5"/>
    <w:rsid w:val="00754DF6"/>
    <w:rsid w:val="00756EA2"/>
    <w:rsid w:val="00762FCE"/>
    <w:rsid w:val="00763FDB"/>
    <w:rsid w:val="00764D3E"/>
    <w:rsid w:val="00765687"/>
    <w:rsid w:val="0076623F"/>
    <w:rsid w:val="007677FA"/>
    <w:rsid w:val="007741FC"/>
    <w:rsid w:val="0077548B"/>
    <w:rsid w:val="00776CBB"/>
    <w:rsid w:val="00780447"/>
    <w:rsid w:val="007808AD"/>
    <w:rsid w:val="00780A78"/>
    <w:rsid w:val="007811EC"/>
    <w:rsid w:val="00782D69"/>
    <w:rsid w:val="00782F34"/>
    <w:rsid w:val="00782FD3"/>
    <w:rsid w:val="0078311B"/>
    <w:rsid w:val="00785493"/>
    <w:rsid w:val="00785F3F"/>
    <w:rsid w:val="0078612F"/>
    <w:rsid w:val="00787BE4"/>
    <w:rsid w:val="00793D7F"/>
    <w:rsid w:val="007A00D6"/>
    <w:rsid w:val="007A0B81"/>
    <w:rsid w:val="007A4BEE"/>
    <w:rsid w:val="007A5A8D"/>
    <w:rsid w:val="007A60EA"/>
    <w:rsid w:val="007A72B7"/>
    <w:rsid w:val="007B17FC"/>
    <w:rsid w:val="007B2401"/>
    <w:rsid w:val="007B48F5"/>
    <w:rsid w:val="007B508A"/>
    <w:rsid w:val="007B5691"/>
    <w:rsid w:val="007B5B07"/>
    <w:rsid w:val="007C082C"/>
    <w:rsid w:val="007C20AB"/>
    <w:rsid w:val="007C2839"/>
    <w:rsid w:val="007C30C2"/>
    <w:rsid w:val="007C52F0"/>
    <w:rsid w:val="007C69A9"/>
    <w:rsid w:val="007C6DE9"/>
    <w:rsid w:val="007C75D3"/>
    <w:rsid w:val="007D072C"/>
    <w:rsid w:val="007D2497"/>
    <w:rsid w:val="007D30F4"/>
    <w:rsid w:val="007D3ACF"/>
    <w:rsid w:val="007D45A9"/>
    <w:rsid w:val="007D778D"/>
    <w:rsid w:val="007D79E3"/>
    <w:rsid w:val="007E2032"/>
    <w:rsid w:val="007E3E7A"/>
    <w:rsid w:val="007E452B"/>
    <w:rsid w:val="007E48CC"/>
    <w:rsid w:val="007E6001"/>
    <w:rsid w:val="007E6B78"/>
    <w:rsid w:val="007F0DCE"/>
    <w:rsid w:val="007F377C"/>
    <w:rsid w:val="007F3927"/>
    <w:rsid w:val="007F3FC9"/>
    <w:rsid w:val="007F4ED7"/>
    <w:rsid w:val="00800498"/>
    <w:rsid w:val="008009F7"/>
    <w:rsid w:val="00801EC6"/>
    <w:rsid w:val="00802AAE"/>
    <w:rsid w:val="00804B46"/>
    <w:rsid w:val="00804BCC"/>
    <w:rsid w:val="00805B73"/>
    <w:rsid w:val="00806135"/>
    <w:rsid w:val="0080776F"/>
    <w:rsid w:val="00811007"/>
    <w:rsid w:val="00812EB9"/>
    <w:rsid w:val="00812EC6"/>
    <w:rsid w:val="00814B0A"/>
    <w:rsid w:val="008233BB"/>
    <w:rsid w:val="0082417D"/>
    <w:rsid w:val="00824377"/>
    <w:rsid w:val="008254BB"/>
    <w:rsid w:val="00830F3D"/>
    <w:rsid w:val="00833D4E"/>
    <w:rsid w:val="00833EB7"/>
    <w:rsid w:val="00836883"/>
    <w:rsid w:val="008368C3"/>
    <w:rsid w:val="00836F1C"/>
    <w:rsid w:val="00837A4D"/>
    <w:rsid w:val="00837CE4"/>
    <w:rsid w:val="00837ED4"/>
    <w:rsid w:val="00841627"/>
    <w:rsid w:val="0084168E"/>
    <w:rsid w:val="00842F36"/>
    <w:rsid w:val="0084365C"/>
    <w:rsid w:val="00844000"/>
    <w:rsid w:val="00847465"/>
    <w:rsid w:val="00850A9D"/>
    <w:rsid w:val="00851F52"/>
    <w:rsid w:val="00851F63"/>
    <w:rsid w:val="00853114"/>
    <w:rsid w:val="00853395"/>
    <w:rsid w:val="008555B0"/>
    <w:rsid w:val="00856101"/>
    <w:rsid w:val="0085660E"/>
    <w:rsid w:val="00857D5A"/>
    <w:rsid w:val="00860F5A"/>
    <w:rsid w:val="008622CB"/>
    <w:rsid w:val="0086442B"/>
    <w:rsid w:val="008648D4"/>
    <w:rsid w:val="00865E6F"/>
    <w:rsid w:val="00866217"/>
    <w:rsid w:val="0086773F"/>
    <w:rsid w:val="008702A5"/>
    <w:rsid w:val="008715D2"/>
    <w:rsid w:val="00871715"/>
    <w:rsid w:val="00873D2E"/>
    <w:rsid w:val="00874067"/>
    <w:rsid w:val="0087473A"/>
    <w:rsid w:val="00874FFA"/>
    <w:rsid w:val="0087533D"/>
    <w:rsid w:val="008756AD"/>
    <w:rsid w:val="008764BE"/>
    <w:rsid w:val="00880251"/>
    <w:rsid w:val="008807AC"/>
    <w:rsid w:val="00880C2E"/>
    <w:rsid w:val="00883CAF"/>
    <w:rsid w:val="00885297"/>
    <w:rsid w:val="00890159"/>
    <w:rsid w:val="00893113"/>
    <w:rsid w:val="00897108"/>
    <w:rsid w:val="008A0F79"/>
    <w:rsid w:val="008A1739"/>
    <w:rsid w:val="008A3251"/>
    <w:rsid w:val="008A6C7F"/>
    <w:rsid w:val="008A6D9A"/>
    <w:rsid w:val="008B07FE"/>
    <w:rsid w:val="008B1E90"/>
    <w:rsid w:val="008B544B"/>
    <w:rsid w:val="008C0D85"/>
    <w:rsid w:val="008C75A3"/>
    <w:rsid w:val="008C79D8"/>
    <w:rsid w:val="008C7A1D"/>
    <w:rsid w:val="008D3E3D"/>
    <w:rsid w:val="008D7571"/>
    <w:rsid w:val="008D7C93"/>
    <w:rsid w:val="008E106C"/>
    <w:rsid w:val="008E2E8B"/>
    <w:rsid w:val="008E4A9C"/>
    <w:rsid w:val="008E5015"/>
    <w:rsid w:val="008E666E"/>
    <w:rsid w:val="008F166A"/>
    <w:rsid w:val="008F2089"/>
    <w:rsid w:val="008F3C6A"/>
    <w:rsid w:val="008F3DA9"/>
    <w:rsid w:val="008F48A7"/>
    <w:rsid w:val="008F5074"/>
    <w:rsid w:val="008F5749"/>
    <w:rsid w:val="008F6ADE"/>
    <w:rsid w:val="008F7F01"/>
    <w:rsid w:val="009006D6"/>
    <w:rsid w:val="009025A2"/>
    <w:rsid w:val="0090271E"/>
    <w:rsid w:val="00903B04"/>
    <w:rsid w:val="0090476D"/>
    <w:rsid w:val="00907921"/>
    <w:rsid w:val="00910B2B"/>
    <w:rsid w:val="0091105A"/>
    <w:rsid w:val="009120F7"/>
    <w:rsid w:val="00912B71"/>
    <w:rsid w:val="00913002"/>
    <w:rsid w:val="009138DD"/>
    <w:rsid w:val="00920974"/>
    <w:rsid w:val="00920C96"/>
    <w:rsid w:val="00926F4E"/>
    <w:rsid w:val="009276AF"/>
    <w:rsid w:val="009276B3"/>
    <w:rsid w:val="00927920"/>
    <w:rsid w:val="00931F81"/>
    <w:rsid w:val="00934C52"/>
    <w:rsid w:val="00937D8C"/>
    <w:rsid w:val="00941713"/>
    <w:rsid w:val="009461DB"/>
    <w:rsid w:val="009468EA"/>
    <w:rsid w:val="00947DF4"/>
    <w:rsid w:val="00950625"/>
    <w:rsid w:val="009508F2"/>
    <w:rsid w:val="00951263"/>
    <w:rsid w:val="00951C80"/>
    <w:rsid w:val="00952497"/>
    <w:rsid w:val="00953437"/>
    <w:rsid w:val="00953ADE"/>
    <w:rsid w:val="00953C70"/>
    <w:rsid w:val="009547EB"/>
    <w:rsid w:val="00954DAB"/>
    <w:rsid w:val="00954FAF"/>
    <w:rsid w:val="00956192"/>
    <w:rsid w:val="00956BB6"/>
    <w:rsid w:val="00956BF3"/>
    <w:rsid w:val="009575D3"/>
    <w:rsid w:val="009635DB"/>
    <w:rsid w:val="009641B5"/>
    <w:rsid w:val="009726F8"/>
    <w:rsid w:val="00974BED"/>
    <w:rsid w:val="0097710B"/>
    <w:rsid w:val="00977C02"/>
    <w:rsid w:val="00981243"/>
    <w:rsid w:val="00982D61"/>
    <w:rsid w:val="00984A78"/>
    <w:rsid w:val="00984CFB"/>
    <w:rsid w:val="00985FCA"/>
    <w:rsid w:val="00986428"/>
    <w:rsid w:val="00990C80"/>
    <w:rsid w:val="00993777"/>
    <w:rsid w:val="009938F2"/>
    <w:rsid w:val="00993B38"/>
    <w:rsid w:val="0099421F"/>
    <w:rsid w:val="00995A64"/>
    <w:rsid w:val="009978B1"/>
    <w:rsid w:val="00997C00"/>
    <w:rsid w:val="00997C0E"/>
    <w:rsid w:val="009A15EF"/>
    <w:rsid w:val="009A2802"/>
    <w:rsid w:val="009A3947"/>
    <w:rsid w:val="009A62EE"/>
    <w:rsid w:val="009A77A4"/>
    <w:rsid w:val="009B0529"/>
    <w:rsid w:val="009B06A5"/>
    <w:rsid w:val="009B08D9"/>
    <w:rsid w:val="009B1AD9"/>
    <w:rsid w:val="009B3315"/>
    <w:rsid w:val="009B4C8D"/>
    <w:rsid w:val="009B6904"/>
    <w:rsid w:val="009B6D82"/>
    <w:rsid w:val="009C0531"/>
    <w:rsid w:val="009C1FE4"/>
    <w:rsid w:val="009D0172"/>
    <w:rsid w:val="009D045A"/>
    <w:rsid w:val="009D1A2B"/>
    <w:rsid w:val="009D3094"/>
    <w:rsid w:val="009D5677"/>
    <w:rsid w:val="009D6B17"/>
    <w:rsid w:val="009D7FC5"/>
    <w:rsid w:val="009E2028"/>
    <w:rsid w:val="009E222C"/>
    <w:rsid w:val="009E6B0F"/>
    <w:rsid w:val="009E6C55"/>
    <w:rsid w:val="009F051B"/>
    <w:rsid w:val="00A016E3"/>
    <w:rsid w:val="00A01E54"/>
    <w:rsid w:val="00A02D9D"/>
    <w:rsid w:val="00A0540A"/>
    <w:rsid w:val="00A05FD1"/>
    <w:rsid w:val="00A13C94"/>
    <w:rsid w:val="00A15ABE"/>
    <w:rsid w:val="00A17B4D"/>
    <w:rsid w:val="00A22032"/>
    <w:rsid w:val="00A246E6"/>
    <w:rsid w:val="00A24A95"/>
    <w:rsid w:val="00A26F08"/>
    <w:rsid w:val="00A30F27"/>
    <w:rsid w:val="00A31C83"/>
    <w:rsid w:val="00A33CC9"/>
    <w:rsid w:val="00A3437B"/>
    <w:rsid w:val="00A353E3"/>
    <w:rsid w:val="00A365EC"/>
    <w:rsid w:val="00A376D8"/>
    <w:rsid w:val="00A40BC5"/>
    <w:rsid w:val="00A411D5"/>
    <w:rsid w:val="00A41430"/>
    <w:rsid w:val="00A42DC2"/>
    <w:rsid w:val="00A440D6"/>
    <w:rsid w:val="00A4485C"/>
    <w:rsid w:val="00A44F04"/>
    <w:rsid w:val="00A46C8F"/>
    <w:rsid w:val="00A46D6C"/>
    <w:rsid w:val="00A5006B"/>
    <w:rsid w:val="00A5148C"/>
    <w:rsid w:val="00A53CF2"/>
    <w:rsid w:val="00A54436"/>
    <w:rsid w:val="00A54559"/>
    <w:rsid w:val="00A55DFA"/>
    <w:rsid w:val="00A574B6"/>
    <w:rsid w:val="00A578FE"/>
    <w:rsid w:val="00A60A6B"/>
    <w:rsid w:val="00A60E28"/>
    <w:rsid w:val="00A6427D"/>
    <w:rsid w:val="00A648F0"/>
    <w:rsid w:val="00A669D4"/>
    <w:rsid w:val="00A67AE0"/>
    <w:rsid w:val="00A71226"/>
    <w:rsid w:val="00A71BAD"/>
    <w:rsid w:val="00A71DCD"/>
    <w:rsid w:val="00A71E03"/>
    <w:rsid w:val="00A729E0"/>
    <w:rsid w:val="00A74943"/>
    <w:rsid w:val="00A76372"/>
    <w:rsid w:val="00A84D8B"/>
    <w:rsid w:val="00A85AC3"/>
    <w:rsid w:val="00A85DE6"/>
    <w:rsid w:val="00A872F4"/>
    <w:rsid w:val="00A87A21"/>
    <w:rsid w:val="00A87A48"/>
    <w:rsid w:val="00A9019E"/>
    <w:rsid w:val="00A91C60"/>
    <w:rsid w:val="00A93A64"/>
    <w:rsid w:val="00A94495"/>
    <w:rsid w:val="00A9658A"/>
    <w:rsid w:val="00A96F37"/>
    <w:rsid w:val="00AA0172"/>
    <w:rsid w:val="00AA0AFF"/>
    <w:rsid w:val="00AA1053"/>
    <w:rsid w:val="00AA20DA"/>
    <w:rsid w:val="00AA33EA"/>
    <w:rsid w:val="00AA378B"/>
    <w:rsid w:val="00AA3CA6"/>
    <w:rsid w:val="00AA526F"/>
    <w:rsid w:val="00AA667D"/>
    <w:rsid w:val="00AA66E1"/>
    <w:rsid w:val="00AB0705"/>
    <w:rsid w:val="00AB298F"/>
    <w:rsid w:val="00AB322A"/>
    <w:rsid w:val="00AB4878"/>
    <w:rsid w:val="00AB4A3B"/>
    <w:rsid w:val="00AC0031"/>
    <w:rsid w:val="00AC0296"/>
    <w:rsid w:val="00AC1444"/>
    <w:rsid w:val="00AC1C58"/>
    <w:rsid w:val="00AC43BA"/>
    <w:rsid w:val="00AC48C1"/>
    <w:rsid w:val="00AC4DE7"/>
    <w:rsid w:val="00AC4E4A"/>
    <w:rsid w:val="00AC5879"/>
    <w:rsid w:val="00AC69C7"/>
    <w:rsid w:val="00AD02DF"/>
    <w:rsid w:val="00AD27F8"/>
    <w:rsid w:val="00AD2D09"/>
    <w:rsid w:val="00AD3C57"/>
    <w:rsid w:val="00AD417F"/>
    <w:rsid w:val="00AE1A5A"/>
    <w:rsid w:val="00AE21F4"/>
    <w:rsid w:val="00AE2AC8"/>
    <w:rsid w:val="00AE350B"/>
    <w:rsid w:val="00AE360A"/>
    <w:rsid w:val="00AE3950"/>
    <w:rsid w:val="00AE7BDD"/>
    <w:rsid w:val="00AE7C1E"/>
    <w:rsid w:val="00AF1023"/>
    <w:rsid w:val="00AF1D6E"/>
    <w:rsid w:val="00AF7873"/>
    <w:rsid w:val="00B021EA"/>
    <w:rsid w:val="00B04FDA"/>
    <w:rsid w:val="00B06D82"/>
    <w:rsid w:val="00B07523"/>
    <w:rsid w:val="00B108B6"/>
    <w:rsid w:val="00B12A55"/>
    <w:rsid w:val="00B12D63"/>
    <w:rsid w:val="00B12EFE"/>
    <w:rsid w:val="00B142E7"/>
    <w:rsid w:val="00B17013"/>
    <w:rsid w:val="00B17954"/>
    <w:rsid w:val="00B20EEE"/>
    <w:rsid w:val="00B22396"/>
    <w:rsid w:val="00B234B1"/>
    <w:rsid w:val="00B249DF"/>
    <w:rsid w:val="00B24FCD"/>
    <w:rsid w:val="00B26125"/>
    <w:rsid w:val="00B305E9"/>
    <w:rsid w:val="00B328AF"/>
    <w:rsid w:val="00B32CE7"/>
    <w:rsid w:val="00B33E3B"/>
    <w:rsid w:val="00B3672F"/>
    <w:rsid w:val="00B42C72"/>
    <w:rsid w:val="00B451AB"/>
    <w:rsid w:val="00B46352"/>
    <w:rsid w:val="00B466D7"/>
    <w:rsid w:val="00B52386"/>
    <w:rsid w:val="00B54B4E"/>
    <w:rsid w:val="00B57330"/>
    <w:rsid w:val="00B57F1B"/>
    <w:rsid w:val="00B6091D"/>
    <w:rsid w:val="00B61C91"/>
    <w:rsid w:val="00B6737F"/>
    <w:rsid w:val="00B6766E"/>
    <w:rsid w:val="00B706E9"/>
    <w:rsid w:val="00B7071E"/>
    <w:rsid w:val="00B71B84"/>
    <w:rsid w:val="00B71CDD"/>
    <w:rsid w:val="00B72047"/>
    <w:rsid w:val="00B7284B"/>
    <w:rsid w:val="00B73ACA"/>
    <w:rsid w:val="00B7439A"/>
    <w:rsid w:val="00B76F1E"/>
    <w:rsid w:val="00B76F8B"/>
    <w:rsid w:val="00B81377"/>
    <w:rsid w:val="00B8186C"/>
    <w:rsid w:val="00B81B4B"/>
    <w:rsid w:val="00B81DD0"/>
    <w:rsid w:val="00B82F72"/>
    <w:rsid w:val="00B8309E"/>
    <w:rsid w:val="00B84867"/>
    <w:rsid w:val="00B85046"/>
    <w:rsid w:val="00B87600"/>
    <w:rsid w:val="00B9242D"/>
    <w:rsid w:val="00BA0CB5"/>
    <w:rsid w:val="00BA689E"/>
    <w:rsid w:val="00BB0197"/>
    <w:rsid w:val="00BB0BEA"/>
    <w:rsid w:val="00BB2B2E"/>
    <w:rsid w:val="00BB4963"/>
    <w:rsid w:val="00BB53CF"/>
    <w:rsid w:val="00BB6B7E"/>
    <w:rsid w:val="00BC1A57"/>
    <w:rsid w:val="00BC3352"/>
    <w:rsid w:val="00BC33CB"/>
    <w:rsid w:val="00BC682B"/>
    <w:rsid w:val="00BC69EE"/>
    <w:rsid w:val="00BC77CA"/>
    <w:rsid w:val="00BD3C53"/>
    <w:rsid w:val="00BD608F"/>
    <w:rsid w:val="00BE4974"/>
    <w:rsid w:val="00BE7447"/>
    <w:rsid w:val="00BE74BA"/>
    <w:rsid w:val="00BF0595"/>
    <w:rsid w:val="00BF11D4"/>
    <w:rsid w:val="00BF2414"/>
    <w:rsid w:val="00BF2F25"/>
    <w:rsid w:val="00BF4205"/>
    <w:rsid w:val="00BF4F65"/>
    <w:rsid w:val="00BF57A9"/>
    <w:rsid w:val="00BF588D"/>
    <w:rsid w:val="00BF6BB7"/>
    <w:rsid w:val="00BF6CFC"/>
    <w:rsid w:val="00C00B16"/>
    <w:rsid w:val="00C03A0D"/>
    <w:rsid w:val="00C06E71"/>
    <w:rsid w:val="00C07814"/>
    <w:rsid w:val="00C124A4"/>
    <w:rsid w:val="00C14A54"/>
    <w:rsid w:val="00C17376"/>
    <w:rsid w:val="00C22257"/>
    <w:rsid w:val="00C22B39"/>
    <w:rsid w:val="00C244A1"/>
    <w:rsid w:val="00C253AB"/>
    <w:rsid w:val="00C26EA9"/>
    <w:rsid w:val="00C3096B"/>
    <w:rsid w:val="00C31456"/>
    <w:rsid w:val="00C320F7"/>
    <w:rsid w:val="00C349FC"/>
    <w:rsid w:val="00C34ACB"/>
    <w:rsid w:val="00C36E96"/>
    <w:rsid w:val="00C37BB9"/>
    <w:rsid w:val="00C402E0"/>
    <w:rsid w:val="00C4226D"/>
    <w:rsid w:val="00C436E8"/>
    <w:rsid w:val="00C44272"/>
    <w:rsid w:val="00C443C5"/>
    <w:rsid w:val="00C45CD8"/>
    <w:rsid w:val="00C46789"/>
    <w:rsid w:val="00C47B73"/>
    <w:rsid w:val="00C50B8B"/>
    <w:rsid w:val="00C52067"/>
    <w:rsid w:val="00C52104"/>
    <w:rsid w:val="00C53A74"/>
    <w:rsid w:val="00C55A3D"/>
    <w:rsid w:val="00C6605B"/>
    <w:rsid w:val="00C7241D"/>
    <w:rsid w:val="00C74BD7"/>
    <w:rsid w:val="00C75C46"/>
    <w:rsid w:val="00C76CB2"/>
    <w:rsid w:val="00C773A5"/>
    <w:rsid w:val="00C7746B"/>
    <w:rsid w:val="00C77C19"/>
    <w:rsid w:val="00C81103"/>
    <w:rsid w:val="00C831D1"/>
    <w:rsid w:val="00C83851"/>
    <w:rsid w:val="00C8503F"/>
    <w:rsid w:val="00C86805"/>
    <w:rsid w:val="00C93ACB"/>
    <w:rsid w:val="00C94048"/>
    <w:rsid w:val="00C9492A"/>
    <w:rsid w:val="00C97F10"/>
    <w:rsid w:val="00CA0B78"/>
    <w:rsid w:val="00CA28AC"/>
    <w:rsid w:val="00CA2DEF"/>
    <w:rsid w:val="00CA2ED5"/>
    <w:rsid w:val="00CA32D0"/>
    <w:rsid w:val="00CA4AF3"/>
    <w:rsid w:val="00CA559F"/>
    <w:rsid w:val="00CA5F64"/>
    <w:rsid w:val="00CA629F"/>
    <w:rsid w:val="00CA6DA5"/>
    <w:rsid w:val="00CA7584"/>
    <w:rsid w:val="00CA7721"/>
    <w:rsid w:val="00CA7B5A"/>
    <w:rsid w:val="00CB2599"/>
    <w:rsid w:val="00CB3014"/>
    <w:rsid w:val="00CB565E"/>
    <w:rsid w:val="00CB5F44"/>
    <w:rsid w:val="00CB6AAD"/>
    <w:rsid w:val="00CC0B9F"/>
    <w:rsid w:val="00CC290D"/>
    <w:rsid w:val="00CC398F"/>
    <w:rsid w:val="00CC3E96"/>
    <w:rsid w:val="00CC5F9A"/>
    <w:rsid w:val="00CC67DC"/>
    <w:rsid w:val="00CC7B38"/>
    <w:rsid w:val="00CD2CAA"/>
    <w:rsid w:val="00CD4BA0"/>
    <w:rsid w:val="00CD4E6A"/>
    <w:rsid w:val="00CD56B5"/>
    <w:rsid w:val="00CD6CD5"/>
    <w:rsid w:val="00CD79DD"/>
    <w:rsid w:val="00CD7F08"/>
    <w:rsid w:val="00CE14BD"/>
    <w:rsid w:val="00CE1AAC"/>
    <w:rsid w:val="00CE27EB"/>
    <w:rsid w:val="00CE2B57"/>
    <w:rsid w:val="00CE2BC0"/>
    <w:rsid w:val="00CE421D"/>
    <w:rsid w:val="00CF03B2"/>
    <w:rsid w:val="00CF2705"/>
    <w:rsid w:val="00CF2CE1"/>
    <w:rsid w:val="00CF3E7E"/>
    <w:rsid w:val="00CF7994"/>
    <w:rsid w:val="00D01695"/>
    <w:rsid w:val="00D01FD0"/>
    <w:rsid w:val="00D024D4"/>
    <w:rsid w:val="00D02A85"/>
    <w:rsid w:val="00D02F7F"/>
    <w:rsid w:val="00D0335A"/>
    <w:rsid w:val="00D03DD3"/>
    <w:rsid w:val="00D05CD8"/>
    <w:rsid w:val="00D06173"/>
    <w:rsid w:val="00D105F0"/>
    <w:rsid w:val="00D1228C"/>
    <w:rsid w:val="00D14BE0"/>
    <w:rsid w:val="00D15C1D"/>
    <w:rsid w:val="00D2132F"/>
    <w:rsid w:val="00D21CF5"/>
    <w:rsid w:val="00D23606"/>
    <w:rsid w:val="00D24BFB"/>
    <w:rsid w:val="00D24EC0"/>
    <w:rsid w:val="00D30B9C"/>
    <w:rsid w:val="00D3149C"/>
    <w:rsid w:val="00D360B6"/>
    <w:rsid w:val="00D40A37"/>
    <w:rsid w:val="00D42951"/>
    <w:rsid w:val="00D43643"/>
    <w:rsid w:val="00D44730"/>
    <w:rsid w:val="00D45AB8"/>
    <w:rsid w:val="00D46235"/>
    <w:rsid w:val="00D510AC"/>
    <w:rsid w:val="00D51405"/>
    <w:rsid w:val="00D52D61"/>
    <w:rsid w:val="00D54198"/>
    <w:rsid w:val="00D54903"/>
    <w:rsid w:val="00D5702E"/>
    <w:rsid w:val="00D60CDB"/>
    <w:rsid w:val="00D60E2A"/>
    <w:rsid w:val="00D6245E"/>
    <w:rsid w:val="00D6400F"/>
    <w:rsid w:val="00D6545F"/>
    <w:rsid w:val="00D66D01"/>
    <w:rsid w:val="00D73023"/>
    <w:rsid w:val="00D7337F"/>
    <w:rsid w:val="00D7397C"/>
    <w:rsid w:val="00D75686"/>
    <w:rsid w:val="00D761CA"/>
    <w:rsid w:val="00D762AD"/>
    <w:rsid w:val="00D76932"/>
    <w:rsid w:val="00D80599"/>
    <w:rsid w:val="00D81478"/>
    <w:rsid w:val="00D82B03"/>
    <w:rsid w:val="00D82D48"/>
    <w:rsid w:val="00D82E32"/>
    <w:rsid w:val="00D84A00"/>
    <w:rsid w:val="00D85D16"/>
    <w:rsid w:val="00D86B60"/>
    <w:rsid w:val="00D87D7D"/>
    <w:rsid w:val="00D9306E"/>
    <w:rsid w:val="00D954A9"/>
    <w:rsid w:val="00D95C1C"/>
    <w:rsid w:val="00D970B5"/>
    <w:rsid w:val="00DA0018"/>
    <w:rsid w:val="00DA0D8D"/>
    <w:rsid w:val="00DA207D"/>
    <w:rsid w:val="00DA5467"/>
    <w:rsid w:val="00DA6271"/>
    <w:rsid w:val="00DA7FC4"/>
    <w:rsid w:val="00DB1E22"/>
    <w:rsid w:val="00DB32ED"/>
    <w:rsid w:val="00DB3CB0"/>
    <w:rsid w:val="00DB45B8"/>
    <w:rsid w:val="00DB4DD3"/>
    <w:rsid w:val="00DB78DF"/>
    <w:rsid w:val="00DB7F62"/>
    <w:rsid w:val="00DC05C7"/>
    <w:rsid w:val="00DC1483"/>
    <w:rsid w:val="00DC21DE"/>
    <w:rsid w:val="00DD45C8"/>
    <w:rsid w:val="00DD49EC"/>
    <w:rsid w:val="00DD4B23"/>
    <w:rsid w:val="00DD553E"/>
    <w:rsid w:val="00DD5D54"/>
    <w:rsid w:val="00DD6ADC"/>
    <w:rsid w:val="00DD6B35"/>
    <w:rsid w:val="00DD7221"/>
    <w:rsid w:val="00DD79E2"/>
    <w:rsid w:val="00DE16CD"/>
    <w:rsid w:val="00DE2B59"/>
    <w:rsid w:val="00DE4D35"/>
    <w:rsid w:val="00DE62B9"/>
    <w:rsid w:val="00DE7768"/>
    <w:rsid w:val="00DF1027"/>
    <w:rsid w:val="00DF2CE7"/>
    <w:rsid w:val="00DF33BF"/>
    <w:rsid w:val="00DF3E07"/>
    <w:rsid w:val="00DF4C72"/>
    <w:rsid w:val="00DF675A"/>
    <w:rsid w:val="00DF6AB7"/>
    <w:rsid w:val="00E011F5"/>
    <w:rsid w:val="00E019DC"/>
    <w:rsid w:val="00E04442"/>
    <w:rsid w:val="00E064B2"/>
    <w:rsid w:val="00E075BF"/>
    <w:rsid w:val="00E10B8A"/>
    <w:rsid w:val="00E11BC1"/>
    <w:rsid w:val="00E125C7"/>
    <w:rsid w:val="00E13AFE"/>
    <w:rsid w:val="00E13E7A"/>
    <w:rsid w:val="00E149AD"/>
    <w:rsid w:val="00E15348"/>
    <w:rsid w:val="00E21771"/>
    <w:rsid w:val="00E235CC"/>
    <w:rsid w:val="00E26199"/>
    <w:rsid w:val="00E26B4B"/>
    <w:rsid w:val="00E2723F"/>
    <w:rsid w:val="00E300F5"/>
    <w:rsid w:val="00E30657"/>
    <w:rsid w:val="00E33A82"/>
    <w:rsid w:val="00E342B1"/>
    <w:rsid w:val="00E34DC4"/>
    <w:rsid w:val="00E355E8"/>
    <w:rsid w:val="00E35AA4"/>
    <w:rsid w:val="00E37B6D"/>
    <w:rsid w:val="00E37CEC"/>
    <w:rsid w:val="00E41852"/>
    <w:rsid w:val="00E43834"/>
    <w:rsid w:val="00E457A9"/>
    <w:rsid w:val="00E45BCC"/>
    <w:rsid w:val="00E4655E"/>
    <w:rsid w:val="00E54F68"/>
    <w:rsid w:val="00E5682E"/>
    <w:rsid w:val="00E6062B"/>
    <w:rsid w:val="00E61733"/>
    <w:rsid w:val="00E65F86"/>
    <w:rsid w:val="00E66899"/>
    <w:rsid w:val="00E73113"/>
    <w:rsid w:val="00E73EA6"/>
    <w:rsid w:val="00E755ED"/>
    <w:rsid w:val="00E759E0"/>
    <w:rsid w:val="00E7619A"/>
    <w:rsid w:val="00E766B1"/>
    <w:rsid w:val="00E768D7"/>
    <w:rsid w:val="00E77AF6"/>
    <w:rsid w:val="00E803B2"/>
    <w:rsid w:val="00E80AE6"/>
    <w:rsid w:val="00E83B1A"/>
    <w:rsid w:val="00E84910"/>
    <w:rsid w:val="00E85499"/>
    <w:rsid w:val="00E86C8C"/>
    <w:rsid w:val="00E86F03"/>
    <w:rsid w:val="00E90C24"/>
    <w:rsid w:val="00E932C4"/>
    <w:rsid w:val="00E93748"/>
    <w:rsid w:val="00E94309"/>
    <w:rsid w:val="00E962BC"/>
    <w:rsid w:val="00EA2B60"/>
    <w:rsid w:val="00EA2D67"/>
    <w:rsid w:val="00EA4F7D"/>
    <w:rsid w:val="00EA60DF"/>
    <w:rsid w:val="00EA62FC"/>
    <w:rsid w:val="00EA63BB"/>
    <w:rsid w:val="00EA7502"/>
    <w:rsid w:val="00EB04BA"/>
    <w:rsid w:val="00EB40D7"/>
    <w:rsid w:val="00EB7CC1"/>
    <w:rsid w:val="00EB7FFB"/>
    <w:rsid w:val="00EC147D"/>
    <w:rsid w:val="00EC1575"/>
    <w:rsid w:val="00EC20FF"/>
    <w:rsid w:val="00EC3341"/>
    <w:rsid w:val="00EC610D"/>
    <w:rsid w:val="00ED3544"/>
    <w:rsid w:val="00ED3546"/>
    <w:rsid w:val="00ED37F4"/>
    <w:rsid w:val="00ED51E0"/>
    <w:rsid w:val="00ED6756"/>
    <w:rsid w:val="00ED678F"/>
    <w:rsid w:val="00ED7592"/>
    <w:rsid w:val="00EE1487"/>
    <w:rsid w:val="00EE1724"/>
    <w:rsid w:val="00EE1EBD"/>
    <w:rsid w:val="00EE3C1A"/>
    <w:rsid w:val="00EE3FB7"/>
    <w:rsid w:val="00EE6036"/>
    <w:rsid w:val="00EE67CF"/>
    <w:rsid w:val="00EE7A15"/>
    <w:rsid w:val="00EF2421"/>
    <w:rsid w:val="00EF2A62"/>
    <w:rsid w:val="00EF4D8C"/>
    <w:rsid w:val="00EF6B11"/>
    <w:rsid w:val="00EF79AE"/>
    <w:rsid w:val="00EF7F05"/>
    <w:rsid w:val="00F035E3"/>
    <w:rsid w:val="00F1187E"/>
    <w:rsid w:val="00F16A58"/>
    <w:rsid w:val="00F16C0C"/>
    <w:rsid w:val="00F20B4E"/>
    <w:rsid w:val="00F23641"/>
    <w:rsid w:val="00F24058"/>
    <w:rsid w:val="00F24642"/>
    <w:rsid w:val="00F26964"/>
    <w:rsid w:val="00F27607"/>
    <w:rsid w:val="00F32488"/>
    <w:rsid w:val="00F3378A"/>
    <w:rsid w:val="00F33ADE"/>
    <w:rsid w:val="00F33E61"/>
    <w:rsid w:val="00F3476F"/>
    <w:rsid w:val="00F34A8C"/>
    <w:rsid w:val="00F37416"/>
    <w:rsid w:val="00F42B28"/>
    <w:rsid w:val="00F433E5"/>
    <w:rsid w:val="00F43C47"/>
    <w:rsid w:val="00F444CF"/>
    <w:rsid w:val="00F44580"/>
    <w:rsid w:val="00F45C63"/>
    <w:rsid w:val="00F47FE5"/>
    <w:rsid w:val="00F51D41"/>
    <w:rsid w:val="00F522EE"/>
    <w:rsid w:val="00F5697C"/>
    <w:rsid w:val="00F57113"/>
    <w:rsid w:val="00F62053"/>
    <w:rsid w:val="00F6359E"/>
    <w:rsid w:val="00F70B6F"/>
    <w:rsid w:val="00F7564F"/>
    <w:rsid w:val="00F76C6E"/>
    <w:rsid w:val="00F8001D"/>
    <w:rsid w:val="00F8095D"/>
    <w:rsid w:val="00F81EEC"/>
    <w:rsid w:val="00F829BC"/>
    <w:rsid w:val="00F834E2"/>
    <w:rsid w:val="00F84519"/>
    <w:rsid w:val="00F84AD9"/>
    <w:rsid w:val="00F8592B"/>
    <w:rsid w:val="00F8592D"/>
    <w:rsid w:val="00F90E5C"/>
    <w:rsid w:val="00F917B4"/>
    <w:rsid w:val="00F9460F"/>
    <w:rsid w:val="00F94D43"/>
    <w:rsid w:val="00F97FF2"/>
    <w:rsid w:val="00FA0241"/>
    <w:rsid w:val="00FA3AE2"/>
    <w:rsid w:val="00FA3D80"/>
    <w:rsid w:val="00FA3F34"/>
    <w:rsid w:val="00FA4305"/>
    <w:rsid w:val="00FA4306"/>
    <w:rsid w:val="00FA5851"/>
    <w:rsid w:val="00FB03D4"/>
    <w:rsid w:val="00FB0559"/>
    <w:rsid w:val="00FB1702"/>
    <w:rsid w:val="00FB1884"/>
    <w:rsid w:val="00FB2205"/>
    <w:rsid w:val="00FB455E"/>
    <w:rsid w:val="00FB5050"/>
    <w:rsid w:val="00FB529D"/>
    <w:rsid w:val="00FB7AF2"/>
    <w:rsid w:val="00FC0370"/>
    <w:rsid w:val="00FC0A10"/>
    <w:rsid w:val="00FC25B7"/>
    <w:rsid w:val="00FC2706"/>
    <w:rsid w:val="00FC51C6"/>
    <w:rsid w:val="00FC5A48"/>
    <w:rsid w:val="00FC7784"/>
    <w:rsid w:val="00FD1383"/>
    <w:rsid w:val="00FD36C2"/>
    <w:rsid w:val="00FD3B1D"/>
    <w:rsid w:val="00FD76E9"/>
    <w:rsid w:val="00FE12BF"/>
    <w:rsid w:val="00FE2BA2"/>
    <w:rsid w:val="00FE351A"/>
    <w:rsid w:val="00FE3B77"/>
    <w:rsid w:val="00FE3F4A"/>
    <w:rsid w:val="00FE603C"/>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5A59203C-7389-46FD-BCE2-B38CC35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CC"/>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4">
    <w:name w:val="heading 4"/>
    <w:basedOn w:val="Normal"/>
    <w:next w:val="Normal"/>
    <w:link w:val="Heading4Char"/>
    <w:semiHidden/>
    <w:unhideWhenUsed/>
    <w:qFormat/>
    <w:locked/>
    <w:rsid w:val="00460EFC"/>
    <w:pPr>
      <w:keepNext/>
      <w:keepLines/>
      <w:spacing w:before="40"/>
      <w:outlineLvl w:val="3"/>
    </w:pPr>
    <w:rPr>
      <w:rFonts w:ascii="Cambria" w:eastAsia="MS Gothic" w:hAnsi="Cambria"/>
      <w:i/>
      <w:iCs/>
      <w:color w:val="365F91"/>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2AC8"/>
    <w:rPr>
      <w:rFonts w:ascii="Cambria" w:hAnsi="Cambria" w:cs="Times New Roman"/>
      <w:b/>
      <w:bCs/>
      <w:color w:val="365F91"/>
      <w:sz w:val="28"/>
      <w:szCs w:val="28"/>
    </w:rPr>
  </w:style>
  <w:style w:type="character" w:customStyle="1" w:styleId="Heading2Char">
    <w:name w:val="Heading 2 Char"/>
    <w:link w:val="Heading2"/>
    <w:uiPriority w:val="99"/>
    <w:locked/>
    <w:rsid w:val="00836883"/>
    <w:rPr>
      <w:rFonts w:cs="Times New Roman"/>
      <w:b/>
      <w:bCs/>
      <w:sz w:val="24"/>
      <w:szCs w:val="24"/>
      <w:u w:val="single"/>
    </w:rPr>
  </w:style>
  <w:style w:type="character" w:customStyle="1" w:styleId="Heading5Char">
    <w:name w:val="Heading 5 Char"/>
    <w:link w:val="Heading5"/>
    <w:uiPriority w:val="99"/>
    <w:locked/>
    <w:rsid w:val="00836883"/>
    <w:rPr>
      <w:rFonts w:cs="Times New Roman"/>
      <w:b/>
      <w:u w:val="single"/>
      <w:lang w:eastAsia="zh-CN"/>
    </w:rPr>
  </w:style>
  <w:style w:type="character" w:customStyle="1" w:styleId="Heading6Char">
    <w:name w:val="Heading 6 Char"/>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link w:val="FootnoteText"/>
    <w:uiPriority w:val="99"/>
    <w:locked/>
    <w:rsid w:val="00AE2AC8"/>
    <w:rPr>
      <w:rFonts w:cs="Times New Roman"/>
    </w:rPr>
  </w:style>
  <w:style w:type="character" w:styleId="FootnoteReference">
    <w:name w:val="footnote reference"/>
    <w:uiPriority w:val="99"/>
    <w:rsid w:val="00AE2AC8"/>
    <w:rPr>
      <w:rFonts w:cs="Times New Roman"/>
      <w:vertAlign w:val="superscript"/>
    </w:rPr>
  </w:style>
  <w:style w:type="paragraph" w:styleId="Header">
    <w:name w:val="header"/>
    <w:basedOn w:val="Normal"/>
    <w:link w:val="HeaderChar"/>
    <w:rsid w:val="00785F3F"/>
    <w:pPr>
      <w:tabs>
        <w:tab w:val="center" w:pos="4680"/>
        <w:tab w:val="right" w:pos="9360"/>
      </w:tabs>
    </w:pPr>
  </w:style>
  <w:style w:type="character" w:customStyle="1" w:styleId="HeaderChar">
    <w:name w:val="Header Char"/>
    <w:link w:val="Header"/>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link w:val="Footer"/>
    <w:uiPriority w:val="99"/>
    <w:locked/>
    <w:rsid w:val="00785F3F"/>
    <w:rPr>
      <w:rFonts w:cs="Times New Roman"/>
      <w:sz w:val="24"/>
      <w:szCs w:val="24"/>
    </w:rPr>
  </w:style>
  <w:style w:type="paragraph" w:styleId="ListParagraph">
    <w:name w:val="List Paragraph"/>
    <w:basedOn w:val="Normal"/>
    <w:uiPriority w:val="34"/>
    <w:qFormat/>
    <w:rsid w:val="00BF4205"/>
    <w:pPr>
      <w:ind w:left="720"/>
      <w:contextualSpacing/>
    </w:pPr>
  </w:style>
  <w:style w:type="character" w:styleId="Strong">
    <w:name w:val="Strong"/>
    <w:uiPriority w:val="99"/>
    <w:qFormat/>
    <w:rsid w:val="009A62EE"/>
    <w:rPr>
      <w:rFonts w:cs="Times New Roman"/>
      <w:b/>
      <w:bCs/>
    </w:rPr>
  </w:style>
  <w:style w:type="character" w:styleId="Emphasis">
    <w:name w:val="Emphasis"/>
    <w:uiPriority w:val="20"/>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link w:val="BalloonText"/>
    <w:uiPriority w:val="99"/>
    <w:locked/>
    <w:rsid w:val="00DD79E2"/>
    <w:rPr>
      <w:rFonts w:ascii="Tahoma" w:hAnsi="Tahoma" w:cs="Tahoma"/>
      <w:sz w:val="16"/>
      <w:szCs w:val="16"/>
    </w:rPr>
  </w:style>
  <w:style w:type="character" w:styleId="FollowedHyperlink">
    <w:name w:val="FollowedHyperlink"/>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uiPriority w:val="99"/>
    <w:rsid w:val="00E37CEC"/>
    <w:rPr>
      <w:rFonts w:cs="Times New Roman"/>
      <w:i/>
    </w:rPr>
  </w:style>
  <w:style w:type="paragraph" w:customStyle="1" w:styleId="Default">
    <w:name w:val="Default"/>
    <w:uiPriority w:val="99"/>
    <w:rsid w:val="0090476D"/>
    <w:pPr>
      <w:autoSpaceDE w:val="0"/>
      <w:autoSpaceDN w:val="0"/>
      <w:adjustRightInd w:val="0"/>
    </w:pPr>
    <w:rPr>
      <w:color w:val="000000"/>
      <w:sz w:val="24"/>
      <w:szCs w:val="24"/>
    </w:rPr>
  </w:style>
  <w:style w:type="character" w:customStyle="1" w:styleId="ltgrey11pt">
    <w:name w:val="ltgrey_11pt"/>
    <w:uiPriority w:val="99"/>
    <w:rsid w:val="005F08A3"/>
    <w:rPr>
      <w:rFonts w:cs="Times New Roman"/>
    </w:rPr>
  </w:style>
  <w:style w:type="character" w:customStyle="1" w:styleId="headings">
    <w:name w:val="headings"/>
    <w:uiPriority w:val="99"/>
    <w:rsid w:val="00365384"/>
    <w:rPr>
      <w:rFonts w:cs="Times New Roman"/>
    </w:rPr>
  </w:style>
  <w:style w:type="paragraph" w:styleId="EndnoteText">
    <w:name w:val="endnote text"/>
    <w:basedOn w:val="Normal"/>
    <w:link w:val="EndnoteTextChar"/>
    <w:uiPriority w:val="99"/>
    <w:rsid w:val="00A91C60"/>
    <w:rPr>
      <w:sz w:val="20"/>
      <w:szCs w:val="20"/>
    </w:rPr>
  </w:style>
  <w:style w:type="character" w:customStyle="1" w:styleId="EndnoteTextChar">
    <w:name w:val="Endnote Text Char"/>
    <w:link w:val="EndnoteText"/>
    <w:uiPriority w:val="99"/>
    <w:locked/>
    <w:rsid w:val="00A91C60"/>
    <w:rPr>
      <w:rFonts w:cs="Times New Roman"/>
    </w:rPr>
  </w:style>
  <w:style w:type="character" w:styleId="EndnoteReference">
    <w:name w:val="endnote reference"/>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link w:val="PlainText"/>
    <w:uiPriority w:val="99"/>
    <w:locked/>
    <w:rsid w:val="00B12A55"/>
    <w:rPr>
      <w:rFonts w:ascii="Calibri" w:eastAsia="Times New Roman" w:hAnsi="Calibri" w:cs="Consolas"/>
      <w:sz w:val="21"/>
      <w:szCs w:val="21"/>
    </w:rPr>
  </w:style>
  <w:style w:type="character" w:styleId="CommentReference">
    <w:name w:val="annotation reference"/>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link w:val="BodyText"/>
    <w:uiPriority w:val="99"/>
    <w:locked/>
    <w:rsid w:val="004732CA"/>
    <w:rPr>
      <w:rFonts w:cs="Times New Roman"/>
      <w:sz w:val="24"/>
      <w:szCs w:val="24"/>
    </w:rPr>
  </w:style>
  <w:style w:type="paragraph" w:styleId="Revision">
    <w:name w:val="Revision"/>
    <w:hidden/>
    <w:uiPriority w:val="99"/>
    <w:semiHidden/>
    <w:rsid w:val="00D761CA"/>
    <w:rPr>
      <w:sz w:val="24"/>
      <w:szCs w:val="24"/>
    </w:rPr>
  </w:style>
  <w:style w:type="character" w:styleId="PageNumber">
    <w:name w:val="page number"/>
    <w:basedOn w:val="DefaultParagraphFont"/>
    <w:unhideWhenUsed/>
    <w:rsid w:val="008368C3"/>
  </w:style>
  <w:style w:type="character" w:customStyle="1" w:styleId="grey11ptbold1">
    <w:name w:val="grey_11pt_bold1"/>
    <w:rsid w:val="00D82B03"/>
    <w:rPr>
      <w:rFonts w:ascii="Verdana" w:hAnsi="Verdana" w:hint="default"/>
      <w:b/>
      <w:bCs/>
      <w:color w:val="4C4C4C"/>
      <w:sz w:val="17"/>
      <w:szCs w:val="17"/>
    </w:rPr>
  </w:style>
  <w:style w:type="character" w:customStyle="1" w:styleId="st1">
    <w:name w:val="st1"/>
    <w:basedOn w:val="DefaultParagraphFont"/>
    <w:rsid w:val="00332465"/>
  </w:style>
  <w:style w:type="character" w:customStyle="1" w:styleId="Heading4Char">
    <w:name w:val="Heading 4 Char"/>
    <w:link w:val="Heading4"/>
    <w:semiHidden/>
    <w:rsid w:val="00460EFC"/>
    <w:rPr>
      <w:rFonts w:ascii="Cambria" w:eastAsia="MS Gothic" w:hAnsi="Cambria" w:cs="Times New Roman"/>
      <w:i/>
      <w:iCs/>
      <w:color w:val="365F91"/>
      <w:sz w:val="24"/>
      <w:szCs w:val="24"/>
    </w:rPr>
  </w:style>
  <w:style w:type="paragraph" w:styleId="NoSpacing">
    <w:name w:val="No Spacing"/>
    <w:uiPriority w:val="1"/>
    <w:qFormat/>
    <w:rsid w:val="00BB6B7E"/>
    <w:rPr>
      <w:rFonts w:ascii="Calibri" w:eastAsia="Calibri" w:hAnsi="Calibri"/>
      <w:sz w:val="22"/>
      <w:szCs w:val="22"/>
    </w:rPr>
  </w:style>
  <w:style w:type="paragraph" w:customStyle="1" w:styleId="DoubleSpaceParagaph">
    <w:name w:val="Double Space Paragaph"/>
    <w:aliases w:val="DS"/>
    <w:basedOn w:val="Normal"/>
    <w:rsid w:val="00123B9B"/>
    <w:pPr>
      <w:suppressAutoHyphens/>
      <w:spacing w:line="480" w:lineRule="auto"/>
      <w:ind w:firstLine="1440"/>
      <w:jc w:val="both"/>
    </w:pPr>
    <w:rPr>
      <w:szCs w:val="20"/>
    </w:rPr>
  </w:style>
  <w:style w:type="paragraph" w:customStyle="1" w:styleId="Body">
    <w:name w:val="Body"/>
    <w:rsid w:val="00692FE0"/>
    <w:pPr>
      <w:pBdr>
        <w:top w:val="nil"/>
        <w:left w:val="nil"/>
        <w:bottom w:val="nil"/>
        <w:right w:val="nil"/>
        <w:between w:val="nil"/>
        <w:bar w:val="nil"/>
      </w:pBdr>
      <w:spacing w:after="200"/>
    </w:pPr>
    <w:rPr>
      <w:rFonts w:ascii="Courier New" w:eastAsia="Arial Unicode MS" w:hAnsi="Courier New" w:cs="Arial Unicode MS"/>
      <w:color w:val="000000"/>
      <w:sz w:val="24"/>
      <w:szCs w:val="24"/>
      <w:u w:color="000000"/>
      <w:bdr w:val="nil"/>
      <w:lang w:val="fr-FR"/>
    </w:rPr>
  </w:style>
  <w:style w:type="character" w:customStyle="1" w:styleId="Hyperlink0">
    <w:name w:val="Hyperlink.0"/>
    <w:rsid w:val="00692FE0"/>
    <w:rPr>
      <w:color w:val="000000"/>
      <w:u w:val="single" w:color="000000"/>
    </w:rPr>
  </w:style>
  <w:style w:type="character" w:customStyle="1" w:styleId="Hyperlink1">
    <w:name w:val="Hyperlink.1"/>
    <w:rsid w:val="00692FE0"/>
    <w:rPr>
      <w:rFonts w:ascii="Times New Roman" w:eastAsia="Times New Roman" w:hAnsi="Times New Roman" w:cs="Times New Roman"/>
      <w:color w:val="000000"/>
      <w:sz w:val="20"/>
      <w:szCs w:val="20"/>
      <w:u w:val="single" w:color="000000"/>
    </w:rPr>
  </w:style>
  <w:style w:type="character" w:customStyle="1" w:styleId="Hyperlink8">
    <w:name w:val="Hyperlink.8"/>
    <w:rsid w:val="00692FE0"/>
  </w:style>
  <w:style w:type="character" w:customStyle="1" w:styleId="cosmallcaps">
    <w:name w:val="co_smallcaps"/>
    <w:rsid w:val="00692FE0"/>
  </w:style>
  <w:style w:type="character" w:customStyle="1" w:styleId="cosearchterm">
    <w:name w:val="co_searchterm"/>
    <w:rsid w:val="0069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712">
      <w:bodyDiv w:val="1"/>
      <w:marLeft w:val="0"/>
      <w:marRight w:val="0"/>
      <w:marTop w:val="0"/>
      <w:marBottom w:val="0"/>
      <w:divBdr>
        <w:top w:val="none" w:sz="0" w:space="0" w:color="auto"/>
        <w:left w:val="none" w:sz="0" w:space="0" w:color="auto"/>
        <w:bottom w:val="none" w:sz="0" w:space="0" w:color="auto"/>
        <w:right w:val="none" w:sz="0" w:space="0" w:color="auto"/>
      </w:divBdr>
    </w:div>
    <w:div w:id="164173722">
      <w:bodyDiv w:val="1"/>
      <w:marLeft w:val="0"/>
      <w:marRight w:val="0"/>
      <w:marTop w:val="0"/>
      <w:marBottom w:val="0"/>
      <w:divBdr>
        <w:top w:val="none" w:sz="0" w:space="0" w:color="auto"/>
        <w:left w:val="none" w:sz="0" w:space="0" w:color="auto"/>
        <w:bottom w:val="none" w:sz="0" w:space="0" w:color="auto"/>
        <w:right w:val="none" w:sz="0" w:space="0" w:color="auto"/>
      </w:divBdr>
    </w:div>
    <w:div w:id="278492456">
      <w:bodyDiv w:val="1"/>
      <w:marLeft w:val="0"/>
      <w:marRight w:val="0"/>
      <w:marTop w:val="0"/>
      <w:marBottom w:val="0"/>
      <w:divBdr>
        <w:top w:val="none" w:sz="0" w:space="0" w:color="auto"/>
        <w:left w:val="none" w:sz="0" w:space="0" w:color="auto"/>
        <w:bottom w:val="none" w:sz="0" w:space="0" w:color="auto"/>
        <w:right w:val="none" w:sz="0" w:space="0" w:color="auto"/>
      </w:divBdr>
    </w:div>
    <w:div w:id="361983769">
      <w:bodyDiv w:val="1"/>
      <w:marLeft w:val="0"/>
      <w:marRight w:val="0"/>
      <w:marTop w:val="0"/>
      <w:marBottom w:val="0"/>
      <w:divBdr>
        <w:top w:val="none" w:sz="0" w:space="0" w:color="auto"/>
        <w:left w:val="none" w:sz="0" w:space="0" w:color="auto"/>
        <w:bottom w:val="none" w:sz="0" w:space="0" w:color="auto"/>
        <w:right w:val="none" w:sz="0" w:space="0" w:color="auto"/>
      </w:divBdr>
    </w:div>
    <w:div w:id="399911198">
      <w:bodyDiv w:val="1"/>
      <w:marLeft w:val="0"/>
      <w:marRight w:val="0"/>
      <w:marTop w:val="0"/>
      <w:marBottom w:val="0"/>
      <w:divBdr>
        <w:top w:val="none" w:sz="0" w:space="0" w:color="auto"/>
        <w:left w:val="none" w:sz="0" w:space="0" w:color="auto"/>
        <w:bottom w:val="none" w:sz="0" w:space="0" w:color="auto"/>
        <w:right w:val="none" w:sz="0" w:space="0" w:color="auto"/>
      </w:divBdr>
    </w:div>
    <w:div w:id="790978189">
      <w:bodyDiv w:val="1"/>
      <w:marLeft w:val="0"/>
      <w:marRight w:val="0"/>
      <w:marTop w:val="0"/>
      <w:marBottom w:val="0"/>
      <w:divBdr>
        <w:top w:val="none" w:sz="0" w:space="0" w:color="auto"/>
        <w:left w:val="none" w:sz="0" w:space="0" w:color="auto"/>
        <w:bottom w:val="none" w:sz="0" w:space="0" w:color="auto"/>
        <w:right w:val="none" w:sz="0" w:space="0" w:color="auto"/>
      </w:divBdr>
    </w:div>
    <w:div w:id="859666450">
      <w:bodyDiv w:val="1"/>
      <w:marLeft w:val="0"/>
      <w:marRight w:val="0"/>
      <w:marTop w:val="0"/>
      <w:marBottom w:val="0"/>
      <w:divBdr>
        <w:top w:val="none" w:sz="0" w:space="0" w:color="auto"/>
        <w:left w:val="none" w:sz="0" w:space="0" w:color="auto"/>
        <w:bottom w:val="none" w:sz="0" w:space="0" w:color="auto"/>
        <w:right w:val="none" w:sz="0" w:space="0" w:color="auto"/>
      </w:divBdr>
    </w:div>
    <w:div w:id="869949651">
      <w:bodyDiv w:val="1"/>
      <w:marLeft w:val="0"/>
      <w:marRight w:val="0"/>
      <w:marTop w:val="0"/>
      <w:marBottom w:val="0"/>
      <w:divBdr>
        <w:top w:val="none" w:sz="0" w:space="0" w:color="auto"/>
        <w:left w:val="none" w:sz="0" w:space="0" w:color="auto"/>
        <w:bottom w:val="none" w:sz="0" w:space="0" w:color="auto"/>
        <w:right w:val="none" w:sz="0" w:space="0" w:color="auto"/>
      </w:divBdr>
    </w:div>
    <w:div w:id="928849221">
      <w:bodyDiv w:val="1"/>
      <w:marLeft w:val="0"/>
      <w:marRight w:val="0"/>
      <w:marTop w:val="0"/>
      <w:marBottom w:val="0"/>
      <w:divBdr>
        <w:top w:val="none" w:sz="0" w:space="0" w:color="auto"/>
        <w:left w:val="none" w:sz="0" w:space="0" w:color="auto"/>
        <w:bottom w:val="none" w:sz="0" w:space="0" w:color="auto"/>
        <w:right w:val="none" w:sz="0" w:space="0" w:color="auto"/>
      </w:divBdr>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1363634404">
      <w:bodyDiv w:val="1"/>
      <w:marLeft w:val="0"/>
      <w:marRight w:val="0"/>
      <w:marTop w:val="0"/>
      <w:marBottom w:val="0"/>
      <w:divBdr>
        <w:top w:val="none" w:sz="0" w:space="0" w:color="auto"/>
        <w:left w:val="none" w:sz="0" w:space="0" w:color="auto"/>
        <w:bottom w:val="none" w:sz="0" w:space="0" w:color="auto"/>
        <w:right w:val="none" w:sz="0" w:space="0" w:color="auto"/>
      </w:divBdr>
    </w:div>
    <w:div w:id="1382942803">
      <w:bodyDiv w:val="1"/>
      <w:marLeft w:val="0"/>
      <w:marRight w:val="0"/>
      <w:marTop w:val="0"/>
      <w:marBottom w:val="0"/>
      <w:divBdr>
        <w:top w:val="none" w:sz="0" w:space="0" w:color="auto"/>
        <w:left w:val="none" w:sz="0" w:space="0" w:color="auto"/>
        <w:bottom w:val="none" w:sz="0" w:space="0" w:color="auto"/>
        <w:right w:val="none" w:sz="0" w:space="0" w:color="auto"/>
      </w:divBdr>
    </w:div>
    <w:div w:id="1422527647">
      <w:bodyDiv w:val="1"/>
      <w:marLeft w:val="0"/>
      <w:marRight w:val="0"/>
      <w:marTop w:val="0"/>
      <w:marBottom w:val="0"/>
      <w:divBdr>
        <w:top w:val="none" w:sz="0" w:space="0" w:color="auto"/>
        <w:left w:val="none" w:sz="0" w:space="0" w:color="auto"/>
        <w:bottom w:val="none" w:sz="0" w:space="0" w:color="auto"/>
        <w:right w:val="none" w:sz="0" w:space="0" w:color="auto"/>
      </w:divBdr>
    </w:div>
    <w:div w:id="1546986221">
      <w:bodyDiv w:val="1"/>
      <w:marLeft w:val="0"/>
      <w:marRight w:val="0"/>
      <w:marTop w:val="0"/>
      <w:marBottom w:val="0"/>
      <w:divBdr>
        <w:top w:val="none" w:sz="0" w:space="0" w:color="auto"/>
        <w:left w:val="none" w:sz="0" w:space="0" w:color="auto"/>
        <w:bottom w:val="none" w:sz="0" w:space="0" w:color="auto"/>
        <w:right w:val="none" w:sz="0" w:space="0" w:color="auto"/>
      </w:divBdr>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2001881058">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careinfosecurity.com/breach-response-c-3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news/press/2014pres/05/20140507b.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hs.gov/hipaa/for-professionals/security/nist-security-hipaa-crosswalk/" TargetMode="External"/><Relationship Id="rId13" Type="http://schemas.openxmlformats.org/officeDocument/2006/relationships/hyperlink" Target="https://theintercept.com/2015/06/12/data-breach-threat-of-future-harm" TargetMode="External"/><Relationship Id="rId18" Type="http://schemas.openxmlformats.org/officeDocument/2006/relationships/hyperlink" Target="https://ocrportal.hhs.gov/ocr/breach/breach_report.jsf" TargetMode="External"/><Relationship Id="rId3" Type="http://schemas.openxmlformats.org/officeDocument/2006/relationships/hyperlink" Target="https://www.kff.org/other/poll-finding/data-note-publics-experiences-with-electronic-health-records/" TargetMode="External"/><Relationship Id="rId21" Type="http://schemas.openxmlformats.org/officeDocument/2006/relationships/hyperlink" Target="https://comptroller.nyc.gov/reports/audit-report-on-the-epic-electronic-medical-record-system-that-nyc-health-hospitals-implemented-at-the-elmhurst-hospital-center/" TargetMode="External"/><Relationship Id="rId7" Type="http://schemas.openxmlformats.org/officeDocument/2006/relationships/hyperlink" Target="https://www.healthit.gov/sites/default/files/pdf/privacy/privacy-and-security-guide-chapter-4.pdf" TargetMode="External"/><Relationship Id="rId12" Type="http://schemas.openxmlformats.org/officeDocument/2006/relationships/hyperlink" Target="https://theintercept.com/2015/06/12/data-breach-threat-of-future-harm" TargetMode="External"/><Relationship Id="rId17" Type="http://schemas.openxmlformats.org/officeDocument/2006/relationships/hyperlink" Target="http://www.pbs.org/newshour/updates/has-health-care-hacking-become-an-epidemic/" TargetMode="External"/><Relationship Id="rId2" Type="http://schemas.openxmlformats.org/officeDocument/2006/relationships/hyperlink" Target="https://www.ncbi.nlm.nih.gov/pmc/articles/PMC5171496/" TargetMode="External"/><Relationship Id="rId16" Type="http://schemas.openxmlformats.org/officeDocument/2006/relationships/hyperlink" Target="https://aspe.hhs.gov/basic-report/ehr-payment-incentives-providers-ineligible-payment-incentives-and-other-funding-study-appendices" TargetMode="External"/><Relationship Id="rId20" Type="http://schemas.openxmlformats.org/officeDocument/2006/relationships/hyperlink" Target="https://www.hhs.gov/sites/default/files/ocr/privacy/hipaa/enforcement/examples/ny-and-presbyterian-hospital-settlement-agreement.pdf" TargetMode="External"/><Relationship Id="rId1" Type="http://schemas.openxmlformats.org/officeDocument/2006/relationships/hyperlink" Target="https://www.healthit.gov/faq/what-electronic-health-record-ehr" TargetMode="External"/><Relationship Id="rId6" Type="http://schemas.openxmlformats.org/officeDocument/2006/relationships/hyperlink" Target="https://www.healthaffairs.org/doi/pdf/10.1377/hlthaff.2017.1254" TargetMode="External"/><Relationship Id="rId11" Type="http://schemas.openxmlformats.org/officeDocument/2006/relationships/hyperlink" Target="https://www.forbes.com/sites/kateoflahertyuk/2018/10/05/why-cyber-criminals-are-attacking-healthcare-and-how-to-stop-them/" TargetMode="External"/><Relationship Id="rId24" Type="http://schemas.openxmlformats.org/officeDocument/2006/relationships/hyperlink" Target="https://legistar.council.nyc.gov/LegislationDetail.aspx?ID=3721024&amp;GUID=5ED77B87-4A4B-4E8F-B444-3D72F5550DCD&amp;Options=&amp;Search=" TargetMode="External"/><Relationship Id="rId5" Type="http://schemas.openxmlformats.org/officeDocument/2006/relationships/hyperlink" Target="https://www.ncbi.nlm.nih.gov/pmc/articles/PMC4902473/" TargetMode="External"/><Relationship Id="rId15" Type="http://schemas.openxmlformats.org/officeDocument/2006/relationships/hyperlink" Target="http://hipaa.bsd.uchicago.edu/hipaa_background_20070122.pdf" TargetMode="External"/><Relationship Id="rId23" Type="http://schemas.openxmlformats.org/officeDocument/2006/relationships/hyperlink" Target="file:///C:\Users\rdelfranco\AppData\Local\Microsoft\EBalkan\AppData\Local\Microsoft\EBalkan\AppData\Local\Microsoft\EBalkan\Downloads\Hearing%20Transcript%20(5).pdf" TargetMode="External"/><Relationship Id="rId10" Type="http://schemas.openxmlformats.org/officeDocument/2006/relationships/hyperlink" Target="https://www.forbes.com/sites/kateoflahertyuk/" TargetMode="External"/><Relationship Id="rId19" Type="http://schemas.openxmlformats.org/officeDocument/2006/relationships/hyperlink" Target="http://www.sacbee.com/news/local/health-and-medicine/article70113852.html" TargetMode="External"/><Relationship Id="rId4" Type="http://schemas.openxmlformats.org/officeDocument/2006/relationships/hyperlink" Target="https://www.statnews.com/2019/10/31/emr-changed-doctor-patient-duet-into-menage-a-trois/?utm_source=STAT+Newsletters&amp;utm_campaign=dadf2f9acd-MR_COPY_02&amp;utm_medium=email&amp;utm_term=0_8cab1d7961-dadf2f9acd-151778981" TargetMode="External"/><Relationship Id="rId9" Type="http://schemas.openxmlformats.org/officeDocument/2006/relationships/hyperlink" Target="https://swivelsecure.com/us/solutions/healthcare/healthcare-is-the-biggest-target-for-cyberattacks/" TargetMode="External"/><Relationship Id="rId14" Type="http://schemas.openxmlformats.org/officeDocument/2006/relationships/hyperlink" Target="https://1.next.westlaw.com/Link/Document/FullText?findType=Y&amp;serNum=2029935439&amp;pubNum=0000708&amp;originatingDoc=I8f2feb09b4a311e79bef99c0ee06c731&amp;refType=RP&amp;originationContext=document&amp;transitionType=DocumentItem&amp;contextData=(sc.Search)" TargetMode="External"/><Relationship Id="rId22" Type="http://schemas.openxmlformats.org/officeDocument/2006/relationships/hyperlink" Target="https://www.epic.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EFEC-388D-43A8-9A65-D0FC380E1798}">
  <ds:schemaRefs>
    <ds:schemaRef ds:uri="http://schemas.openxmlformats.org/officeDocument/2006/bibliography"/>
  </ds:schemaRefs>
</ds:datastoreItem>
</file>

<file path=customXml/itemProps2.xml><?xml version="1.0" encoding="utf-8"?>
<ds:datastoreItem xmlns:ds="http://schemas.openxmlformats.org/officeDocument/2006/customXml" ds:itemID="{B542A8E4-3A5E-4932-80FD-16457718D50E}">
  <ds:schemaRefs>
    <ds:schemaRef ds:uri="http://schemas.openxmlformats.org/officeDocument/2006/bibliography"/>
  </ds:schemaRefs>
</ds:datastoreItem>
</file>

<file path=customXml/itemProps3.xml><?xml version="1.0" encoding="utf-8"?>
<ds:datastoreItem xmlns:ds="http://schemas.openxmlformats.org/officeDocument/2006/customXml" ds:itemID="{6ED69EBD-AB18-4E94-8BC6-F6EFBDE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1828</Words>
  <Characters>10425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12229</CharactersWithSpaces>
  <SharedDoc>false</SharedDoc>
  <HLinks>
    <vt:vector size="156" baseType="variant">
      <vt:variant>
        <vt:i4>1114127</vt:i4>
      </vt:variant>
      <vt:variant>
        <vt:i4>3</vt:i4>
      </vt:variant>
      <vt:variant>
        <vt:i4>0</vt:i4>
      </vt:variant>
      <vt:variant>
        <vt:i4>5</vt:i4>
      </vt:variant>
      <vt:variant>
        <vt:lpwstr>https://www.healthcareinfosecurity.com/breach-response-c-324</vt:lpwstr>
      </vt:variant>
      <vt:variant>
        <vt:lpwstr/>
      </vt:variant>
      <vt:variant>
        <vt:i4>1245262</vt:i4>
      </vt:variant>
      <vt:variant>
        <vt:i4>0</vt:i4>
      </vt:variant>
      <vt:variant>
        <vt:i4>0</vt:i4>
      </vt:variant>
      <vt:variant>
        <vt:i4>5</vt:i4>
      </vt:variant>
      <vt:variant>
        <vt:lpwstr>http://www.hhs.gov/news/press/2014pres/05/20140507b.html</vt:lpwstr>
      </vt:variant>
      <vt:variant>
        <vt:lpwstr/>
      </vt:variant>
      <vt:variant>
        <vt:i4>5111838</vt:i4>
      </vt:variant>
      <vt:variant>
        <vt:i4>69</vt:i4>
      </vt:variant>
      <vt:variant>
        <vt:i4>0</vt:i4>
      </vt:variant>
      <vt:variant>
        <vt:i4>5</vt:i4>
      </vt:variant>
      <vt:variant>
        <vt:lpwstr>https://legistar.council.nyc.gov/LegislationDetail.aspx?ID=3721024&amp;GUID=5ED77B87-4A4B-4E8F-B444-3D72F5550DCD&amp;Options=&amp;Search=</vt:lpwstr>
      </vt:variant>
      <vt:variant>
        <vt:lpwstr/>
      </vt:variant>
      <vt:variant>
        <vt:i4>4784208</vt:i4>
      </vt:variant>
      <vt:variant>
        <vt:i4>66</vt:i4>
      </vt:variant>
      <vt:variant>
        <vt:i4>0</vt:i4>
      </vt:variant>
      <vt:variant>
        <vt:i4>5</vt:i4>
      </vt:variant>
      <vt:variant>
        <vt:lpwstr>../../../../EBalkan/AppData/Local/Microsoft/EBalkan/AppData/Local/Microsoft/EBalkan/Downloads/Hearing Transcript (5).pdf</vt:lpwstr>
      </vt:variant>
      <vt:variant>
        <vt:lpwstr/>
      </vt:variant>
      <vt:variant>
        <vt:i4>3080245</vt:i4>
      </vt:variant>
      <vt:variant>
        <vt:i4>63</vt:i4>
      </vt:variant>
      <vt:variant>
        <vt:i4>0</vt:i4>
      </vt:variant>
      <vt:variant>
        <vt:i4>5</vt:i4>
      </vt:variant>
      <vt:variant>
        <vt:lpwstr>https://www.epic.com/about</vt:lpwstr>
      </vt:variant>
      <vt:variant>
        <vt:lpwstr/>
      </vt:variant>
      <vt:variant>
        <vt:i4>5767244</vt:i4>
      </vt:variant>
      <vt:variant>
        <vt:i4>60</vt:i4>
      </vt:variant>
      <vt:variant>
        <vt:i4>0</vt:i4>
      </vt:variant>
      <vt:variant>
        <vt:i4>5</vt:i4>
      </vt:variant>
      <vt:variant>
        <vt:lpwstr>https://comptroller.nyc.gov/reports/audit-report-on-the-epic-electronic-medical-record-system-that-nyc-health-hospitals-implemented-at-the-elmhurst-hospital-center/</vt:lpwstr>
      </vt:variant>
      <vt:variant>
        <vt:lpwstr/>
      </vt:variant>
      <vt:variant>
        <vt:i4>6160466</vt:i4>
      </vt:variant>
      <vt:variant>
        <vt:i4>57</vt:i4>
      </vt:variant>
      <vt:variant>
        <vt:i4>0</vt:i4>
      </vt:variant>
      <vt:variant>
        <vt:i4>5</vt:i4>
      </vt:variant>
      <vt:variant>
        <vt:lpwstr>https://www.hhs.gov/sites/default/files/ocr/privacy/hipaa/enforcement/examples/ny-and-presbyterian-hospital-settlement-agreement.pdf</vt:lpwstr>
      </vt:variant>
      <vt:variant>
        <vt:lpwstr/>
      </vt:variant>
      <vt:variant>
        <vt:i4>131145</vt:i4>
      </vt:variant>
      <vt:variant>
        <vt:i4>54</vt:i4>
      </vt:variant>
      <vt:variant>
        <vt:i4>0</vt:i4>
      </vt:variant>
      <vt:variant>
        <vt:i4>5</vt:i4>
      </vt:variant>
      <vt:variant>
        <vt:lpwstr>http://www.sacbee.com/news/local/health-and-medicine/article70113852.html</vt:lpwstr>
      </vt:variant>
      <vt:variant>
        <vt:lpwstr>storylink=cpy</vt:lpwstr>
      </vt:variant>
      <vt:variant>
        <vt:i4>4653088</vt:i4>
      </vt:variant>
      <vt:variant>
        <vt:i4>51</vt:i4>
      </vt:variant>
      <vt:variant>
        <vt:i4>0</vt:i4>
      </vt:variant>
      <vt:variant>
        <vt:i4>5</vt:i4>
      </vt:variant>
      <vt:variant>
        <vt:lpwstr>https://ocrportal.hhs.gov/ocr/breach/breach_report.jsf</vt:lpwstr>
      </vt:variant>
      <vt:variant>
        <vt:lpwstr/>
      </vt:variant>
      <vt:variant>
        <vt:i4>3211321</vt:i4>
      </vt:variant>
      <vt:variant>
        <vt:i4>48</vt:i4>
      </vt:variant>
      <vt:variant>
        <vt:i4>0</vt:i4>
      </vt:variant>
      <vt:variant>
        <vt:i4>5</vt:i4>
      </vt:variant>
      <vt:variant>
        <vt:lpwstr>http://www.pbs.org/newshour/updates/has-health-care-hacking-become-an-epidemic/</vt:lpwstr>
      </vt:variant>
      <vt:variant>
        <vt:lpwstr/>
      </vt:variant>
      <vt:variant>
        <vt:i4>3276906</vt:i4>
      </vt:variant>
      <vt:variant>
        <vt:i4>45</vt:i4>
      </vt:variant>
      <vt:variant>
        <vt:i4>0</vt:i4>
      </vt:variant>
      <vt:variant>
        <vt:i4>5</vt:i4>
      </vt:variant>
      <vt:variant>
        <vt:lpwstr>https://aspe.hhs.gov/basic-report/ehr-payment-incentives-providers-ineligible-payment-incentives-and-other-funding-study-appendices</vt:lpwstr>
      </vt:variant>
      <vt:variant>
        <vt:lpwstr/>
      </vt:variant>
      <vt:variant>
        <vt:i4>6029395</vt:i4>
      </vt:variant>
      <vt:variant>
        <vt:i4>42</vt:i4>
      </vt:variant>
      <vt:variant>
        <vt:i4>0</vt:i4>
      </vt:variant>
      <vt:variant>
        <vt:i4>5</vt:i4>
      </vt:variant>
      <vt:variant>
        <vt:lpwstr>http://hipaa.bsd.uchicago.edu/hipaa_background_20070122.pdf</vt:lpwstr>
      </vt:variant>
      <vt:variant>
        <vt:lpwstr/>
      </vt:variant>
      <vt:variant>
        <vt:i4>5832728</vt:i4>
      </vt:variant>
      <vt:variant>
        <vt:i4>39</vt:i4>
      </vt:variant>
      <vt:variant>
        <vt:i4>0</vt:i4>
      </vt:variant>
      <vt:variant>
        <vt:i4>5</vt:i4>
      </vt:variant>
      <vt:variant>
        <vt:lpwstr>https://1.next.westlaw.com/Link/Document/FullText?findType=Y&amp;serNum=2029935439&amp;pubNum=0000708&amp;originatingDoc=I8f2feb09b4a311e79bef99c0ee06c731&amp;refType=RP&amp;originationContext=document&amp;transitionType=DocumentItem&amp;contextData=(sc.Search)</vt:lpwstr>
      </vt:variant>
      <vt:variant>
        <vt:lpwstr/>
      </vt:variant>
      <vt:variant>
        <vt:i4>73</vt:i4>
      </vt:variant>
      <vt:variant>
        <vt:i4>36</vt:i4>
      </vt:variant>
      <vt:variant>
        <vt:i4>0</vt:i4>
      </vt:variant>
      <vt:variant>
        <vt:i4>5</vt:i4>
      </vt:variant>
      <vt:variant>
        <vt:lpwstr>https://theintercept.com/2015/06/12/data-breach-threat-of-future-harm</vt:lpwstr>
      </vt:variant>
      <vt:variant>
        <vt:lpwstr/>
      </vt:variant>
      <vt:variant>
        <vt:i4>73</vt:i4>
      </vt:variant>
      <vt:variant>
        <vt:i4>33</vt:i4>
      </vt:variant>
      <vt:variant>
        <vt:i4>0</vt:i4>
      </vt:variant>
      <vt:variant>
        <vt:i4>5</vt:i4>
      </vt:variant>
      <vt:variant>
        <vt:lpwstr>https://theintercept.com/2015/06/12/data-breach-threat-of-future-harm</vt:lpwstr>
      </vt:variant>
      <vt:variant>
        <vt:lpwstr/>
      </vt:variant>
      <vt:variant>
        <vt:i4>3932275</vt:i4>
      </vt:variant>
      <vt:variant>
        <vt:i4>30</vt:i4>
      </vt:variant>
      <vt:variant>
        <vt:i4>0</vt:i4>
      </vt:variant>
      <vt:variant>
        <vt:i4>5</vt:i4>
      </vt:variant>
      <vt:variant>
        <vt:lpwstr>https://www.forbes.com/sites/kateoflahertyuk/2018/10/05/why-cyber-criminals-are-attacking-healthcare-and-how-to-stop-them/</vt:lpwstr>
      </vt:variant>
      <vt:variant>
        <vt:lpwstr>4a2c96167f69</vt:lpwstr>
      </vt:variant>
      <vt:variant>
        <vt:i4>5767195</vt:i4>
      </vt:variant>
      <vt:variant>
        <vt:i4>27</vt:i4>
      </vt:variant>
      <vt:variant>
        <vt:i4>0</vt:i4>
      </vt:variant>
      <vt:variant>
        <vt:i4>5</vt:i4>
      </vt:variant>
      <vt:variant>
        <vt:lpwstr>https://www.forbes.com/sites/kateoflahertyuk/</vt:lpwstr>
      </vt:variant>
      <vt:variant>
        <vt:lpwstr/>
      </vt:variant>
      <vt:variant>
        <vt:i4>2621483</vt:i4>
      </vt:variant>
      <vt:variant>
        <vt:i4>24</vt:i4>
      </vt:variant>
      <vt:variant>
        <vt:i4>0</vt:i4>
      </vt:variant>
      <vt:variant>
        <vt:i4>5</vt:i4>
      </vt:variant>
      <vt:variant>
        <vt:lpwstr>https://swivelsecure.com/us/solutions/healthcare/healthcare-is-the-biggest-target-for-cyberattacks/</vt:lpwstr>
      </vt:variant>
      <vt:variant>
        <vt:lpwstr/>
      </vt:variant>
      <vt:variant>
        <vt:i4>3604524</vt:i4>
      </vt:variant>
      <vt:variant>
        <vt:i4>21</vt:i4>
      </vt:variant>
      <vt:variant>
        <vt:i4>0</vt:i4>
      </vt:variant>
      <vt:variant>
        <vt:i4>5</vt:i4>
      </vt:variant>
      <vt:variant>
        <vt:lpwstr>http://www.hhs.gov/hipaa/for-professionals/security/nist-security-hipaa-crosswalk/</vt:lpwstr>
      </vt:variant>
      <vt:variant>
        <vt:lpwstr/>
      </vt:variant>
      <vt:variant>
        <vt:i4>4980828</vt:i4>
      </vt:variant>
      <vt:variant>
        <vt:i4>18</vt:i4>
      </vt:variant>
      <vt:variant>
        <vt:i4>0</vt:i4>
      </vt:variant>
      <vt:variant>
        <vt:i4>5</vt:i4>
      </vt:variant>
      <vt:variant>
        <vt:lpwstr>https://www.healthit.gov/sites/default/files/pdf/privacy/privacy-and-security-guide-chapter-4.pdf</vt:lpwstr>
      </vt:variant>
      <vt:variant>
        <vt:lpwstr/>
      </vt:variant>
      <vt:variant>
        <vt:i4>7471148</vt:i4>
      </vt:variant>
      <vt:variant>
        <vt:i4>15</vt:i4>
      </vt:variant>
      <vt:variant>
        <vt:i4>0</vt:i4>
      </vt:variant>
      <vt:variant>
        <vt:i4>5</vt:i4>
      </vt:variant>
      <vt:variant>
        <vt:lpwstr>https://www.healthaffairs.org/doi/pdf/10.1377/hlthaff.2017.1254</vt:lpwstr>
      </vt:variant>
      <vt:variant>
        <vt:lpwstr/>
      </vt:variant>
      <vt:variant>
        <vt:i4>1507406</vt:i4>
      </vt:variant>
      <vt:variant>
        <vt:i4>12</vt:i4>
      </vt:variant>
      <vt:variant>
        <vt:i4>0</vt:i4>
      </vt:variant>
      <vt:variant>
        <vt:i4>5</vt:i4>
      </vt:variant>
      <vt:variant>
        <vt:lpwstr>https://www.ncbi.nlm.nih.gov/pmc/articles/PMC4902473/</vt:lpwstr>
      </vt:variant>
      <vt:variant>
        <vt:lpwstr/>
      </vt:variant>
      <vt:variant>
        <vt:i4>458870</vt:i4>
      </vt:variant>
      <vt:variant>
        <vt:i4>9</vt:i4>
      </vt:variant>
      <vt:variant>
        <vt:i4>0</vt:i4>
      </vt:variant>
      <vt:variant>
        <vt:i4>5</vt:i4>
      </vt:variant>
      <vt:variant>
        <vt:lpwstr>https://www.statnews.com/2019/10/31/emr-changed-doctor-patient-duet-into-menage-a-trois/?utm_source=STAT+Newsletters&amp;utm_campaign=dadf2f9acd-MR_COPY_02&amp;utm_medium=email&amp;utm_term=0_8cab1d7961-dadf2f9acd-151778981</vt:lpwstr>
      </vt:variant>
      <vt:variant>
        <vt:lpwstr/>
      </vt:variant>
      <vt:variant>
        <vt:i4>262224</vt:i4>
      </vt:variant>
      <vt:variant>
        <vt:i4>6</vt:i4>
      </vt:variant>
      <vt:variant>
        <vt:i4>0</vt:i4>
      </vt:variant>
      <vt:variant>
        <vt:i4>5</vt:i4>
      </vt:variant>
      <vt:variant>
        <vt:lpwstr>https://www.kff.org/other/poll-finding/data-note-publics-experiences-with-electronic-health-records/</vt:lpwstr>
      </vt:variant>
      <vt:variant>
        <vt:lpwstr/>
      </vt:variant>
      <vt:variant>
        <vt:i4>1310795</vt:i4>
      </vt:variant>
      <vt:variant>
        <vt:i4>3</vt:i4>
      </vt:variant>
      <vt:variant>
        <vt:i4>0</vt:i4>
      </vt:variant>
      <vt:variant>
        <vt:i4>5</vt:i4>
      </vt:variant>
      <vt:variant>
        <vt:lpwstr>https://www.ncbi.nlm.nih.gov/pmc/articles/PMC5171496/</vt:lpwstr>
      </vt:variant>
      <vt:variant>
        <vt:lpwstr/>
      </vt:variant>
      <vt:variant>
        <vt:i4>3735664</vt:i4>
      </vt:variant>
      <vt:variant>
        <vt:i4>0</vt:i4>
      </vt:variant>
      <vt:variant>
        <vt:i4>0</vt:i4>
      </vt:variant>
      <vt:variant>
        <vt:i4>5</vt:i4>
      </vt:variant>
      <vt:variant>
        <vt:lpwstr>https://www.healthit.gov/faq/what-electronic-health-record-ehr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subject/>
  <dc:creator>Mancino, Joseph</dc:creator>
  <cp:keywords/>
  <cp:lastModifiedBy>DelFranco, Ruthie</cp:lastModifiedBy>
  <cp:revision>2</cp:revision>
  <cp:lastPrinted>2018-11-19T21:35:00Z</cp:lastPrinted>
  <dcterms:created xsi:type="dcterms:W3CDTF">2020-02-20T16:58:00Z</dcterms:created>
  <dcterms:modified xsi:type="dcterms:W3CDTF">2020-02-20T16:58:00Z</dcterms:modified>
</cp:coreProperties>
</file>