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6C57F7" w:rsidRDefault="006C57F7">
      <w:pPr>
        <w:rPr>
          <w:sz w:val="24"/>
          <w:szCs w:val="24"/>
        </w:rPr>
      </w:pPr>
    </w:p>
    <w:p w:rsidR="006C57F7" w:rsidRDefault="006C57F7">
      <w:pPr>
        <w:rPr>
          <w:sz w:val="24"/>
          <w:szCs w:val="24"/>
        </w:rPr>
      </w:pPr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0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09186C">
        <w:rPr>
          <w:b/>
          <w:sz w:val="24"/>
          <w:szCs w:val="24"/>
        </w:rPr>
        <w:t>604</w:t>
      </w:r>
      <w:r w:rsidR="001875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 w:rsidR="0018753D">
        <w:rPr>
          <w:b/>
          <w:sz w:val="24"/>
          <w:szCs w:val="24"/>
        </w:rPr>
        <w:t xml:space="preserve"> </w:t>
      </w:r>
      <w:r w:rsidR="0009186C">
        <w:rPr>
          <w:b/>
          <w:sz w:val="24"/>
          <w:szCs w:val="24"/>
        </w:rPr>
        <w:t>605</w:t>
      </w:r>
    </w:p>
    <w:p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</w:t>
      </w:r>
      <w:r w:rsidR="007B0E99">
        <w:rPr>
          <w:b/>
          <w:sz w:val="24"/>
          <w:szCs w:val="24"/>
        </w:rPr>
        <w:t>1252</w:t>
      </w:r>
      <w:r>
        <w:rPr>
          <w:b/>
          <w:sz w:val="24"/>
          <w:szCs w:val="24"/>
        </w:rPr>
        <w:t xml:space="preserve"> </w:t>
      </w:r>
      <w:r w:rsidR="00077777">
        <w:rPr>
          <w:b/>
          <w:sz w:val="24"/>
          <w:szCs w:val="24"/>
        </w:rPr>
        <w:t xml:space="preserve">and </w:t>
      </w:r>
      <w:r w:rsidR="007B0E99">
        <w:rPr>
          <w:b/>
          <w:sz w:val="24"/>
          <w:szCs w:val="24"/>
        </w:rPr>
        <w:t>1253</w:t>
      </w:r>
      <w:r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077777" w:rsidRDefault="002A13E9" w:rsidP="00077777">
      <w:pPr>
        <w:tabs>
          <w:tab w:val="left" w:pos="2340"/>
          <w:tab w:val="left" w:pos="7020"/>
        </w:tabs>
        <w:ind w:left="2340" w:right="-900" w:hanging="2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C82611">
        <w:rPr>
          <w:b/>
          <w:sz w:val="24"/>
          <w:szCs w:val="24"/>
        </w:rPr>
        <w:t xml:space="preserve"> CB</w:t>
      </w:r>
      <w:r w:rsidR="0051200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51200E">
        <w:rPr>
          <w:b/>
          <w:sz w:val="24"/>
          <w:szCs w:val="24"/>
        </w:rPr>
        <w:t xml:space="preserve"> </w:t>
      </w:r>
      <w:r w:rsidR="007D048A">
        <w:rPr>
          <w:b/>
          <w:sz w:val="24"/>
          <w:szCs w:val="24"/>
        </w:rPr>
        <w:t>-</w:t>
      </w:r>
      <w:r w:rsidR="0051200E">
        <w:rPr>
          <w:b/>
          <w:sz w:val="24"/>
          <w:szCs w:val="24"/>
        </w:rPr>
        <w:t xml:space="preserve"> </w:t>
      </w:r>
      <w:r w:rsidR="00077777">
        <w:rPr>
          <w:b/>
          <w:sz w:val="24"/>
          <w:szCs w:val="24"/>
        </w:rPr>
        <w:t>TWO</w:t>
      </w:r>
      <w:r w:rsidR="0051200E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 xml:space="preserve">APPLICATIONS RELATED TO </w:t>
      </w:r>
      <w:r w:rsidR="00077777">
        <w:rPr>
          <w:b/>
          <w:sz w:val="24"/>
          <w:szCs w:val="24"/>
        </w:rPr>
        <w:t>22-60 46</w:t>
      </w:r>
      <w:r w:rsidR="00077777" w:rsidRPr="00077777">
        <w:rPr>
          <w:b/>
          <w:sz w:val="24"/>
          <w:szCs w:val="24"/>
          <w:vertAlign w:val="superscript"/>
        </w:rPr>
        <w:t>TH</w:t>
      </w:r>
      <w:r w:rsidR="00077777">
        <w:rPr>
          <w:b/>
          <w:sz w:val="24"/>
          <w:szCs w:val="24"/>
        </w:rPr>
        <w:t xml:space="preserve"> STREET </w:t>
      </w:r>
    </w:p>
    <w:p w:rsidR="00A819F7" w:rsidRDefault="00077777" w:rsidP="00077777">
      <w:pPr>
        <w:tabs>
          <w:tab w:val="left" w:pos="1800"/>
          <w:tab w:val="left" w:pos="7020"/>
        </w:tabs>
        <w:ind w:left="1800" w:right="-900" w:hanging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6C57F7" w:rsidRDefault="006C57F7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2A13E9" w:rsidRDefault="002A13E9" w:rsidP="00E22AC6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1</w:t>
      </w:r>
      <w:r w:rsidR="00077777">
        <w:rPr>
          <w:b/>
          <w:sz w:val="24"/>
          <w:szCs w:val="24"/>
        </w:rPr>
        <w:t xml:space="preserve">90267 </w:t>
      </w:r>
      <w:r>
        <w:rPr>
          <w:b/>
          <w:sz w:val="24"/>
          <w:szCs w:val="24"/>
        </w:rPr>
        <w:t>ZMQ (</w:t>
      </w:r>
      <w:r w:rsidR="00077777">
        <w:rPr>
          <w:b/>
          <w:sz w:val="24"/>
          <w:szCs w:val="24"/>
        </w:rPr>
        <w:t xml:space="preserve">Pre. </w:t>
      </w:r>
      <w:r>
        <w:rPr>
          <w:b/>
          <w:sz w:val="24"/>
          <w:szCs w:val="24"/>
        </w:rPr>
        <w:t xml:space="preserve">L.U. No. </w:t>
      </w:r>
      <w:r w:rsidR="0009186C">
        <w:rPr>
          <w:b/>
          <w:sz w:val="24"/>
          <w:szCs w:val="24"/>
        </w:rPr>
        <w:t>604</w:t>
      </w:r>
      <w:r>
        <w:rPr>
          <w:b/>
          <w:sz w:val="24"/>
          <w:szCs w:val="24"/>
        </w:rPr>
        <w:t>)</w:t>
      </w:r>
    </w:p>
    <w:p w:rsidR="0018753D" w:rsidRPr="00077777" w:rsidRDefault="0018753D" w:rsidP="00077777">
      <w:pPr>
        <w:tabs>
          <w:tab w:val="left" w:pos="7020"/>
        </w:tabs>
        <w:jc w:val="both"/>
        <w:rPr>
          <w:sz w:val="24"/>
          <w:szCs w:val="24"/>
        </w:rPr>
      </w:pPr>
    </w:p>
    <w:p w:rsidR="00077777" w:rsidRPr="00077777" w:rsidRDefault="00077777" w:rsidP="00077777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rFonts w:eastAsia="Cambria"/>
          <w:sz w:val="24"/>
          <w:szCs w:val="24"/>
        </w:rPr>
      </w:pPr>
      <w:r w:rsidRPr="00077777">
        <w:rPr>
          <w:sz w:val="24"/>
          <w:szCs w:val="24"/>
        </w:rPr>
        <w:tab/>
      </w:r>
      <w:r w:rsidR="00C169E0" w:rsidRPr="00077777">
        <w:rPr>
          <w:sz w:val="24"/>
          <w:szCs w:val="24"/>
        </w:rPr>
        <w:t xml:space="preserve">City Planning Commission decision approving an </w:t>
      </w:r>
      <w:r w:rsidR="002A13E9" w:rsidRPr="00077777">
        <w:rPr>
          <w:sz w:val="24"/>
          <w:szCs w:val="24"/>
        </w:rPr>
        <w:t xml:space="preserve">application submitted by </w:t>
      </w:r>
      <w:r w:rsidRPr="00077777">
        <w:rPr>
          <w:rFonts w:eastAsia="Cambria"/>
          <w:sz w:val="24"/>
          <w:szCs w:val="24"/>
        </w:rPr>
        <w:t>Mega Realty Holding</w:t>
      </w:r>
      <w:r w:rsidR="00124BEC">
        <w:rPr>
          <w:rFonts w:eastAsia="Cambria"/>
          <w:sz w:val="24"/>
          <w:szCs w:val="24"/>
        </w:rPr>
        <w:t>,</w:t>
      </w:r>
      <w:r w:rsidRPr="00077777">
        <w:rPr>
          <w:rFonts w:eastAsia="Cambria"/>
          <w:sz w:val="24"/>
          <w:szCs w:val="24"/>
        </w:rPr>
        <w:t xml:space="preserve"> LLC and Pancyprian Association, Inc.</w:t>
      </w:r>
      <w:r w:rsidR="00124BEC">
        <w:rPr>
          <w:rFonts w:eastAsia="Cambria"/>
          <w:sz w:val="24"/>
          <w:szCs w:val="24"/>
        </w:rPr>
        <w:t>,</w:t>
      </w:r>
      <w:r w:rsidRPr="00077777">
        <w:rPr>
          <w:rFonts w:eastAsia="Cambria"/>
          <w:sz w:val="24"/>
          <w:szCs w:val="24"/>
        </w:rPr>
        <w:t xml:space="preserve"> pursuant to Sections 197-c and 201 of the New York City Charter for an amendment of the Zoning Map, Section No. 9c:</w:t>
      </w:r>
    </w:p>
    <w:p w:rsidR="00077777" w:rsidRDefault="00077777" w:rsidP="0007777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4"/>
        </w:rPr>
      </w:pPr>
      <w:r w:rsidRPr="00077777">
        <w:rPr>
          <w:rFonts w:eastAsia="Calibri"/>
          <w:sz w:val="24"/>
          <w:szCs w:val="24"/>
        </w:rPr>
        <w:t>changing from an R4 District to an R6A District property bounded by 45th Street, Ditmars Boulevard, 46th Street, and a line 525 feet southwesterly of Ditmars Boulevard;</w:t>
      </w:r>
    </w:p>
    <w:p w:rsidR="00124BEC" w:rsidRPr="00077777" w:rsidRDefault="00124BEC" w:rsidP="00124BE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</w:p>
    <w:p w:rsidR="00077777" w:rsidRDefault="00077777" w:rsidP="0007777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4"/>
        </w:rPr>
      </w:pPr>
      <w:r w:rsidRPr="00077777">
        <w:rPr>
          <w:rFonts w:eastAsia="Calibri"/>
          <w:sz w:val="24"/>
          <w:szCs w:val="24"/>
        </w:rPr>
        <w:t>changing from an M1-1 District to an R4 District property bounded by 45th Street, a line 100 feet northeasterly of 23rd Avenue, a line midway between 45th Street and 46th Street, a line 125 feet northeasterly of 23rd Avenue, 46th Street, Astoria Boulevard North, and 23rd Avenue;</w:t>
      </w:r>
    </w:p>
    <w:p w:rsidR="00124BEC" w:rsidRDefault="00124BEC" w:rsidP="00124BEC">
      <w:pPr>
        <w:pStyle w:val="ListParagraph"/>
        <w:rPr>
          <w:rFonts w:eastAsia="Calibri"/>
          <w:sz w:val="24"/>
          <w:szCs w:val="24"/>
        </w:rPr>
      </w:pPr>
    </w:p>
    <w:p w:rsidR="00077777" w:rsidRDefault="00077777" w:rsidP="0007777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4"/>
        </w:rPr>
      </w:pPr>
      <w:r w:rsidRPr="00077777">
        <w:rPr>
          <w:rFonts w:eastAsia="Calibri"/>
          <w:sz w:val="24"/>
          <w:szCs w:val="24"/>
        </w:rPr>
        <w:t>changing from an M1-1 District to an R6A District property bounded by 45th Street, a line 525 feet southwesterly of Ditmars Boulevard, 46th Street, a line 125 feet northeasterly of 23rd Avenue, a line midway between 45th Street and 46th Street, and a line 100 feet northeasterly of 23rd Avenue;</w:t>
      </w:r>
    </w:p>
    <w:p w:rsidR="00124BEC" w:rsidRDefault="00124BEC" w:rsidP="00124BEC">
      <w:pPr>
        <w:pStyle w:val="ListParagraph"/>
        <w:rPr>
          <w:rFonts w:eastAsia="Calibri"/>
          <w:sz w:val="24"/>
          <w:szCs w:val="24"/>
        </w:rPr>
      </w:pPr>
    </w:p>
    <w:p w:rsidR="00077777" w:rsidRDefault="00077777" w:rsidP="0007777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4"/>
        </w:rPr>
      </w:pPr>
      <w:r w:rsidRPr="00077777">
        <w:rPr>
          <w:rFonts w:eastAsia="Calibri"/>
          <w:sz w:val="24"/>
          <w:szCs w:val="24"/>
        </w:rPr>
        <w:t>establishing within the proposed R4 District a C2-3 District bounded by 45th Street, a line 100 feet northeasterly of 23rd Avenue, a line midway between 45th Street and 46th Street, and 23rd Avenue; and</w:t>
      </w:r>
    </w:p>
    <w:p w:rsidR="00124BEC" w:rsidRDefault="00124BEC" w:rsidP="00124BEC">
      <w:pPr>
        <w:pStyle w:val="ListParagraph"/>
        <w:rPr>
          <w:rFonts w:eastAsia="Calibri"/>
          <w:sz w:val="24"/>
          <w:szCs w:val="24"/>
        </w:rPr>
      </w:pPr>
    </w:p>
    <w:p w:rsidR="00077777" w:rsidRDefault="00077777" w:rsidP="0007777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4"/>
        </w:rPr>
      </w:pPr>
      <w:r w:rsidRPr="00077777">
        <w:rPr>
          <w:rFonts w:eastAsia="Calibri"/>
          <w:sz w:val="24"/>
          <w:szCs w:val="24"/>
        </w:rPr>
        <w:lastRenderedPageBreak/>
        <w:t>establishing within the proposed R6A District a C2-3 District bounded by 45th Street, a line 275 feet northeasterly of 23rd Avenue, a line midway between 45th Street and 46th Street, and a line 100 feet northeaster of 23rd Avenue;</w:t>
      </w:r>
    </w:p>
    <w:p w:rsidR="006C57F7" w:rsidRDefault="006C57F7" w:rsidP="006C57F7">
      <w:pPr>
        <w:pStyle w:val="ListParagraph"/>
        <w:rPr>
          <w:rFonts w:eastAsia="Calibri"/>
          <w:sz w:val="24"/>
          <w:szCs w:val="24"/>
        </w:rPr>
      </w:pPr>
    </w:p>
    <w:p w:rsidR="00077777" w:rsidRPr="00077777" w:rsidRDefault="00077777" w:rsidP="00124BEC">
      <w:pPr>
        <w:tabs>
          <w:tab w:val="left" w:pos="720"/>
        </w:tabs>
        <w:jc w:val="both"/>
        <w:rPr>
          <w:sz w:val="24"/>
          <w:szCs w:val="24"/>
        </w:rPr>
      </w:pPr>
      <w:r w:rsidRPr="00077777">
        <w:rPr>
          <w:rFonts w:eastAsia="Cambria"/>
          <w:sz w:val="24"/>
          <w:szCs w:val="24"/>
        </w:rPr>
        <w:t>as shown on a diagram (for illustrative purposes only) dated August 26, 2019, and subject to the conditions of CEQR Declaration E-549.</w:t>
      </w:r>
    </w:p>
    <w:p w:rsidR="00077777" w:rsidRPr="00077777" w:rsidRDefault="00077777" w:rsidP="00124BEC">
      <w:pPr>
        <w:jc w:val="both"/>
        <w:rPr>
          <w:sz w:val="24"/>
          <w:szCs w:val="24"/>
        </w:rPr>
      </w:pPr>
    </w:p>
    <w:p w:rsidR="00077777" w:rsidRDefault="00077777" w:rsidP="00124BEC">
      <w:pPr>
        <w:jc w:val="both"/>
        <w:rPr>
          <w:sz w:val="24"/>
          <w:szCs w:val="24"/>
        </w:rPr>
      </w:pPr>
    </w:p>
    <w:p w:rsidR="0018753D" w:rsidRPr="0018753D" w:rsidRDefault="002A13E9" w:rsidP="00E22AC6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 190</w:t>
      </w:r>
      <w:r w:rsidR="00124BEC">
        <w:rPr>
          <w:b/>
          <w:sz w:val="24"/>
          <w:szCs w:val="24"/>
        </w:rPr>
        <w:t>266</w:t>
      </w:r>
      <w:r>
        <w:rPr>
          <w:b/>
          <w:sz w:val="24"/>
          <w:szCs w:val="24"/>
        </w:rPr>
        <w:t xml:space="preserve"> ZRQ (</w:t>
      </w:r>
      <w:r w:rsidR="00124BEC">
        <w:rPr>
          <w:b/>
          <w:sz w:val="24"/>
          <w:szCs w:val="24"/>
        </w:rPr>
        <w:t xml:space="preserve">Pre. </w:t>
      </w:r>
      <w:r>
        <w:rPr>
          <w:b/>
          <w:sz w:val="24"/>
          <w:szCs w:val="24"/>
        </w:rPr>
        <w:t xml:space="preserve">L.U. No. </w:t>
      </w:r>
      <w:r w:rsidR="0009186C">
        <w:rPr>
          <w:b/>
          <w:sz w:val="24"/>
          <w:szCs w:val="24"/>
        </w:rPr>
        <w:t>605</w:t>
      </w:r>
      <w:r>
        <w:rPr>
          <w:b/>
          <w:sz w:val="24"/>
          <w:szCs w:val="24"/>
        </w:rPr>
        <w:t>)</w:t>
      </w:r>
    </w:p>
    <w:p w:rsidR="0018753D" w:rsidRDefault="0018753D" w:rsidP="00E22AC6">
      <w:pPr>
        <w:tabs>
          <w:tab w:val="left" w:pos="7020"/>
        </w:tabs>
        <w:jc w:val="both"/>
        <w:rPr>
          <w:sz w:val="24"/>
          <w:szCs w:val="24"/>
        </w:rPr>
      </w:pPr>
    </w:p>
    <w:p w:rsidR="00124BEC" w:rsidRPr="00124BEC" w:rsidRDefault="00124BEC" w:rsidP="00124BEC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ab/>
      </w:r>
      <w:r w:rsidR="00343BA4" w:rsidRPr="00C169E0">
        <w:rPr>
          <w:sz w:val="24"/>
          <w:szCs w:val="24"/>
        </w:rPr>
        <w:t xml:space="preserve">City Planning Commission decision approving an </w:t>
      </w:r>
      <w:r w:rsidR="002A13E9" w:rsidRPr="002A13E9">
        <w:rPr>
          <w:sz w:val="24"/>
          <w:szCs w:val="24"/>
        </w:rPr>
        <w:t xml:space="preserve">application submitted by </w:t>
      </w:r>
      <w:r w:rsidRPr="00124BEC">
        <w:rPr>
          <w:rFonts w:eastAsia="Cambria"/>
          <w:sz w:val="24"/>
          <w:szCs w:val="24"/>
        </w:rPr>
        <w:t>Mega Realty Holding</w:t>
      </w:r>
      <w:r>
        <w:rPr>
          <w:rFonts w:eastAsia="Cambria"/>
          <w:sz w:val="24"/>
          <w:szCs w:val="24"/>
        </w:rPr>
        <w:t>,</w:t>
      </w:r>
      <w:r w:rsidRPr="00124BEC">
        <w:rPr>
          <w:rFonts w:eastAsia="Cambria"/>
          <w:sz w:val="24"/>
          <w:szCs w:val="24"/>
        </w:rPr>
        <w:t xml:space="preserve"> LLC and Pancyprian</w:t>
      </w:r>
      <w:r>
        <w:rPr>
          <w:rFonts w:eastAsia="Cambria"/>
          <w:sz w:val="24"/>
          <w:szCs w:val="24"/>
        </w:rPr>
        <w:t xml:space="preserve"> </w:t>
      </w:r>
      <w:r w:rsidRPr="00124BEC">
        <w:rPr>
          <w:rFonts w:eastAsia="Cambria"/>
          <w:sz w:val="24"/>
          <w:szCs w:val="24"/>
        </w:rPr>
        <w:t>Association, Inc.</w:t>
      </w:r>
      <w:r>
        <w:rPr>
          <w:rFonts w:eastAsia="Cambria"/>
          <w:sz w:val="24"/>
          <w:szCs w:val="24"/>
        </w:rPr>
        <w:t>,</w:t>
      </w:r>
      <w:r w:rsidRPr="00124BEC">
        <w:rPr>
          <w:rFonts w:eastAsia="Cambria"/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area.</w:t>
      </w:r>
    </w:p>
    <w:p w:rsidR="00124BEC" w:rsidRDefault="00124BEC" w:rsidP="00061910">
      <w:pPr>
        <w:ind w:firstLine="720"/>
        <w:jc w:val="both"/>
        <w:rPr>
          <w:sz w:val="24"/>
          <w:szCs w:val="24"/>
        </w:rPr>
      </w:pPr>
    </w:p>
    <w:p w:rsidR="00124BEC" w:rsidRDefault="00124BEC" w:rsidP="00061910">
      <w:pPr>
        <w:ind w:firstLine="720"/>
        <w:jc w:val="both"/>
        <w:rPr>
          <w:sz w:val="24"/>
          <w:szCs w:val="24"/>
        </w:rPr>
      </w:pPr>
    </w:p>
    <w:p w:rsidR="002A13E9" w:rsidRDefault="002A13E9" w:rsidP="00F90E41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57F7" w:rsidRDefault="006C57F7" w:rsidP="00F90E41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753D" w:rsidRDefault="0018753D" w:rsidP="00F331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:rsidR="00F503C5" w:rsidRPr="00AC55AD" w:rsidRDefault="00F503C5" w:rsidP="00AB4142">
      <w:pPr>
        <w:jc w:val="both"/>
        <w:rPr>
          <w:sz w:val="24"/>
          <w:szCs w:val="24"/>
        </w:rPr>
      </w:pPr>
    </w:p>
    <w:p w:rsidR="006C57F7" w:rsidRPr="006C57F7" w:rsidRDefault="006C57F7" w:rsidP="006C57F7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ab/>
      </w:r>
      <w:r w:rsidR="00050AFF">
        <w:rPr>
          <w:sz w:val="24"/>
          <w:szCs w:val="24"/>
        </w:rPr>
        <w:t xml:space="preserve">To approve an amendment to rezone the project area </w:t>
      </w:r>
      <w:r w:rsidR="00B22BE5">
        <w:rPr>
          <w:sz w:val="24"/>
          <w:szCs w:val="24"/>
        </w:rPr>
        <w:t xml:space="preserve">Block 769 </w:t>
      </w:r>
      <w:r w:rsidR="00050AFF">
        <w:rPr>
          <w:sz w:val="24"/>
          <w:szCs w:val="24"/>
        </w:rPr>
        <w:t xml:space="preserve">from an </w:t>
      </w:r>
      <w:r w:rsidR="00B22BE5" w:rsidRPr="00B22BE5">
        <w:rPr>
          <w:rFonts w:eastAsia="Cambria"/>
          <w:sz w:val="24"/>
          <w:szCs w:val="24"/>
        </w:rPr>
        <w:t>R4 and M1-1 zoning districts to R4, R4/C2-3, R6A, and R6A/C2-3 districts</w:t>
      </w:r>
      <w:r w:rsidR="00B22BE5">
        <w:rPr>
          <w:rFonts w:eastAsia="Cambria"/>
          <w:sz w:val="24"/>
          <w:szCs w:val="24"/>
        </w:rPr>
        <w:t xml:space="preserve">; and amend zoning text to modify Appendix F to designate a portion of the Project Area within the proposed R6A district as a Mandatory Inclusionary Housing (MIH) Area (Option 2 and the Workforce Option) </w:t>
      </w:r>
      <w:r>
        <w:rPr>
          <w:rFonts w:eastAsia="Cambria"/>
          <w:sz w:val="24"/>
          <w:szCs w:val="24"/>
        </w:rPr>
        <w:t xml:space="preserve">to </w:t>
      </w:r>
      <w:r w:rsidRPr="006C57F7">
        <w:rPr>
          <w:rFonts w:eastAsia="Cambria"/>
          <w:sz w:val="24"/>
          <w:szCs w:val="24"/>
        </w:rPr>
        <w:t xml:space="preserve">facilitate the construction of </w:t>
      </w:r>
      <w:bookmarkStart w:id="1" w:name="_Hlk19882855"/>
      <w:r w:rsidRPr="006C57F7">
        <w:rPr>
          <w:rFonts w:eastAsia="Cambria"/>
          <w:sz w:val="24"/>
          <w:szCs w:val="24"/>
        </w:rPr>
        <w:t>an eight-story mixed-use building</w:t>
      </w:r>
      <w:bookmarkEnd w:id="1"/>
      <w:r w:rsidRPr="006C57F7">
        <w:rPr>
          <w:rFonts w:eastAsia="Cambria"/>
          <w:sz w:val="24"/>
          <w:szCs w:val="24"/>
        </w:rPr>
        <w:t xml:space="preserve"> at 22-60 46</w:t>
      </w:r>
      <w:r w:rsidRPr="006C57F7">
        <w:rPr>
          <w:rFonts w:eastAsia="Cambria"/>
          <w:sz w:val="24"/>
          <w:szCs w:val="24"/>
          <w:vertAlign w:val="superscript"/>
        </w:rPr>
        <w:t>th</w:t>
      </w:r>
      <w:r w:rsidRPr="006C57F7">
        <w:rPr>
          <w:rFonts w:eastAsia="Cambria"/>
          <w:sz w:val="24"/>
          <w:szCs w:val="24"/>
        </w:rPr>
        <w:t xml:space="preserve"> Street in Astoria, Queens, Community District 1.</w:t>
      </w:r>
    </w:p>
    <w:p w:rsidR="00B22BE5" w:rsidRDefault="00B22BE5" w:rsidP="006C57F7">
      <w:pPr>
        <w:ind w:firstLine="720"/>
        <w:jc w:val="both"/>
        <w:rPr>
          <w:sz w:val="24"/>
          <w:szCs w:val="24"/>
        </w:rPr>
      </w:pPr>
    </w:p>
    <w:p w:rsidR="00B22BE5" w:rsidRDefault="00B22BE5" w:rsidP="00061910">
      <w:pPr>
        <w:ind w:firstLine="720"/>
        <w:jc w:val="both"/>
        <w:rPr>
          <w:sz w:val="24"/>
          <w:szCs w:val="24"/>
        </w:rPr>
      </w:pPr>
    </w:p>
    <w:p w:rsidR="00B22BE5" w:rsidRDefault="00B22BE5" w:rsidP="00061910">
      <w:pPr>
        <w:ind w:firstLine="720"/>
        <w:jc w:val="both"/>
        <w:rPr>
          <w:sz w:val="24"/>
          <w:szCs w:val="24"/>
        </w:rPr>
      </w:pPr>
    </w:p>
    <w:p w:rsidR="00B22BE5" w:rsidRDefault="00B22BE5" w:rsidP="00061910">
      <w:pPr>
        <w:ind w:firstLine="720"/>
        <w:jc w:val="both"/>
        <w:rPr>
          <w:sz w:val="24"/>
          <w:szCs w:val="24"/>
        </w:rPr>
      </w:pPr>
    </w:p>
    <w:p w:rsidR="0054560A" w:rsidRDefault="0054560A" w:rsidP="001603F5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C57F7">
        <w:rPr>
          <w:sz w:val="24"/>
          <w:szCs w:val="24"/>
        </w:rPr>
        <w:t>January 14, 2020</w:t>
      </w:r>
    </w:p>
    <w:p w:rsidR="00061910" w:rsidRDefault="00061910" w:rsidP="00061910">
      <w:pPr>
        <w:jc w:val="both"/>
        <w:rPr>
          <w:sz w:val="24"/>
          <w:szCs w:val="24"/>
        </w:rPr>
      </w:pPr>
    </w:p>
    <w:p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C74145">
        <w:rPr>
          <w:sz w:val="24"/>
          <w:szCs w:val="24"/>
        </w:rPr>
        <w:t>Thirteen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C74145">
        <w:rPr>
          <w:sz w:val="24"/>
          <w:szCs w:val="24"/>
        </w:rPr>
        <w:t>None</w:t>
      </w:r>
    </w:p>
    <w:p w:rsidR="009019B7" w:rsidRDefault="009019B7" w:rsidP="00C66096">
      <w:pPr>
        <w:jc w:val="both"/>
        <w:rPr>
          <w:sz w:val="24"/>
          <w:szCs w:val="24"/>
        </w:rPr>
      </w:pPr>
    </w:p>
    <w:p w:rsidR="0054560A" w:rsidRDefault="0054560A" w:rsidP="00C66096">
      <w:pPr>
        <w:jc w:val="both"/>
        <w:rPr>
          <w:sz w:val="24"/>
          <w:szCs w:val="24"/>
        </w:rPr>
      </w:pPr>
    </w:p>
    <w:p w:rsidR="00CF68F7" w:rsidRDefault="00CF68F7" w:rsidP="0054560A">
      <w:pPr>
        <w:jc w:val="both"/>
      </w:pPr>
    </w:p>
    <w:p w:rsidR="00AB4142" w:rsidRDefault="00AB4142" w:rsidP="0054560A">
      <w:pPr>
        <w:jc w:val="both"/>
      </w:pPr>
    </w:p>
    <w:p w:rsidR="00AB4142" w:rsidRDefault="00AB4142" w:rsidP="0054560A">
      <w:pPr>
        <w:jc w:val="both"/>
      </w:pPr>
    </w:p>
    <w:p w:rsidR="0054560A" w:rsidRDefault="0054560A" w:rsidP="0054560A">
      <w:pPr>
        <w:jc w:val="both"/>
      </w:pPr>
    </w:p>
    <w:p w:rsidR="0085450A" w:rsidRPr="00AC55AD" w:rsidRDefault="0085450A" w:rsidP="0085450A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>
        <w:rPr>
          <w:szCs w:val="24"/>
        </w:rPr>
        <w:t xml:space="preserve"> </w:t>
      </w:r>
    </w:p>
    <w:p w:rsidR="0085450A" w:rsidRPr="00AC55AD" w:rsidRDefault="0085450A" w:rsidP="0085450A">
      <w:pPr>
        <w:jc w:val="both"/>
        <w:rPr>
          <w:b/>
          <w:sz w:val="24"/>
          <w:szCs w:val="24"/>
        </w:rPr>
      </w:pPr>
    </w:p>
    <w:p w:rsidR="0085450A" w:rsidRPr="00AC55AD" w:rsidRDefault="0085450A" w:rsidP="0085450A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C57F7">
        <w:rPr>
          <w:sz w:val="24"/>
          <w:szCs w:val="24"/>
        </w:rPr>
        <w:t>January 30, 2020</w:t>
      </w:r>
    </w:p>
    <w:p w:rsidR="0085450A" w:rsidRDefault="0085450A" w:rsidP="0085450A">
      <w:pPr>
        <w:jc w:val="both"/>
        <w:rPr>
          <w:sz w:val="24"/>
          <w:szCs w:val="24"/>
        </w:rPr>
      </w:pPr>
    </w:p>
    <w:p w:rsidR="00766938" w:rsidRPr="00766938" w:rsidRDefault="00766938" w:rsidP="00766938">
      <w:pPr>
        <w:tabs>
          <w:tab w:val="left" w:pos="720"/>
        </w:tabs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6938">
        <w:rPr>
          <w:sz w:val="24"/>
          <w:szCs w:val="24"/>
        </w:rPr>
        <w:t xml:space="preserve">The Subcommittee recommends that the Land Use Committee approve the decision of the City Planning Commission on Pre. L.U. No. </w:t>
      </w:r>
      <w:r w:rsidR="00D40271">
        <w:rPr>
          <w:sz w:val="24"/>
          <w:szCs w:val="24"/>
        </w:rPr>
        <w:t>604</w:t>
      </w:r>
      <w:r w:rsidRPr="00766938">
        <w:rPr>
          <w:sz w:val="24"/>
          <w:szCs w:val="24"/>
        </w:rPr>
        <w:t xml:space="preserve">, and approve with modifications the decision of the City Planning Commission on </w:t>
      </w:r>
      <w:r>
        <w:rPr>
          <w:sz w:val="24"/>
          <w:szCs w:val="24"/>
        </w:rPr>
        <w:t xml:space="preserve">Pre. </w:t>
      </w:r>
      <w:r w:rsidRPr="00766938">
        <w:rPr>
          <w:sz w:val="24"/>
          <w:szCs w:val="24"/>
        </w:rPr>
        <w:t xml:space="preserve">L.U. No. </w:t>
      </w:r>
      <w:r w:rsidR="00D40271">
        <w:rPr>
          <w:sz w:val="24"/>
          <w:szCs w:val="24"/>
        </w:rPr>
        <w:t>605</w:t>
      </w:r>
      <w:r w:rsidRPr="00766938">
        <w:rPr>
          <w:sz w:val="24"/>
          <w:szCs w:val="24"/>
        </w:rPr>
        <w:t>.</w:t>
      </w:r>
    </w:p>
    <w:p w:rsidR="00766938" w:rsidRDefault="00766938" w:rsidP="0085450A">
      <w:pPr>
        <w:jc w:val="both"/>
        <w:rPr>
          <w:sz w:val="24"/>
          <w:szCs w:val="24"/>
        </w:rPr>
      </w:pPr>
    </w:p>
    <w:p w:rsidR="0085450A" w:rsidRPr="00A34A23" w:rsidRDefault="0085450A" w:rsidP="0085450A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54560A" w:rsidRDefault="00407331" w:rsidP="0040733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407331" w:rsidRDefault="00407331" w:rsidP="00C10264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407331" w:rsidRDefault="00407331" w:rsidP="00C10264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407331" w:rsidRDefault="00407331" w:rsidP="00C10264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54560A" w:rsidRDefault="0054560A" w:rsidP="00C10264">
      <w:pPr>
        <w:rPr>
          <w:sz w:val="24"/>
          <w:szCs w:val="24"/>
        </w:rPr>
      </w:pPr>
    </w:p>
    <w:p w:rsidR="006606BD" w:rsidRDefault="006606BD" w:rsidP="00C10264">
      <w:pPr>
        <w:rPr>
          <w:sz w:val="24"/>
          <w:szCs w:val="24"/>
        </w:rPr>
      </w:pPr>
    </w:p>
    <w:p w:rsidR="0012001A" w:rsidRDefault="0012001A" w:rsidP="00C10264">
      <w:pPr>
        <w:rPr>
          <w:sz w:val="24"/>
          <w:szCs w:val="24"/>
        </w:rPr>
      </w:pPr>
    </w:p>
    <w:p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F62D5F" w:rsidRPr="00AB4142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6C57F7">
        <w:rPr>
          <w:sz w:val="24"/>
          <w:szCs w:val="24"/>
        </w:rPr>
        <w:t>February 4, 2020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AB4142" w:rsidRPr="00061910" w:rsidRDefault="00F62D5F" w:rsidP="00061910">
      <w:pPr>
        <w:ind w:firstLine="720"/>
        <w:jc w:val="both"/>
        <w:rPr>
          <w:sz w:val="24"/>
          <w:szCs w:val="24"/>
        </w:rPr>
      </w:pPr>
      <w:r w:rsidRPr="00061910">
        <w:rPr>
          <w:sz w:val="24"/>
          <w:szCs w:val="24"/>
        </w:rPr>
        <w:t xml:space="preserve">The Committee recommends that the Council </w:t>
      </w:r>
      <w:r w:rsidR="00AB4142" w:rsidRPr="00061910">
        <w:rPr>
          <w:sz w:val="24"/>
          <w:szCs w:val="24"/>
        </w:rPr>
        <w:t>approve the attached resolutions.</w:t>
      </w:r>
    </w:p>
    <w:p w:rsidR="001603F5" w:rsidRDefault="001603F5" w:rsidP="001603F5">
      <w:pPr>
        <w:pStyle w:val="BodyText"/>
        <w:ind w:right="-180"/>
        <w:rPr>
          <w:szCs w:val="24"/>
        </w:rPr>
      </w:pPr>
    </w:p>
    <w:p w:rsidR="001603F5" w:rsidRPr="009346A6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7136" w:rsidRPr="008F31D5" w:rsidRDefault="008E7136" w:rsidP="008E7136">
      <w:pPr>
        <w:tabs>
          <w:tab w:val="left" w:pos="2520"/>
        </w:tabs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Salamanca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None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Gibson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Barron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Deutsch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Koo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Lancman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Miller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Treyger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Grodenchik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Adams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Diaz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Moya</w:t>
      </w:r>
    </w:p>
    <w:p w:rsidR="008E7136" w:rsidRPr="008F31D5" w:rsidRDefault="008E7136" w:rsidP="008E7136">
      <w:pPr>
        <w:rPr>
          <w:rFonts w:eastAsia="Calibri"/>
          <w:sz w:val="24"/>
          <w:szCs w:val="24"/>
        </w:rPr>
      </w:pPr>
      <w:r w:rsidRPr="008F31D5">
        <w:rPr>
          <w:rFonts w:eastAsia="Calibri"/>
          <w:sz w:val="24"/>
          <w:szCs w:val="24"/>
        </w:rPr>
        <w:t>Rivera</w:t>
      </w:r>
    </w:p>
    <w:p w:rsidR="00374EF4" w:rsidRPr="006C57F7" w:rsidRDefault="00374EF4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6C57F7" w:rsidRPr="006C57F7" w:rsidRDefault="006C57F7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6C57F7" w:rsidRDefault="006C57F7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05A53" w:rsidRDefault="00D05A53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05A53" w:rsidRDefault="00D05A53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05A53" w:rsidRDefault="00D05A53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05A53" w:rsidRDefault="00D05A53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05A53" w:rsidRPr="00D05A53" w:rsidRDefault="00D05A53" w:rsidP="00D05A53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D05A53">
        <w:rPr>
          <w:b/>
          <w:sz w:val="24"/>
          <w:szCs w:val="24"/>
          <w:u w:val="single"/>
        </w:rPr>
        <w:t>FILING OF MODIFICATIONS WITH THE CITY PLANNING COMMISSIONS</w:t>
      </w:r>
    </w:p>
    <w:p w:rsidR="00D05A53" w:rsidRPr="00D05A53" w:rsidRDefault="00D05A53" w:rsidP="00D05A53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05A53" w:rsidRPr="00D05A53" w:rsidRDefault="00D05A53" w:rsidP="00D05A53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D05A53">
        <w:rPr>
          <w:sz w:val="24"/>
          <w:szCs w:val="24"/>
        </w:rPr>
        <w:tab/>
        <w:t xml:space="preserve">The City Planning Commission filed a letter dated </w:t>
      </w:r>
      <w:r w:rsidR="007B0E99">
        <w:rPr>
          <w:sz w:val="24"/>
          <w:szCs w:val="24"/>
        </w:rPr>
        <w:t>February 5</w:t>
      </w:r>
      <w:r w:rsidRPr="00D05A53">
        <w:rPr>
          <w:sz w:val="24"/>
          <w:szCs w:val="24"/>
        </w:rPr>
        <w:t xml:space="preserve">, 2020, with the Council on </w:t>
      </w:r>
      <w:r w:rsidR="007B0E99">
        <w:rPr>
          <w:sz w:val="24"/>
          <w:szCs w:val="24"/>
        </w:rPr>
        <w:t>February 7</w:t>
      </w:r>
      <w:r w:rsidRPr="00D05A53">
        <w:rPr>
          <w:sz w:val="24"/>
          <w:szCs w:val="24"/>
        </w:rPr>
        <w:t>, 2020, indicating that the proposed modifications are not subject to additional environmental review or additional review pursuant to Section 197-c of the City Charter.</w:t>
      </w:r>
    </w:p>
    <w:p w:rsidR="00D05A53" w:rsidRPr="006C57F7" w:rsidRDefault="00D05A53" w:rsidP="00374E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D05A53" w:rsidRPr="006C57F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2B" w:rsidRDefault="00C1372B">
      <w:r>
        <w:separator/>
      </w:r>
    </w:p>
  </w:endnote>
  <w:endnote w:type="continuationSeparator" w:id="0">
    <w:p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2B" w:rsidRDefault="00C1372B">
      <w:r>
        <w:separator/>
      </w:r>
    </w:p>
  </w:footnote>
  <w:footnote w:type="continuationSeparator" w:id="0">
    <w:p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B" w:rsidRDefault="0096249B">
    <w:pPr>
      <w:pStyle w:val="Header"/>
      <w:rPr>
        <w:b/>
        <w:bCs/>
        <w:sz w:val="24"/>
      </w:rPr>
    </w:pPr>
  </w:p>
  <w:p w:rsidR="0096249B" w:rsidRDefault="0096249B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0123FC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0123FC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</w:p>
  <w:p w:rsidR="00822B56" w:rsidRDefault="002A13E9" w:rsidP="00822B56">
    <w:pPr>
      <w:rPr>
        <w:b/>
        <w:sz w:val="24"/>
        <w:szCs w:val="24"/>
      </w:rPr>
    </w:pPr>
    <w:r>
      <w:rPr>
        <w:b/>
        <w:sz w:val="24"/>
        <w:szCs w:val="24"/>
      </w:rPr>
      <w:t>C 1</w:t>
    </w:r>
    <w:r w:rsidR="00124BEC">
      <w:rPr>
        <w:b/>
        <w:sz w:val="24"/>
        <w:szCs w:val="24"/>
      </w:rPr>
      <w:t>90267 ZMQ and N 190266 ZRQ</w:t>
    </w:r>
  </w:p>
  <w:p w:rsidR="0096249B" w:rsidRDefault="00124BEC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09186C">
      <w:rPr>
        <w:b/>
        <w:sz w:val="24"/>
        <w:szCs w:val="24"/>
      </w:rPr>
      <w:t>604 and 605</w:t>
    </w:r>
    <w:r w:rsidR="00F90E41">
      <w:rPr>
        <w:b/>
        <w:sz w:val="24"/>
        <w:szCs w:val="24"/>
      </w:rPr>
      <w:t xml:space="preserve"> (Res. Nos. </w:t>
    </w:r>
    <w:r w:rsidR="007B0E99">
      <w:rPr>
        <w:b/>
        <w:sz w:val="24"/>
        <w:szCs w:val="24"/>
      </w:rPr>
      <w:t>1252 and 1253</w:t>
    </w:r>
    <w:r w:rsidR="00F90E41">
      <w:rPr>
        <w:b/>
        <w:sz w:val="24"/>
        <w:szCs w:val="24"/>
      </w:rPr>
      <w:t>)</w:t>
    </w:r>
  </w:p>
  <w:p w:rsidR="0009186C" w:rsidRDefault="0009186C">
    <w:pPr>
      <w:rPr>
        <w:b/>
        <w:sz w:val="24"/>
        <w:szCs w:val="24"/>
      </w:rPr>
    </w:pPr>
  </w:p>
  <w:p w:rsidR="0009186C" w:rsidRDefault="0009186C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F74151"/>
    <w:multiLevelType w:val="hybridMultilevel"/>
    <w:tmpl w:val="F2B4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60CDC"/>
    <w:multiLevelType w:val="hybridMultilevel"/>
    <w:tmpl w:val="EEB0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0E34"/>
    <w:multiLevelType w:val="hybridMultilevel"/>
    <w:tmpl w:val="190C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47390"/>
    <w:multiLevelType w:val="hybridMultilevel"/>
    <w:tmpl w:val="6066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23FC"/>
    <w:rsid w:val="00016251"/>
    <w:rsid w:val="00031734"/>
    <w:rsid w:val="00050AFF"/>
    <w:rsid w:val="0005525D"/>
    <w:rsid w:val="00056EE3"/>
    <w:rsid w:val="00061910"/>
    <w:rsid w:val="00066523"/>
    <w:rsid w:val="00075B80"/>
    <w:rsid w:val="00077777"/>
    <w:rsid w:val="0009186C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107C84"/>
    <w:rsid w:val="00111C68"/>
    <w:rsid w:val="001176F7"/>
    <w:rsid w:val="0012001A"/>
    <w:rsid w:val="00121CA7"/>
    <w:rsid w:val="0012287C"/>
    <w:rsid w:val="00124BEC"/>
    <w:rsid w:val="00147164"/>
    <w:rsid w:val="001603F5"/>
    <w:rsid w:val="00163A10"/>
    <w:rsid w:val="001666F0"/>
    <w:rsid w:val="0017417F"/>
    <w:rsid w:val="0017736D"/>
    <w:rsid w:val="00181848"/>
    <w:rsid w:val="00185A8E"/>
    <w:rsid w:val="0018753D"/>
    <w:rsid w:val="00190878"/>
    <w:rsid w:val="001A129E"/>
    <w:rsid w:val="001A727A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2162A"/>
    <w:rsid w:val="00222E37"/>
    <w:rsid w:val="00237D9E"/>
    <w:rsid w:val="00247032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A13E9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23A31"/>
    <w:rsid w:val="00331FDB"/>
    <w:rsid w:val="003336C1"/>
    <w:rsid w:val="003410BD"/>
    <w:rsid w:val="00342EC3"/>
    <w:rsid w:val="00343BA4"/>
    <w:rsid w:val="003458BF"/>
    <w:rsid w:val="00362003"/>
    <w:rsid w:val="00362E64"/>
    <w:rsid w:val="003672FC"/>
    <w:rsid w:val="00367CD7"/>
    <w:rsid w:val="0037232E"/>
    <w:rsid w:val="00374EF4"/>
    <w:rsid w:val="00382769"/>
    <w:rsid w:val="003B171F"/>
    <w:rsid w:val="003B4966"/>
    <w:rsid w:val="003C4F48"/>
    <w:rsid w:val="003D00D6"/>
    <w:rsid w:val="003D3B3F"/>
    <w:rsid w:val="003E33D0"/>
    <w:rsid w:val="00401657"/>
    <w:rsid w:val="004062C1"/>
    <w:rsid w:val="00407331"/>
    <w:rsid w:val="00446196"/>
    <w:rsid w:val="0044724C"/>
    <w:rsid w:val="0046504D"/>
    <w:rsid w:val="00485687"/>
    <w:rsid w:val="004A11E9"/>
    <w:rsid w:val="004A67AA"/>
    <w:rsid w:val="004D4F79"/>
    <w:rsid w:val="004D75E1"/>
    <w:rsid w:val="004E4066"/>
    <w:rsid w:val="004E45EA"/>
    <w:rsid w:val="004F0D6D"/>
    <w:rsid w:val="004F7BB9"/>
    <w:rsid w:val="00502382"/>
    <w:rsid w:val="00502A0B"/>
    <w:rsid w:val="0051200E"/>
    <w:rsid w:val="005308DC"/>
    <w:rsid w:val="00531B15"/>
    <w:rsid w:val="005331EE"/>
    <w:rsid w:val="005341AD"/>
    <w:rsid w:val="00534EEA"/>
    <w:rsid w:val="005372BA"/>
    <w:rsid w:val="005374B6"/>
    <w:rsid w:val="0054560A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74849"/>
    <w:rsid w:val="00586013"/>
    <w:rsid w:val="00593943"/>
    <w:rsid w:val="005A159C"/>
    <w:rsid w:val="005A299B"/>
    <w:rsid w:val="005A57A0"/>
    <w:rsid w:val="005B18AE"/>
    <w:rsid w:val="005C3812"/>
    <w:rsid w:val="005E16D9"/>
    <w:rsid w:val="005E5B80"/>
    <w:rsid w:val="005E76ED"/>
    <w:rsid w:val="0060042F"/>
    <w:rsid w:val="006225A8"/>
    <w:rsid w:val="006228B2"/>
    <w:rsid w:val="006242D6"/>
    <w:rsid w:val="00625B86"/>
    <w:rsid w:val="00632DBC"/>
    <w:rsid w:val="006357EF"/>
    <w:rsid w:val="006507DB"/>
    <w:rsid w:val="00651C7B"/>
    <w:rsid w:val="0065326C"/>
    <w:rsid w:val="006606BD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C55DB"/>
    <w:rsid w:val="006C57F7"/>
    <w:rsid w:val="006D6E02"/>
    <w:rsid w:val="006E18F9"/>
    <w:rsid w:val="006E640C"/>
    <w:rsid w:val="006E6D25"/>
    <w:rsid w:val="007105B3"/>
    <w:rsid w:val="0071456F"/>
    <w:rsid w:val="00720732"/>
    <w:rsid w:val="00720E53"/>
    <w:rsid w:val="007304AA"/>
    <w:rsid w:val="00730FC3"/>
    <w:rsid w:val="007311A2"/>
    <w:rsid w:val="00736830"/>
    <w:rsid w:val="00745C38"/>
    <w:rsid w:val="0075798E"/>
    <w:rsid w:val="00766938"/>
    <w:rsid w:val="007752AA"/>
    <w:rsid w:val="00777589"/>
    <w:rsid w:val="007803BF"/>
    <w:rsid w:val="00785C91"/>
    <w:rsid w:val="0078686B"/>
    <w:rsid w:val="007B0E99"/>
    <w:rsid w:val="007B3BC5"/>
    <w:rsid w:val="007B6758"/>
    <w:rsid w:val="007C3023"/>
    <w:rsid w:val="007C4ED6"/>
    <w:rsid w:val="007C6ADB"/>
    <w:rsid w:val="007D048A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31ED1"/>
    <w:rsid w:val="00847FF0"/>
    <w:rsid w:val="00850C63"/>
    <w:rsid w:val="0085450A"/>
    <w:rsid w:val="0085749E"/>
    <w:rsid w:val="00861F6D"/>
    <w:rsid w:val="00874275"/>
    <w:rsid w:val="00876065"/>
    <w:rsid w:val="008804F5"/>
    <w:rsid w:val="00881711"/>
    <w:rsid w:val="008829E3"/>
    <w:rsid w:val="0089302B"/>
    <w:rsid w:val="008A07CC"/>
    <w:rsid w:val="008B05E5"/>
    <w:rsid w:val="008B1ADE"/>
    <w:rsid w:val="008C57EF"/>
    <w:rsid w:val="008D2BD5"/>
    <w:rsid w:val="008D713C"/>
    <w:rsid w:val="008E7136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4F94"/>
    <w:rsid w:val="009A5CBC"/>
    <w:rsid w:val="009B2BD9"/>
    <w:rsid w:val="009C1EAF"/>
    <w:rsid w:val="009F6D7B"/>
    <w:rsid w:val="00A24D52"/>
    <w:rsid w:val="00A34A23"/>
    <w:rsid w:val="00A35B26"/>
    <w:rsid w:val="00A46D4D"/>
    <w:rsid w:val="00A5514E"/>
    <w:rsid w:val="00A70BA6"/>
    <w:rsid w:val="00A7408D"/>
    <w:rsid w:val="00A819F7"/>
    <w:rsid w:val="00A83A1C"/>
    <w:rsid w:val="00A91F53"/>
    <w:rsid w:val="00AA5076"/>
    <w:rsid w:val="00AA5556"/>
    <w:rsid w:val="00AB4142"/>
    <w:rsid w:val="00AB5ADB"/>
    <w:rsid w:val="00AC2BAD"/>
    <w:rsid w:val="00AC55AD"/>
    <w:rsid w:val="00AC70A6"/>
    <w:rsid w:val="00AD287E"/>
    <w:rsid w:val="00AD72EB"/>
    <w:rsid w:val="00AF046A"/>
    <w:rsid w:val="00AF4CBE"/>
    <w:rsid w:val="00B06400"/>
    <w:rsid w:val="00B206AC"/>
    <w:rsid w:val="00B22BE5"/>
    <w:rsid w:val="00B31CEC"/>
    <w:rsid w:val="00B41795"/>
    <w:rsid w:val="00B84FB7"/>
    <w:rsid w:val="00B87B6B"/>
    <w:rsid w:val="00BB47E6"/>
    <w:rsid w:val="00BC018B"/>
    <w:rsid w:val="00BD55EA"/>
    <w:rsid w:val="00BE2460"/>
    <w:rsid w:val="00BE38F6"/>
    <w:rsid w:val="00BF47D1"/>
    <w:rsid w:val="00BF54B4"/>
    <w:rsid w:val="00BF6DEB"/>
    <w:rsid w:val="00C06CEE"/>
    <w:rsid w:val="00C10264"/>
    <w:rsid w:val="00C12C9E"/>
    <w:rsid w:val="00C1372B"/>
    <w:rsid w:val="00C14D9B"/>
    <w:rsid w:val="00C15C8D"/>
    <w:rsid w:val="00C169E0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74145"/>
    <w:rsid w:val="00C82611"/>
    <w:rsid w:val="00CA77CA"/>
    <w:rsid w:val="00CC4F29"/>
    <w:rsid w:val="00CD0CF2"/>
    <w:rsid w:val="00CD1900"/>
    <w:rsid w:val="00CD1CD3"/>
    <w:rsid w:val="00CF4952"/>
    <w:rsid w:val="00CF56E6"/>
    <w:rsid w:val="00CF5D21"/>
    <w:rsid w:val="00CF68F7"/>
    <w:rsid w:val="00CF6AAC"/>
    <w:rsid w:val="00CF7581"/>
    <w:rsid w:val="00D05A53"/>
    <w:rsid w:val="00D113D0"/>
    <w:rsid w:val="00D1502E"/>
    <w:rsid w:val="00D277DF"/>
    <w:rsid w:val="00D40271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B25EB"/>
    <w:rsid w:val="00DB44FE"/>
    <w:rsid w:val="00DB55DB"/>
    <w:rsid w:val="00DC0312"/>
    <w:rsid w:val="00DC30B8"/>
    <w:rsid w:val="00DD4F65"/>
    <w:rsid w:val="00DE2433"/>
    <w:rsid w:val="00DF7B23"/>
    <w:rsid w:val="00E00BD1"/>
    <w:rsid w:val="00E201F4"/>
    <w:rsid w:val="00E22AC6"/>
    <w:rsid w:val="00E2345E"/>
    <w:rsid w:val="00E2628E"/>
    <w:rsid w:val="00E271CB"/>
    <w:rsid w:val="00E30BEB"/>
    <w:rsid w:val="00E41834"/>
    <w:rsid w:val="00E513C6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D3463"/>
    <w:rsid w:val="00EE6026"/>
    <w:rsid w:val="00F0710C"/>
    <w:rsid w:val="00F16D02"/>
    <w:rsid w:val="00F22D20"/>
    <w:rsid w:val="00F33120"/>
    <w:rsid w:val="00F37312"/>
    <w:rsid w:val="00F4040D"/>
    <w:rsid w:val="00F4174E"/>
    <w:rsid w:val="00F503C5"/>
    <w:rsid w:val="00F6048C"/>
    <w:rsid w:val="00F62D5F"/>
    <w:rsid w:val="00F6482B"/>
    <w:rsid w:val="00F64A73"/>
    <w:rsid w:val="00F90E41"/>
    <w:rsid w:val="00F9255D"/>
    <w:rsid w:val="00FB128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19F027-889D-4A5D-B3A9-CE295DE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0212-3707-4623-AA8A-844EF65F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2020-02-13T19:35:00Z</dcterms:created>
  <dcterms:modified xsi:type="dcterms:W3CDTF">2020-02-13T19:35:00Z</dcterms:modified>
</cp:coreProperties>
</file>