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4512F6" w:rsidRPr="003C616E" w:rsidTr="00D51797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:rsidR="004512F6" w:rsidRPr="003C616E" w:rsidRDefault="004512F6" w:rsidP="008B16A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11072BAE" wp14:editId="5B237D36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2F6" w:rsidRPr="003C616E" w:rsidRDefault="004512F6" w:rsidP="008B16AB"/>
        </w:tc>
        <w:tc>
          <w:tcPr>
            <w:tcW w:w="5115" w:type="dxa"/>
            <w:tcBorders>
              <w:bottom w:val="single" w:sz="4" w:space="0" w:color="auto"/>
            </w:tcBorders>
          </w:tcPr>
          <w:p w:rsidR="004512F6" w:rsidRPr="003C616E" w:rsidRDefault="004512F6" w:rsidP="008B16AB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:rsidR="004512F6" w:rsidRPr="003C616E" w:rsidRDefault="004512F6" w:rsidP="008B16AB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:rsidR="004512F6" w:rsidRPr="00EC76B7" w:rsidRDefault="004512F6" w:rsidP="008B16AB">
            <w:pPr>
              <w:spacing w:before="120"/>
              <w:rPr>
                <w:b/>
                <w:bCs/>
                <w:smallCaps/>
              </w:rPr>
            </w:pPr>
            <w:r w:rsidRPr="00EC76B7">
              <w:rPr>
                <w:b/>
                <w:bCs/>
                <w:smallCaps/>
              </w:rPr>
              <w:t>Latonia Mckinney, Director</w:t>
            </w:r>
          </w:p>
          <w:p w:rsidR="004512F6" w:rsidRPr="003C616E" w:rsidRDefault="004512F6" w:rsidP="008B16AB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:rsidR="004512F6" w:rsidRPr="00887D9E" w:rsidRDefault="00476BDE" w:rsidP="008B16AB">
            <w:pPr>
              <w:rPr>
                <w:b/>
                <w:color w:val="FF0000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4512F6" w:rsidRPr="003C616E">
              <w:rPr>
                <w:b/>
                <w:bCs/>
                <w:smallCaps/>
              </w:rPr>
              <w:t>Intro. No</w:t>
            </w:r>
            <w:r w:rsidR="004512F6" w:rsidRPr="003C616E">
              <w:rPr>
                <w:b/>
                <w:bCs/>
              </w:rPr>
              <w:t xml:space="preserve">: </w:t>
            </w:r>
            <w:r w:rsidR="00C001C8">
              <w:rPr>
                <w:bCs/>
              </w:rPr>
              <w:t>113-A</w:t>
            </w:r>
          </w:p>
          <w:p w:rsidR="004512F6" w:rsidRPr="003C616E" w:rsidRDefault="004512F6" w:rsidP="008B16AB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 </w:t>
            </w:r>
            <w:r w:rsidR="00B87D3A">
              <w:rPr>
                <w:b/>
                <w:bCs/>
              </w:rPr>
              <w:t xml:space="preserve">Finance </w:t>
            </w:r>
            <w:r>
              <w:rPr>
                <w:bCs/>
              </w:rPr>
              <w:t xml:space="preserve"> </w:t>
            </w:r>
          </w:p>
        </w:tc>
      </w:tr>
      <w:tr w:rsidR="004512F6" w:rsidRPr="003C616E" w:rsidTr="00D51797">
        <w:trPr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CC60BC" w:rsidRPr="00C001C8" w:rsidRDefault="004512F6" w:rsidP="00C001C8">
            <w:pPr>
              <w:pStyle w:val="NoSpacing"/>
            </w:pPr>
            <w:r w:rsidRPr="003C616E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C001C8">
              <w:t xml:space="preserve">A Local Law </w:t>
            </w:r>
            <w:r w:rsidR="00C001C8" w:rsidRPr="00F47485">
              <w:t>to amend the New York city charter and the administrative code of the city of New York, in relation to the creation of a database to track capital projects citywide, and to repeal section 18-145 of such administrative code</w:t>
            </w:r>
          </w:p>
          <w:p w:rsidR="004512F6" w:rsidRPr="003C616E" w:rsidRDefault="004512F6" w:rsidP="00D51797">
            <w:pPr>
              <w:pStyle w:val="BodyText"/>
              <w:spacing w:line="240" w:lineRule="auto"/>
              <w:ind w:firstLine="0"/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4512F6" w:rsidRPr="003C616E" w:rsidRDefault="004512F6" w:rsidP="00B107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616E">
              <w:rPr>
                <w:b/>
                <w:bCs/>
                <w:smallCaps/>
              </w:rPr>
              <w:t>Sponsors</w:t>
            </w:r>
            <w:r w:rsidRPr="003C6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Council Members</w:t>
            </w:r>
            <w:r w:rsidRPr="003C616E">
              <w:rPr>
                <w:b/>
                <w:bCs/>
              </w:rPr>
              <w:t xml:space="preserve"> </w:t>
            </w:r>
            <w:r w:rsidR="00C001C8">
              <w:t xml:space="preserve">Lander, Brannan, Rosenthal, Gibson, Kallos, Reynoso, Powers, Van Bramer, Ayala, Menchaca, Rose, Perkins, Rivera, Richards, Levin, </w:t>
            </w:r>
            <w:r w:rsidR="00B107E0">
              <w:t xml:space="preserve">the Public Advocate (Mr. Williams), </w:t>
            </w:r>
            <w:r w:rsidR="00C001C8">
              <w:t xml:space="preserve">Ampry-Samuel, Holden, Chin, Levine, Constantinides, Adams, Cumbo, Koo, Moya, Treyger, Grodenchik, Yeger, Deutsch, Cohen, Cabrera, Barron, Espinal, Maisel, </w:t>
            </w:r>
            <w:r w:rsidR="00B107E0">
              <w:t xml:space="preserve">and </w:t>
            </w:r>
            <w:r w:rsidR="00C001C8">
              <w:t>Ulrich</w:t>
            </w:r>
          </w:p>
        </w:tc>
      </w:tr>
    </w:tbl>
    <w:p w:rsidR="004512F6" w:rsidRPr="009E6AD0" w:rsidRDefault="004512F6" w:rsidP="009E6AD0">
      <w:pPr>
        <w:pStyle w:val="NoSpacing"/>
      </w:pPr>
      <w:r w:rsidRPr="003C616E">
        <w:rPr>
          <w:b/>
          <w:smallCaps/>
        </w:rPr>
        <w:t>Summary of Legislation:</w:t>
      </w:r>
      <w:r w:rsidRPr="003C616E">
        <w:t xml:space="preserve"> </w:t>
      </w:r>
      <w:r w:rsidR="00C001C8">
        <w:t>Proposed Int. No. 113-A</w:t>
      </w:r>
      <w:r w:rsidR="00055BBE" w:rsidRPr="00142BBE">
        <w:t xml:space="preserve"> would</w:t>
      </w:r>
      <w:r w:rsidR="009E6AD0">
        <w:t xml:space="preserve"> </w:t>
      </w:r>
      <w:r w:rsidR="009E6AD0" w:rsidRPr="000237D9">
        <w:t>require the establishment of an interagency task force</w:t>
      </w:r>
      <w:r w:rsidR="009E6AD0">
        <w:t xml:space="preserve"> consisting of representatives of at least seven Mayoral agencies and offices</w:t>
      </w:r>
      <w:r w:rsidR="009E6AD0" w:rsidRPr="000237D9">
        <w:t xml:space="preserve"> to create and implement a public online capital projects database</w:t>
      </w:r>
      <w:r w:rsidR="009E6AD0">
        <w:t>. The database would consist of</w:t>
      </w:r>
      <w:r w:rsidR="009E6AD0" w:rsidRPr="000237D9">
        <w:t xml:space="preserve"> an interactive and searchable public database (updated on a triannual basis) containing information about capital projects</w:t>
      </w:r>
      <w:r w:rsidR="009E6AD0">
        <w:t xml:space="preserve"> citywide</w:t>
      </w:r>
      <w:r w:rsidR="009E6AD0" w:rsidRPr="000237D9">
        <w:t>. The bill would also require a</w:t>
      </w:r>
      <w:r w:rsidR="009E6AD0">
        <w:t>n</w:t>
      </w:r>
      <w:r w:rsidR="009E6AD0" w:rsidRPr="000237D9">
        <w:t xml:space="preserve"> advisory board</w:t>
      </w:r>
      <w:r w:rsidR="009E6AD0">
        <w:t>, consisting of representatives from the Mayor’s office, the Council, and the Comptroller,</w:t>
      </w:r>
      <w:r w:rsidR="009E6AD0" w:rsidRPr="000237D9">
        <w:t xml:space="preserve"> that would advise the task force on the development of the public online capital projects database. T</w:t>
      </w:r>
      <w:r w:rsidR="009E6AD0">
        <w:t>o the extent deemed practicable by the task force, t</w:t>
      </w:r>
      <w:r w:rsidR="009E6AD0" w:rsidRPr="000237D9">
        <w:t xml:space="preserve">he database would include information for each project including the name, location and current phase, as well as information related to the project schedule and cost. Upon publication of the database, </w:t>
      </w:r>
      <w:r w:rsidR="009E6AD0">
        <w:t xml:space="preserve">this bill would require any agency </w:t>
      </w:r>
      <w:r w:rsidR="009E6AD0" w:rsidRPr="000237D9">
        <w:t xml:space="preserve">implementing a capital project for which information or data is published in the database </w:t>
      </w:r>
      <w:r w:rsidR="009E6AD0">
        <w:t xml:space="preserve">to </w:t>
      </w:r>
      <w:r w:rsidR="009E6AD0" w:rsidRPr="000237D9">
        <w:t>include a link</w:t>
      </w:r>
      <w:r w:rsidR="009E6AD0">
        <w:t xml:space="preserve"> to the public online capital projects database</w:t>
      </w:r>
      <w:r w:rsidR="009E6AD0" w:rsidRPr="000237D9">
        <w:t xml:space="preserve"> </w:t>
      </w:r>
      <w:r w:rsidR="009E6AD0">
        <w:t>on that agency’s website.</w:t>
      </w:r>
    </w:p>
    <w:p w:rsidR="004512F6" w:rsidRPr="003C616E" w:rsidRDefault="004512F6" w:rsidP="004512F6"/>
    <w:p w:rsidR="004512F6" w:rsidRPr="009E6AD0" w:rsidRDefault="004512F6" w:rsidP="009E6AD0">
      <w:pPr>
        <w:rPr>
          <w:rFonts w:eastAsiaTheme="minorHAnsi"/>
        </w:rPr>
      </w:pPr>
      <w:r w:rsidRPr="003C616E">
        <w:rPr>
          <w:b/>
          <w:smallCaps/>
        </w:rPr>
        <w:t>Effective Date:</w:t>
      </w:r>
      <w:r w:rsidRPr="003C616E">
        <w:t xml:space="preserve"> </w:t>
      </w:r>
      <w:r w:rsidR="009E6AD0" w:rsidRPr="00ED0401">
        <w:rPr>
          <w:rFonts w:eastAsiaTheme="minorHAnsi"/>
        </w:rPr>
        <w:t xml:space="preserve">This local law </w:t>
      </w:r>
      <w:r w:rsidR="00B21E4A">
        <w:rPr>
          <w:rFonts w:eastAsiaTheme="minorHAnsi"/>
        </w:rPr>
        <w:t xml:space="preserve">would </w:t>
      </w:r>
      <w:r w:rsidR="009E6AD0" w:rsidRPr="00ED0401">
        <w:rPr>
          <w:rFonts w:eastAsiaTheme="minorHAnsi"/>
        </w:rPr>
        <w:t>take effect immediately</w:t>
      </w:r>
      <w:r w:rsidR="009E6AD0">
        <w:rPr>
          <w:rFonts w:eastAsiaTheme="minorHAnsi"/>
        </w:rPr>
        <w:t xml:space="preserve">, except, section two requiring the creation and implementation of the </w:t>
      </w:r>
      <w:r w:rsidR="009E6AD0">
        <w:t>public online capital projects database would be repealed after the database is published and section four, which relates to the</w:t>
      </w:r>
      <w:r w:rsidR="009E6AD0" w:rsidRPr="00DA6A5B">
        <w:t xml:space="preserve"> annual report </w:t>
      </w:r>
      <w:r w:rsidR="009E6AD0">
        <w:t>on</w:t>
      </w:r>
      <w:r w:rsidR="009E6AD0" w:rsidRPr="00DA6A5B">
        <w:t xml:space="preserve"> park maintenance and capital expenditures </w:t>
      </w:r>
      <w:r w:rsidR="009E6AD0">
        <w:t>in the Department of Parks and Recreation’s (DPR) jurisdiction that is published on the agency’s</w:t>
      </w:r>
      <w:r w:rsidR="009E6AD0" w:rsidRPr="00DA6A5B">
        <w:t xml:space="preserve"> website</w:t>
      </w:r>
      <w:r w:rsidR="009E6AD0">
        <w:t xml:space="preserve">, would be repealed provided that the </w:t>
      </w:r>
      <w:r w:rsidR="009E6AD0" w:rsidRPr="00437281">
        <w:t xml:space="preserve">public online capital projects database </w:t>
      </w:r>
      <w:r w:rsidR="009E6AD0">
        <w:t xml:space="preserve">contains information and data </w:t>
      </w:r>
      <w:r w:rsidR="009E6AD0" w:rsidRPr="00437281">
        <w:t xml:space="preserve">regarding the </w:t>
      </w:r>
      <w:r w:rsidR="009E6AD0">
        <w:t xml:space="preserve">DPR’s </w:t>
      </w:r>
      <w:r w:rsidR="009E6AD0" w:rsidRPr="00437281">
        <w:t>capital projects</w:t>
      </w:r>
      <w:r w:rsidR="009E6AD0">
        <w:t xml:space="preserve">. </w:t>
      </w:r>
    </w:p>
    <w:p w:rsidR="00476BDE" w:rsidRPr="003C616E" w:rsidRDefault="00476BDE" w:rsidP="004512F6">
      <w:pPr>
        <w:spacing w:before="100" w:beforeAutospacing="1"/>
        <w:contextualSpacing/>
      </w:pPr>
    </w:p>
    <w:p w:rsidR="004512F6" w:rsidRPr="003C616E" w:rsidRDefault="00476BDE" w:rsidP="00B13959">
      <w:pPr>
        <w:pStyle w:val="NoSpacing"/>
      </w:pPr>
      <w:r w:rsidRPr="00012730">
        <w:rPr>
          <w:b/>
          <w:smallCaps/>
        </w:rPr>
        <w:t>Fiscal Year In Which Full Fiscal Impact Anticipated</w:t>
      </w:r>
      <w:r w:rsidR="004512F6" w:rsidRPr="003C616E">
        <w:rPr>
          <w:b/>
        </w:rPr>
        <w:t>:</w:t>
      </w:r>
      <w:r w:rsidR="00B13959">
        <w:rPr>
          <w:b/>
        </w:rPr>
        <w:t xml:space="preserve"> </w:t>
      </w:r>
      <w:r w:rsidR="00B13959" w:rsidRPr="009C7D2D">
        <w:t>Fiscal</w:t>
      </w:r>
      <w:r w:rsidR="00B13959" w:rsidRPr="009C7D2D">
        <w:rPr>
          <w:b/>
        </w:rPr>
        <w:t xml:space="preserve"> </w:t>
      </w:r>
      <w:r w:rsidR="00B13959" w:rsidRPr="009C7D2D">
        <w:t>202</w:t>
      </w:r>
      <w:r>
        <w:t>1</w:t>
      </w:r>
      <w:r w:rsidR="004512F6" w:rsidRPr="003C616E">
        <w:rPr>
          <w:b/>
        </w:rPr>
        <w:t xml:space="preserve"> </w:t>
      </w:r>
    </w:p>
    <w:p w:rsidR="004512F6" w:rsidRDefault="004512F6" w:rsidP="00C001C8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:rsidR="00C001C8" w:rsidRPr="00012730" w:rsidRDefault="00C001C8" w:rsidP="00C001C8">
      <w:pPr>
        <w:pBdr>
          <w:top w:val="single" w:sz="4" w:space="1" w:color="auto"/>
        </w:pBdr>
        <w:spacing w:before="24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4512F6" w:rsidRPr="00012730" w:rsidTr="008B16A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476BDE">
              <w:rPr>
                <w:b/>
                <w:bCs/>
                <w:sz w:val="20"/>
                <w:szCs w:val="20"/>
              </w:rPr>
              <w:t>20</w:t>
            </w:r>
          </w:p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476BD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D60C5C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4512F6" w:rsidRPr="00012730" w:rsidTr="008B16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4512F6" w:rsidRPr="00012730" w:rsidTr="008B16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4512F6" w:rsidRPr="00012730" w:rsidTr="008B16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4512F6" w:rsidRPr="00012730" w:rsidRDefault="004512F6" w:rsidP="008B16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:rsidR="00C001C8" w:rsidRDefault="00C001C8" w:rsidP="00564DAE">
      <w:pPr>
        <w:rPr>
          <w:b/>
          <w:smallCaps/>
        </w:rPr>
      </w:pPr>
    </w:p>
    <w:p w:rsidR="004512F6" w:rsidRPr="00564DAE" w:rsidRDefault="004512F6" w:rsidP="00564DAE">
      <w:r w:rsidRPr="003C616E">
        <w:rPr>
          <w:b/>
          <w:smallCaps/>
        </w:rPr>
        <w:t xml:space="preserve">Impact on Revenues: </w:t>
      </w:r>
      <w:r w:rsidR="00EC7101" w:rsidRPr="006846D2">
        <w:t xml:space="preserve">It is estimated that there would be no impact on revenues resulting from the enactment of this legislation. </w:t>
      </w:r>
    </w:p>
    <w:p w:rsidR="004512F6" w:rsidRPr="003C616E" w:rsidRDefault="004512F6" w:rsidP="0075147B">
      <w:pPr>
        <w:spacing w:before="240"/>
      </w:pPr>
      <w:r w:rsidRPr="00142BBE">
        <w:rPr>
          <w:b/>
          <w:smallCaps/>
        </w:rPr>
        <w:lastRenderedPageBreak/>
        <w:t>Impact on Expenditures:</w:t>
      </w:r>
      <w:r w:rsidRPr="00142BBE">
        <w:t xml:space="preserve"> </w:t>
      </w:r>
      <w:r w:rsidR="00407D5D">
        <w:t xml:space="preserve">It is </w:t>
      </w:r>
      <w:r w:rsidR="0075147B" w:rsidRPr="00142BBE">
        <w:t xml:space="preserve">estimated that there would be </w:t>
      </w:r>
      <w:r w:rsidR="00D0515F">
        <w:t xml:space="preserve">minimal to </w:t>
      </w:r>
      <w:r w:rsidR="0075147B" w:rsidRPr="00142BBE">
        <w:t>no impact on expenditur</w:t>
      </w:r>
      <w:r w:rsidR="00E64A7E">
        <w:t>es resulting from the enactment of this legislati</w:t>
      </w:r>
      <w:r w:rsidR="004C75A3">
        <w:t xml:space="preserve">on because </w:t>
      </w:r>
      <w:r w:rsidR="00D0515F">
        <w:t xml:space="preserve">agencies would use </w:t>
      </w:r>
      <w:r w:rsidR="00D0515F" w:rsidRPr="00D0515F">
        <w:t>existing resources to comply with this law.</w:t>
      </w:r>
      <w:r w:rsidR="00D0515F">
        <w:t xml:space="preserve"> In addition, t</w:t>
      </w:r>
      <w:r w:rsidR="0056136C">
        <w:t xml:space="preserve">he City will most likely release an RFP for software to manage the </w:t>
      </w:r>
      <w:r w:rsidR="00D0515F">
        <w:t xml:space="preserve">required </w:t>
      </w:r>
      <w:r w:rsidR="0056136C">
        <w:t>database</w:t>
      </w:r>
      <w:r w:rsidR="00407D5D">
        <w:t>; however, the cost of this software and the timeframe for its procurement is unknown</w:t>
      </w:r>
      <w:r w:rsidR="00B61D7B">
        <w:t xml:space="preserve"> at this time</w:t>
      </w:r>
      <w:r w:rsidR="00407D5D">
        <w:t xml:space="preserve">. </w:t>
      </w:r>
    </w:p>
    <w:p w:rsidR="004512F6" w:rsidRPr="003C616E" w:rsidRDefault="004512F6" w:rsidP="004512F6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Pr="003C616E">
        <w:t xml:space="preserve"> </w:t>
      </w:r>
      <w:r w:rsidR="00EC7101">
        <w:t>N/A</w:t>
      </w:r>
    </w:p>
    <w:p w:rsidR="00A14D9C" w:rsidRDefault="004512F6" w:rsidP="004512F6">
      <w:pPr>
        <w:spacing w:before="120" w:after="120"/>
      </w:pPr>
      <w:r w:rsidRPr="003C616E">
        <w:rPr>
          <w:b/>
          <w:smallCaps/>
        </w:rPr>
        <w:t>Source of Information:</w:t>
      </w:r>
      <w:r w:rsidRPr="003C616E">
        <w:t xml:space="preserve"> </w:t>
      </w:r>
      <w:r>
        <w:t>New York City Council Finance Division</w:t>
      </w:r>
    </w:p>
    <w:p w:rsidR="004512F6" w:rsidRPr="003C616E" w:rsidRDefault="00A14D9C" w:rsidP="004512F6">
      <w:pPr>
        <w:spacing w:before="120" w:after="120"/>
      </w:pPr>
      <w:r>
        <w:tab/>
      </w:r>
      <w:r>
        <w:tab/>
      </w:r>
      <w:r>
        <w:tab/>
        <w:t xml:space="preserve">          Mayor’s Office of City Legislative Affairs</w:t>
      </w:r>
      <w:r w:rsidR="004512F6">
        <w:t xml:space="preserve"> </w:t>
      </w:r>
    </w:p>
    <w:p w:rsidR="004512F6" w:rsidRDefault="004512F6" w:rsidP="00EC76B7">
      <w:pPr>
        <w:rPr>
          <w:smallCaps/>
        </w:rPr>
      </w:pPr>
      <w:r w:rsidRPr="003C616E">
        <w:rPr>
          <w:b/>
          <w:smallCaps/>
        </w:rPr>
        <w:t>Estimate Prepared b</w:t>
      </w:r>
      <w:r>
        <w:rPr>
          <w:b/>
          <w:smallCaps/>
        </w:rPr>
        <w:t xml:space="preserve">y: </w:t>
      </w:r>
      <w:r w:rsidR="00476BDE">
        <w:t xml:space="preserve">Luke Zangerle, Financial Analyst </w:t>
      </w:r>
    </w:p>
    <w:p w:rsidR="00476BDE" w:rsidRPr="00B13959" w:rsidRDefault="00476BDE" w:rsidP="00EC76B7"/>
    <w:p w:rsidR="004512F6" w:rsidRDefault="004512F6" w:rsidP="00157474">
      <w:r w:rsidRPr="003C616E">
        <w:rPr>
          <w:b/>
          <w:smallCaps/>
        </w:rPr>
        <w:t>Estimate Reviewed by:</w:t>
      </w:r>
      <w:r w:rsidR="00476BDE">
        <w:rPr>
          <w:b/>
          <w:smallCaps/>
        </w:rPr>
        <w:t xml:space="preserve"> </w:t>
      </w:r>
      <w:r w:rsidR="00AC6925">
        <w:t>Stephanie Ruiz, Assistant Counsel</w:t>
      </w:r>
    </w:p>
    <w:p w:rsidR="00A14D9C" w:rsidRPr="003C616E" w:rsidRDefault="00A14D9C" w:rsidP="00157474">
      <w:r>
        <w:tab/>
      </w:r>
      <w:r>
        <w:tab/>
      </w:r>
      <w:r>
        <w:tab/>
        <w:t xml:space="preserve">       Chima Obichere, Unit Head </w:t>
      </w:r>
    </w:p>
    <w:p w:rsidR="004512F6" w:rsidRPr="003C616E" w:rsidRDefault="004512F6" w:rsidP="004512F6">
      <w:pPr>
        <w:spacing w:before="120" w:after="120"/>
      </w:pPr>
      <w:r w:rsidRPr="003C616E">
        <w:rPr>
          <w:b/>
          <w:smallCaps/>
        </w:rPr>
        <w:t>Legislative History:</w:t>
      </w:r>
      <w:r w:rsidRPr="003C616E">
        <w:t xml:space="preserve"> </w:t>
      </w:r>
      <w:r w:rsidR="002A41B4" w:rsidRPr="009C7D2D">
        <w:t>This legislation was introduced</w:t>
      </w:r>
      <w:r w:rsidR="005E707D">
        <w:t xml:space="preserve"> to the Council on January 31, 2018 as Int. No. 113</w:t>
      </w:r>
      <w:r w:rsidR="002A41B4" w:rsidRPr="009C7D2D">
        <w:t xml:space="preserve"> and was referred to the Co</w:t>
      </w:r>
      <w:r w:rsidR="005E707D">
        <w:t xml:space="preserve">mmittee on Finance </w:t>
      </w:r>
      <w:r w:rsidR="00AC6925">
        <w:t>(Committee)</w:t>
      </w:r>
      <w:r w:rsidR="002A41B4" w:rsidRPr="009C7D2D">
        <w:t xml:space="preserve">. </w:t>
      </w:r>
      <w:r w:rsidR="00E425E4">
        <w:t>A hearing was held by t</w:t>
      </w:r>
      <w:r w:rsidR="002A41B4" w:rsidRPr="009C7D2D">
        <w:t>he Committee</w:t>
      </w:r>
      <w:r w:rsidR="00E425E4">
        <w:t xml:space="preserve">, jointly with the Subcommittee on Capital Budget, </w:t>
      </w:r>
      <w:r w:rsidR="005E707D">
        <w:t>on February 12, 2019</w:t>
      </w:r>
      <w:r w:rsidR="002A41B4" w:rsidRPr="009C7D2D">
        <w:t>, and the legislation was laid over. The legislation was subsequently amended and th</w:t>
      </w:r>
      <w:r w:rsidR="00853D73">
        <w:t xml:space="preserve">e amended </w:t>
      </w:r>
      <w:r w:rsidR="006A5C7B">
        <w:t>version</w:t>
      </w:r>
      <w:r w:rsidR="00853D73">
        <w:t>,</w:t>
      </w:r>
      <w:r w:rsidR="00476BDE">
        <w:t xml:space="preserve"> Proposed</w:t>
      </w:r>
      <w:r w:rsidR="00853D73">
        <w:t xml:space="preserve"> </w:t>
      </w:r>
      <w:r w:rsidR="002A41B4" w:rsidRPr="009C7D2D">
        <w:t>Int. No.</w:t>
      </w:r>
      <w:r w:rsidR="005E707D">
        <w:t xml:space="preserve"> 113</w:t>
      </w:r>
      <w:r w:rsidR="002A41B4" w:rsidRPr="009C7D2D">
        <w:t>-A, will be considered by the Committee on</w:t>
      </w:r>
      <w:r w:rsidR="005E707D">
        <w:t xml:space="preserve"> February 11</w:t>
      </w:r>
      <w:r w:rsidR="006A5C7B" w:rsidRPr="006A5C7B">
        <w:t>, 20</w:t>
      </w:r>
      <w:r w:rsidR="00E425E4">
        <w:t>20</w:t>
      </w:r>
      <w:r w:rsidR="002A41B4" w:rsidRPr="00EC76B7">
        <w:t>.</w:t>
      </w:r>
      <w:r w:rsidR="00476BDE" w:rsidRPr="00EC76B7">
        <w:t xml:space="preserve"> </w:t>
      </w:r>
      <w:r w:rsidR="00E425E4">
        <w:t>Upon a</w:t>
      </w:r>
      <w:r w:rsidR="002A41B4" w:rsidRPr="00EC76B7">
        <w:t xml:space="preserve"> successful vote</w:t>
      </w:r>
      <w:r w:rsidR="00E425E4">
        <w:t xml:space="preserve"> by the Committee</w:t>
      </w:r>
      <w:r w:rsidR="00EC76B7" w:rsidRPr="00EC76B7">
        <w:t xml:space="preserve">, </w:t>
      </w:r>
      <w:r w:rsidR="00E425E4">
        <w:t>Proposed Int. No. 113-A</w:t>
      </w:r>
      <w:r w:rsidR="00476BDE" w:rsidRPr="00EC76B7">
        <w:t xml:space="preserve"> </w:t>
      </w:r>
      <w:r w:rsidR="002A41B4" w:rsidRPr="00EC76B7">
        <w:t>will be submitted to the full Council for a vote on</w:t>
      </w:r>
      <w:r w:rsidR="005E707D">
        <w:t xml:space="preserve"> February 11</w:t>
      </w:r>
      <w:r w:rsidR="00B663EC" w:rsidRPr="00EC76B7">
        <w:t>, 20</w:t>
      </w:r>
      <w:r w:rsidR="00E425E4">
        <w:t>20</w:t>
      </w:r>
      <w:r w:rsidR="00B663EC" w:rsidRPr="00EC76B7">
        <w:t>.</w:t>
      </w:r>
      <w:r w:rsidRPr="003C616E">
        <w:t xml:space="preserve">      </w:t>
      </w:r>
    </w:p>
    <w:p w:rsidR="004512F6" w:rsidRPr="00292D2B" w:rsidRDefault="004512F6" w:rsidP="004512F6">
      <w:pPr>
        <w:spacing w:before="120" w:after="120"/>
      </w:pPr>
      <w:r w:rsidRPr="003C616E">
        <w:rPr>
          <w:b/>
          <w:smallCaps/>
        </w:rPr>
        <w:t>Date Prepared:</w:t>
      </w:r>
      <w:r w:rsidR="00292D2B">
        <w:rPr>
          <w:b/>
          <w:smallCaps/>
        </w:rPr>
        <w:t xml:space="preserve"> </w:t>
      </w:r>
      <w:r w:rsidR="00157474">
        <w:t>February 7, 2020</w:t>
      </w:r>
    </w:p>
    <w:p w:rsidR="00F551C8" w:rsidRDefault="00F551C8"/>
    <w:sectPr w:rsidR="00F551C8" w:rsidSect="003C6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20" w:rsidRDefault="00573620">
      <w:r>
        <w:separator/>
      </w:r>
    </w:p>
    <w:p w:rsidR="00573620" w:rsidRDefault="00573620"/>
  </w:endnote>
  <w:endnote w:type="continuationSeparator" w:id="0">
    <w:p w:rsidR="00573620" w:rsidRDefault="00573620">
      <w:r>
        <w:continuationSeparator/>
      </w:r>
    </w:p>
    <w:p w:rsidR="00573620" w:rsidRDefault="00573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97" w:rsidRDefault="00D51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3B" w:rsidRPr="00476BDE" w:rsidRDefault="00476BDE" w:rsidP="00D51797">
    <w:pPr>
      <w:pStyle w:val="Footer"/>
      <w:pBdr>
        <w:top w:val="thinThickSmallGap" w:sz="24" w:space="1" w:color="823B0B" w:themeColor="accent2" w:themeShade="7F"/>
      </w:pBdr>
    </w:pPr>
    <w:r w:rsidRPr="00EC76B7">
      <w:rPr>
        <w:rFonts w:eastAsiaTheme="majorEastAsia"/>
      </w:rPr>
      <w:t xml:space="preserve">Proposed </w:t>
    </w:r>
    <w:r w:rsidR="00B663EC" w:rsidRPr="00EC76B7">
      <w:rPr>
        <w:rFonts w:eastAsiaTheme="majorEastAsia"/>
      </w:rPr>
      <w:t>Int.</w:t>
    </w:r>
    <w:r w:rsidR="00942026">
      <w:rPr>
        <w:rFonts w:eastAsiaTheme="majorEastAsia"/>
      </w:rPr>
      <w:t xml:space="preserve"> No. 113-A</w:t>
    </w:r>
    <w:r w:rsidR="00B663EC" w:rsidRPr="00EC76B7">
      <w:rPr>
        <w:rFonts w:eastAsiaTheme="majorEastAsia"/>
      </w:rPr>
      <w:ptab w:relativeTo="margin" w:alignment="right" w:leader="none"/>
    </w:r>
    <w:r w:rsidR="00B663EC" w:rsidRPr="00EC76B7">
      <w:rPr>
        <w:rFonts w:eastAsiaTheme="majorEastAsia"/>
      </w:rPr>
      <w:t xml:space="preserve">Page </w:t>
    </w:r>
    <w:r w:rsidR="00B663EC" w:rsidRPr="00EC76B7">
      <w:rPr>
        <w:rFonts w:eastAsiaTheme="minorEastAsia"/>
      </w:rPr>
      <w:fldChar w:fldCharType="begin"/>
    </w:r>
    <w:r w:rsidR="00B663EC" w:rsidRPr="00476BDE">
      <w:instrText xml:space="preserve"> PAGE   \* MERGEFORMAT </w:instrText>
    </w:r>
    <w:r w:rsidR="00B663EC" w:rsidRPr="00EC76B7">
      <w:rPr>
        <w:rFonts w:eastAsiaTheme="minorEastAsia"/>
      </w:rPr>
      <w:fldChar w:fldCharType="separate"/>
    </w:r>
    <w:r w:rsidR="00D51797" w:rsidRPr="00D51797">
      <w:rPr>
        <w:rFonts w:eastAsiaTheme="majorEastAsia"/>
        <w:noProof/>
      </w:rPr>
      <w:t>2</w:t>
    </w:r>
    <w:r w:rsidR="00B663EC" w:rsidRPr="00EC76B7">
      <w:rPr>
        <w:rFonts w:eastAsiaTheme="majorEastAsia"/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97" w:rsidRDefault="00D5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20" w:rsidRDefault="00573620">
      <w:r>
        <w:separator/>
      </w:r>
    </w:p>
    <w:p w:rsidR="00573620" w:rsidRDefault="00573620"/>
  </w:footnote>
  <w:footnote w:type="continuationSeparator" w:id="0">
    <w:p w:rsidR="00573620" w:rsidRDefault="00573620">
      <w:r>
        <w:continuationSeparator/>
      </w:r>
    </w:p>
    <w:p w:rsidR="00573620" w:rsidRDefault="00573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97" w:rsidRDefault="00D51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97" w:rsidRDefault="00D5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97" w:rsidRDefault="00D51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6"/>
    <w:rsid w:val="00055BBE"/>
    <w:rsid w:val="00092FE8"/>
    <w:rsid w:val="00142BBE"/>
    <w:rsid w:val="00157474"/>
    <w:rsid w:val="00196A6C"/>
    <w:rsid w:val="001C4468"/>
    <w:rsid w:val="00262735"/>
    <w:rsid w:val="00292D2B"/>
    <w:rsid w:val="002A014C"/>
    <w:rsid w:val="002A171F"/>
    <w:rsid w:val="002A41B4"/>
    <w:rsid w:val="002D5F31"/>
    <w:rsid w:val="00313557"/>
    <w:rsid w:val="00327E29"/>
    <w:rsid w:val="00334A0C"/>
    <w:rsid w:val="003A21FD"/>
    <w:rsid w:val="00407D5D"/>
    <w:rsid w:val="004512F6"/>
    <w:rsid w:val="00461A50"/>
    <w:rsid w:val="00476BDE"/>
    <w:rsid w:val="004C75A3"/>
    <w:rsid w:val="004E3B3C"/>
    <w:rsid w:val="004F4109"/>
    <w:rsid w:val="004F73A7"/>
    <w:rsid w:val="005012F6"/>
    <w:rsid w:val="005022DB"/>
    <w:rsid w:val="0054278F"/>
    <w:rsid w:val="0056136C"/>
    <w:rsid w:val="00564DAE"/>
    <w:rsid w:val="00573620"/>
    <w:rsid w:val="005B0FD6"/>
    <w:rsid w:val="005E707D"/>
    <w:rsid w:val="006330D1"/>
    <w:rsid w:val="00661137"/>
    <w:rsid w:val="00665725"/>
    <w:rsid w:val="006A02C6"/>
    <w:rsid w:val="006A5C7B"/>
    <w:rsid w:val="00712DB2"/>
    <w:rsid w:val="007369B1"/>
    <w:rsid w:val="00745DD7"/>
    <w:rsid w:val="00746A80"/>
    <w:rsid w:val="0075147B"/>
    <w:rsid w:val="00816FC5"/>
    <w:rsid w:val="00853D73"/>
    <w:rsid w:val="00887D9E"/>
    <w:rsid w:val="008E1975"/>
    <w:rsid w:val="00942026"/>
    <w:rsid w:val="009C7D2D"/>
    <w:rsid w:val="009E6AD0"/>
    <w:rsid w:val="00A14D9C"/>
    <w:rsid w:val="00A615FF"/>
    <w:rsid w:val="00A71253"/>
    <w:rsid w:val="00A86878"/>
    <w:rsid w:val="00AA16BF"/>
    <w:rsid w:val="00AB1782"/>
    <w:rsid w:val="00AC6925"/>
    <w:rsid w:val="00B107E0"/>
    <w:rsid w:val="00B13959"/>
    <w:rsid w:val="00B21E4A"/>
    <w:rsid w:val="00B61D7B"/>
    <w:rsid w:val="00B663EC"/>
    <w:rsid w:val="00B8513A"/>
    <w:rsid w:val="00B87AFA"/>
    <w:rsid w:val="00B87D3A"/>
    <w:rsid w:val="00BC2269"/>
    <w:rsid w:val="00BE31F9"/>
    <w:rsid w:val="00BF53FE"/>
    <w:rsid w:val="00C001C8"/>
    <w:rsid w:val="00C471CC"/>
    <w:rsid w:val="00C6133B"/>
    <w:rsid w:val="00C662A9"/>
    <w:rsid w:val="00CC60BC"/>
    <w:rsid w:val="00CC6D85"/>
    <w:rsid w:val="00D0515F"/>
    <w:rsid w:val="00D0701A"/>
    <w:rsid w:val="00D22FF2"/>
    <w:rsid w:val="00D51797"/>
    <w:rsid w:val="00D60C5C"/>
    <w:rsid w:val="00D707B8"/>
    <w:rsid w:val="00D721C0"/>
    <w:rsid w:val="00E425E4"/>
    <w:rsid w:val="00E64A7E"/>
    <w:rsid w:val="00EC7101"/>
    <w:rsid w:val="00EC76B7"/>
    <w:rsid w:val="00F37E5D"/>
    <w:rsid w:val="00F50902"/>
    <w:rsid w:val="00F551C8"/>
    <w:rsid w:val="00F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D9CCB-FE6E-4076-872B-F56567B1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12F6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512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39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7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097C-C7B7-4C0F-B81D-27738505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Zangerle, Luke</dc:creator>
  <cp:keywords/>
  <dc:description/>
  <cp:lastModifiedBy>Pagan, Maria</cp:lastModifiedBy>
  <cp:revision>2</cp:revision>
  <dcterms:created xsi:type="dcterms:W3CDTF">2020-02-11T14:31:00Z</dcterms:created>
  <dcterms:modified xsi:type="dcterms:W3CDTF">2020-02-11T14:31:00Z</dcterms:modified>
</cp:coreProperties>
</file>