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8E962" w14:textId="01BF1350" w:rsidR="003D6574" w:rsidRPr="00825C59" w:rsidRDefault="007A7741" w:rsidP="003D66F5">
      <w:pPr>
        <w:spacing w:after="0" w:line="240" w:lineRule="auto"/>
        <w:jc w:val="right"/>
        <w:rPr>
          <w:rFonts w:eastAsia="Times New Roman"/>
          <w:color w:val="000000"/>
          <w:sz w:val="24"/>
          <w:u w:val="single"/>
        </w:rPr>
      </w:pPr>
      <w:bookmarkStart w:id="0" w:name="_GoBack"/>
      <w:bookmarkEnd w:id="0"/>
      <w:r w:rsidRPr="00825C59">
        <w:rPr>
          <w:rFonts w:eastAsia="Times New Roman"/>
          <w:color w:val="000000"/>
          <w:sz w:val="24"/>
          <w:u w:val="single"/>
        </w:rPr>
        <w:t xml:space="preserve">Committee on </w:t>
      </w:r>
      <w:r w:rsidR="005E095C">
        <w:rPr>
          <w:rFonts w:eastAsia="Times New Roman"/>
          <w:color w:val="000000"/>
          <w:sz w:val="24"/>
          <w:u w:val="single"/>
        </w:rPr>
        <w:t>Health</w:t>
      </w:r>
    </w:p>
    <w:p w14:paraId="3CEB9D45" w14:textId="5FBFDC6E" w:rsidR="003D66F5" w:rsidRDefault="00C3293D" w:rsidP="003D66F5">
      <w:pPr>
        <w:spacing w:after="0" w:line="240" w:lineRule="auto"/>
        <w:jc w:val="right"/>
        <w:rPr>
          <w:rFonts w:eastAsia="Times New Roman"/>
          <w:bCs/>
          <w:i/>
          <w:color w:val="000000"/>
          <w:sz w:val="24"/>
        </w:rPr>
      </w:pPr>
      <w:r w:rsidRPr="00825C59">
        <w:rPr>
          <w:rFonts w:eastAsia="Times New Roman"/>
          <w:bCs/>
          <w:color w:val="000000"/>
          <w:sz w:val="24"/>
        </w:rPr>
        <w:t>Ze</w:t>
      </w:r>
      <w:r w:rsidR="003D66F5" w:rsidRPr="00825C59">
        <w:rPr>
          <w:rFonts w:eastAsia="Times New Roman"/>
          <w:bCs/>
          <w:color w:val="000000"/>
          <w:sz w:val="24"/>
        </w:rPr>
        <w:t>-</w:t>
      </w:r>
      <w:r w:rsidR="00FD13E6" w:rsidRPr="00825C59">
        <w:rPr>
          <w:rFonts w:eastAsia="Times New Roman"/>
          <w:bCs/>
          <w:color w:val="000000"/>
          <w:sz w:val="24"/>
        </w:rPr>
        <w:t>Emanuel Hailu</w:t>
      </w:r>
      <w:r w:rsidR="006D2278" w:rsidRPr="00825C59">
        <w:rPr>
          <w:rFonts w:eastAsia="Times New Roman"/>
          <w:bCs/>
          <w:color w:val="000000"/>
          <w:sz w:val="24"/>
        </w:rPr>
        <w:t xml:space="preserve">, </w:t>
      </w:r>
      <w:r w:rsidR="0090177D" w:rsidRPr="00825C59">
        <w:rPr>
          <w:rFonts w:eastAsia="Times New Roman"/>
          <w:bCs/>
          <w:i/>
          <w:color w:val="000000"/>
          <w:sz w:val="24"/>
        </w:rPr>
        <w:t xml:space="preserve">Senior </w:t>
      </w:r>
      <w:r w:rsidR="007A7741" w:rsidRPr="00825C59">
        <w:rPr>
          <w:rFonts w:eastAsia="Times New Roman"/>
          <w:bCs/>
          <w:i/>
          <w:color w:val="000000"/>
          <w:sz w:val="24"/>
        </w:rPr>
        <w:t>Counsel</w:t>
      </w:r>
    </w:p>
    <w:p w14:paraId="5E783E94" w14:textId="72B715F9" w:rsidR="00E77682" w:rsidRPr="00E77682" w:rsidRDefault="00E77682" w:rsidP="003D66F5">
      <w:pPr>
        <w:spacing w:after="0" w:line="240" w:lineRule="auto"/>
        <w:jc w:val="right"/>
        <w:rPr>
          <w:rFonts w:eastAsia="Times New Roman"/>
          <w:bCs/>
          <w:i/>
          <w:color w:val="000000"/>
          <w:sz w:val="24"/>
        </w:rPr>
      </w:pPr>
      <w:r>
        <w:rPr>
          <w:rFonts w:eastAsia="Times New Roman"/>
          <w:bCs/>
          <w:color w:val="000000"/>
          <w:sz w:val="24"/>
        </w:rPr>
        <w:t xml:space="preserve">Sara Liss, </w:t>
      </w:r>
      <w:r>
        <w:rPr>
          <w:rFonts w:eastAsia="Times New Roman"/>
          <w:bCs/>
          <w:i/>
          <w:color w:val="000000"/>
          <w:sz w:val="24"/>
        </w:rPr>
        <w:t>Senior Counsel</w:t>
      </w:r>
    </w:p>
    <w:p w14:paraId="44D12525" w14:textId="3958146B" w:rsidR="007A7741" w:rsidRPr="00825C59" w:rsidRDefault="00FD13E6" w:rsidP="003D66F5">
      <w:pPr>
        <w:spacing w:after="0" w:line="240" w:lineRule="auto"/>
        <w:jc w:val="right"/>
        <w:rPr>
          <w:rFonts w:eastAsia="Times New Roman"/>
          <w:bCs/>
          <w:color w:val="000000"/>
          <w:sz w:val="24"/>
        </w:rPr>
      </w:pPr>
      <w:r w:rsidRPr="00825C59">
        <w:rPr>
          <w:rFonts w:eastAsia="Times New Roman"/>
          <w:bCs/>
          <w:color w:val="000000"/>
          <w:sz w:val="24"/>
        </w:rPr>
        <w:t>Emily Balkan</w:t>
      </w:r>
      <w:r w:rsidR="006D2278" w:rsidRPr="00825C59">
        <w:rPr>
          <w:rFonts w:eastAsia="Times New Roman"/>
          <w:bCs/>
          <w:color w:val="000000"/>
          <w:sz w:val="24"/>
        </w:rPr>
        <w:t xml:space="preserve">, </w:t>
      </w:r>
      <w:r w:rsidR="0090177D" w:rsidRPr="00825C59">
        <w:rPr>
          <w:rFonts w:eastAsia="Times New Roman"/>
          <w:bCs/>
          <w:i/>
          <w:color w:val="000000"/>
          <w:sz w:val="24"/>
        </w:rPr>
        <w:t xml:space="preserve">Senior </w:t>
      </w:r>
      <w:r w:rsidR="007A7741" w:rsidRPr="00825C59">
        <w:rPr>
          <w:rFonts w:eastAsia="Times New Roman"/>
          <w:bCs/>
          <w:i/>
          <w:color w:val="000000"/>
          <w:sz w:val="24"/>
        </w:rPr>
        <w:t>Policy Analyst</w:t>
      </w:r>
    </w:p>
    <w:p w14:paraId="7038E576" w14:textId="371EFB40" w:rsidR="006231F7" w:rsidRPr="00825C59" w:rsidRDefault="0090177D" w:rsidP="006231F7">
      <w:pPr>
        <w:spacing w:after="0" w:line="240" w:lineRule="auto"/>
        <w:jc w:val="right"/>
        <w:rPr>
          <w:rFonts w:eastAsia="Times New Roman"/>
          <w:bCs/>
          <w:i/>
          <w:color w:val="000000"/>
          <w:sz w:val="24"/>
        </w:rPr>
      </w:pPr>
      <w:r w:rsidRPr="00825C59">
        <w:rPr>
          <w:rFonts w:eastAsia="Times New Roman"/>
          <w:bCs/>
          <w:color w:val="000000"/>
          <w:sz w:val="24"/>
        </w:rPr>
        <w:t>Lauren Hunt</w:t>
      </w:r>
      <w:r w:rsidR="006231F7" w:rsidRPr="00825C59">
        <w:rPr>
          <w:rFonts w:eastAsia="Times New Roman"/>
          <w:bCs/>
          <w:color w:val="000000"/>
          <w:sz w:val="24"/>
        </w:rPr>
        <w:t xml:space="preserve">, </w:t>
      </w:r>
      <w:r w:rsidR="006231F7" w:rsidRPr="00825C59">
        <w:rPr>
          <w:rFonts w:eastAsia="Times New Roman"/>
          <w:bCs/>
          <w:i/>
          <w:color w:val="000000"/>
          <w:sz w:val="24"/>
        </w:rPr>
        <w:t>Finance Analyst</w:t>
      </w:r>
    </w:p>
    <w:p w14:paraId="290109B5" w14:textId="648D6A92" w:rsidR="00FD13E6" w:rsidRPr="006D2278" w:rsidRDefault="00FD13E6" w:rsidP="00260D10">
      <w:pPr>
        <w:spacing w:after="0" w:line="240" w:lineRule="auto"/>
        <w:ind w:hanging="720"/>
        <w:jc w:val="right"/>
        <w:rPr>
          <w:rFonts w:eastAsia="Times New Roman"/>
          <w:color w:val="000000"/>
          <w:szCs w:val="24"/>
        </w:rPr>
      </w:pPr>
    </w:p>
    <w:p w14:paraId="1D34FAE8" w14:textId="67295463" w:rsidR="007A7741" w:rsidRDefault="007A7741" w:rsidP="007A7741">
      <w:pPr>
        <w:spacing w:after="0" w:line="240" w:lineRule="auto"/>
        <w:jc w:val="right"/>
        <w:rPr>
          <w:rFonts w:eastAsia="Times New Roman"/>
          <w:bCs/>
          <w:color w:val="000000"/>
          <w:sz w:val="24"/>
          <w:szCs w:val="24"/>
        </w:rPr>
      </w:pPr>
    </w:p>
    <w:p w14:paraId="379740D8" w14:textId="2542B1E8" w:rsidR="003D6574" w:rsidRDefault="003D6574" w:rsidP="007A7741">
      <w:pPr>
        <w:spacing w:after="0" w:line="240" w:lineRule="auto"/>
        <w:jc w:val="right"/>
        <w:rPr>
          <w:rFonts w:eastAsia="Times New Roman"/>
          <w:bCs/>
          <w:color w:val="000000"/>
          <w:sz w:val="24"/>
          <w:szCs w:val="24"/>
        </w:rPr>
      </w:pPr>
    </w:p>
    <w:p w14:paraId="0AAFDE16" w14:textId="740EC92A" w:rsidR="003D6574" w:rsidRDefault="003D6574" w:rsidP="007A7741">
      <w:pPr>
        <w:spacing w:after="0" w:line="240" w:lineRule="auto"/>
        <w:jc w:val="right"/>
        <w:rPr>
          <w:rFonts w:eastAsia="Times New Roman"/>
          <w:bCs/>
          <w:color w:val="000000"/>
          <w:sz w:val="24"/>
          <w:szCs w:val="24"/>
        </w:rPr>
      </w:pPr>
    </w:p>
    <w:p w14:paraId="7648340F" w14:textId="4B02218E" w:rsidR="003D6574" w:rsidRDefault="003D6574" w:rsidP="007A7741">
      <w:pPr>
        <w:spacing w:after="0" w:line="240" w:lineRule="auto"/>
        <w:jc w:val="right"/>
        <w:rPr>
          <w:rFonts w:eastAsia="Times New Roman"/>
          <w:bCs/>
          <w:color w:val="000000"/>
          <w:sz w:val="24"/>
          <w:szCs w:val="24"/>
        </w:rPr>
      </w:pPr>
    </w:p>
    <w:p w14:paraId="2BCE130A" w14:textId="59084A44" w:rsidR="003D6574" w:rsidRDefault="003D6574" w:rsidP="007A7741">
      <w:pPr>
        <w:spacing w:after="0" w:line="240" w:lineRule="auto"/>
        <w:jc w:val="right"/>
        <w:rPr>
          <w:rFonts w:eastAsia="Times New Roman"/>
          <w:bCs/>
          <w:color w:val="000000"/>
          <w:sz w:val="24"/>
          <w:szCs w:val="24"/>
        </w:rPr>
      </w:pPr>
    </w:p>
    <w:p w14:paraId="2E15F4DC" w14:textId="77777777" w:rsidR="003D6574" w:rsidRDefault="003D6574" w:rsidP="007A7741">
      <w:pPr>
        <w:spacing w:after="0" w:line="240" w:lineRule="auto"/>
        <w:jc w:val="right"/>
        <w:rPr>
          <w:rFonts w:eastAsia="Times New Roman"/>
          <w:bCs/>
          <w:color w:val="000000"/>
          <w:sz w:val="24"/>
          <w:szCs w:val="24"/>
        </w:rPr>
      </w:pPr>
    </w:p>
    <w:p w14:paraId="148A4CAF" w14:textId="27F3685A" w:rsidR="007A7741" w:rsidRPr="008755DA" w:rsidRDefault="006231F7" w:rsidP="007A7741">
      <w:pPr>
        <w:spacing w:after="0" w:line="240" w:lineRule="auto"/>
        <w:jc w:val="right"/>
        <w:rPr>
          <w:rFonts w:eastAsia="Times New Roman"/>
          <w:bCs/>
          <w:color w:val="000000"/>
          <w:sz w:val="24"/>
          <w:szCs w:val="24"/>
        </w:rPr>
      </w:pPr>
      <w:r>
        <w:rPr>
          <w:noProof/>
        </w:rPr>
        <w:drawing>
          <wp:anchor distT="0" distB="0" distL="114300" distR="114300" simplePos="0" relativeHeight="251659264" behindDoc="0" locked="0" layoutInCell="0" allowOverlap="1" wp14:anchorId="4AE0C446" wp14:editId="5366FA52">
            <wp:simplePos x="0" y="0"/>
            <wp:positionH relativeFrom="page">
              <wp:posOffset>3267075</wp:posOffset>
            </wp:positionH>
            <wp:positionV relativeFrom="paragraph">
              <wp:posOffset>21590</wp:posOffset>
            </wp:positionV>
            <wp:extent cx="1286519" cy="12001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6519"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4D1EE" w14:textId="6D677F26" w:rsidR="007A7741" w:rsidRPr="00D67DE1" w:rsidRDefault="007A7741" w:rsidP="007A7741">
      <w:pPr>
        <w:spacing w:after="0" w:line="480" w:lineRule="auto"/>
        <w:ind w:left="-720"/>
        <w:jc w:val="both"/>
        <w:rPr>
          <w:rFonts w:eastAsia="Times New Roman"/>
          <w:b/>
          <w:bCs/>
          <w:color w:val="000000"/>
          <w:sz w:val="24"/>
          <w:szCs w:val="24"/>
        </w:rPr>
      </w:pPr>
    </w:p>
    <w:p w14:paraId="55EECA19" w14:textId="77777777" w:rsidR="003D66F5" w:rsidRDefault="003D66F5" w:rsidP="006D2278">
      <w:pPr>
        <w:spacing w:after="0" w:line="480" w:lineRule="auto"/>
        <w:jc w:val="center"/>
        <w:rPr>
          <w:rFonts w:eastAsia="Times New Roman"/>
          <w:b/>
          <w:bCs/>
          <w:color w:val="000000"/>
          <w:sz w:val="24"/>
          <w:szCs w:val="24"/>
        </w:rPr>
      </w:pPr>
    </w:p>
    <w:p w14:paraId="03A0E7E3" w14:textId="5E7DF020" w:rsidR="003D66F5" w:rsidRDefault="003D66F5" w:rsidP="006D2278">
      <w:pPr>
        <w:spacing w:after="0" w:line="480" w:lineRule="auto"/>
        <w:jc w:val="center"/>
        <w:rPr>
          <w:rFonts w:eastAsia="Times New Roman"/>
          <w:b/>
          <w:bCs/>
          <w:color w:val="000000"/>
          <w:sz w:val="24"/>
          <w:szCs w:val="24"/>
        </w:rPr>
      </w:pPr>
    </w:p>
    <w:p w14:paraId="2071D6AA" w14:textId="77777777" w:rsidR="00CB4D32" w:rsidRDefault="00CB4D32" w:rsidP="006D2278">
      <w:pPr>
        <w:spacing w:after="0" w:line="480" w:lineRule="auto"/>
        <w:jc w:val="center"/>
        <w:rPr>
          <w:rFonts w:eastAsia="Times New Roman"/>
          <w:b/>
          <w:bCs/>
          <w:color w:val="000000"/>
          <w:sz w:val="24"/>
          <w:szCs w:val="24"/>
        </w:rPr>
      </w:pPr>
    </w:p>
    <w:p w14:paraId="5AFCE6F5" w14:textId="4FA83909" w:rsidR="007A7741" w:rsidRPr="00084A46" w:rsidRDefault="007A7741" w:rsidP="006D2278">
      <w:pPr>
        <w:spacing w:after="0" w:line="480" w:lineRule="auto"/>
        <w:jc w:val="center"/>
        <w:rPr>
          <w:rFonts w:eastAsia="Times New Roman"/>
          <w:b/>
          <w:bCs/>
          <w:color w:val="000000"/>
          <w:sz w:val="24"/>
          <w:szCs w:val="24"/>
        </w:rPr>
      </w:pPr>
      <w:r w:rsidRPr="00D67DE1">
        <w:rPr>
          <w:rFonts w:eastAsia="Times New Roman"/>
          <w:b/>
          <w:bCs/>
          <w:color w:val="000000"/>
          <w:sz w:val="24"/>
          <w:szCs w:val="24"/>
        </w:rPr>
        <w:t>THE COUNCIL OF THE CITY OF NEW YORK</w:t>
      </w:r>
    </w:p>
    <w:p w14:paraId="33352237" w14:textId="06351317" w:rsidR="007A7741" w:rsidRPr="00F73F80" w:rsidRDefault="00C32779" w:rsidP="006D2278">
      <w:pPr>
        <w:spacing w:after="0" w:line="240" w:lineRule="auto"/>
        <w:jc w:val="center"/>
        <w:rPr>
          <w:rFonts w:eastAsia="Times New Roman"/>
          <w:sz w:val="24"/>
          <w:szCs w:val="24"/>
          <w:u w:val="single"/>
        </w:rPr>
      </w:pPr>
      <w:r>
        <w:rPr>
          <w:rFonts w:eastAsia="Times New Roman"/>
          <w:b/>
          <w:bCs/>
          <w:color w:val="000000"/>
          <w:sz w:val="24"/>
          <w:szCs w:val="24"/>
          <w:u w:val="single"/>
        </w:rPr>
        <w:t xml:space="preserve">COMMITTEE REPORT </w:t>
      </w:r>
      <w:r w:rsidR="003D66F5">
        <w:rPr>
          <w:rFonts w:eastAsia="Times New Roman"/>
          <w:b/>
          <w:bCs/>
          <w:color w:val="000000"/>
          <w:sz w:val="24"/>
          <w:szCs w:val="24"/>
          <w:u w:val="single"/>
        </w:rPr>
        <w:t>OF</w:t>
      </w:r>
      <w:r w:rsidR="00CB4D32">
        <w:rPr>
          <w:rFonts w:eastAsia="Times New Roman"/>
          <w:b/>
          <w:bCs/>
          <w:color w:val="000000"/>
          <w:sz w:val="24"/>
          <w:szCs w:val="24"/>
          <w:u w:val="single"/>
        </w:rPr>
        <w:t xml:space="preserve"> </w:t>
      </w:r>
      <w:r w:rsidR="007A7741">
        <w:rPr>
          <w:rFonts w:eastAsia="Times New Roman"/>
          <w:b/>
          <w:bCs/>
          <w:color w:val="000000"/>
          <w:sz w:val="24"/>
          <w:szCs w:val="24"/>
          <w:u w:val="single"/>
        </w:rPr>
        <w:t>THE HUMAN SERVICES DIVISION</w:t>
      </w:r>
    </w:p>
    <w:p w14:paraId="186E7053" w14:textId="77777777" w:rsidR="007A7741" w:rsidRPr="00CB4D32" w:rsidRDefault="007A7741" w:rsidP="006D2278">
      <w:pPr>
        <w:spacing w:after="0" w:line="240" w:lineRule="auto"/>
        <w:jc w:val="center"/>
        <w:rPr>
          <w:rFonts w:eastAsia="Times New Roman"/>
          <w:sz w:val="24"/>
          <w:szCs w:val="24"/>
        </w:rPr>
      </w:pPr>
      <w:r w:rsidRPr="00CB4D32">
        <w:rPr>
          <w:rFonts w:eastAsia="Times New Roman"/>
          <w:bCs/>
          <w:color w:val="000000"/>
          <w:sz w:val="24"/>
          <w:szCs w:val="24"/>
        </w:rPr>
        <w:t xml:space="preserve">Jeffrey Baker, </w:t>
      </w:r>
      <w:r w:rsidRPr="00CB4D32">
        <w:rPr>
          <w:rFonts w:eastAsia="Times New Roman"/>
          <w:bCs/>
          <w:i/>
          <w:color w:val="000000"/>
          <w:sz w:val="24"/>
          <w:szCs w:val="24"/>
        </w:rPr>
        <w:t>Legislative Director</w:t>
      </w:r>
    </w:p>
    <w:p w14:paraId="76C1AEF1" w14:textId="4E5017EF" w:rsidR="007A7741" w:rsidRPr="00CB4D32" w:rsidRDefault="00FD13E6" w:rsidP="006D2278">
      <w:pPr>
        <w:spacing w:after="0" w:line="240" w:lineRule="auto"/>
        <w:jc w:val="center"/>
        <w:rPr>
          <w:rFonts w:eastAsia="Times New Roman"/>
          <w:bCs/>
          <w:color w:val="000000"/>
          <w:sz w:val="24"/>
          <w:szCs w:val="24"/>
        </w:rPr>
      </w:pPr>
      <w:r w:rsidRPr="00CB4D32">
        <w:rPr>
          <w:rFonts w:eastAsia="Times New Roman"/>
          <w:bCs/>
          <w:color w:val="000000"/>
          <w:sz w:val="24"/>
          <w:szCs w:val="24"/>
        </w:rPr>
        <w:t>Andrea Vazquez</w:t>
      </w:r>
      <w:r w:rsidR="007A7741" w:rsidRPr="00CB4D32">
        <w:rPr>
          <w:rFonts w:eastAsia="Times New Roman"/>
          <w:bCs/>
          <w:color w:val="000000"/>
          <w:sz w:val="24"/>
          <w:szCs w:val="24"/>
        </w:rPr>
        <w:t xml:space="preserve">, </w:t>
      </w:r>
      <w:r w:rsidR="007A7741" w:rsidRPr="00CB4D32">
        <w:rPr>
          <w:rFonts w:eastAsia="Times New Roman"/>
          <w:bCs/>
          <w:i/>
          <w:color w:val="000000"/>
          <w:sz w:val="24"/>
          <w:szCs w:val="24"/>
        </w:rPr>
        <w:t>Deputy Director</w:t>
      </w:r>
      <w:r w:rsidR="007A7741" w:rsidRPr="00CB4D32">
        <w:rPr>
          <w:rFonts w:eastAsia="Times New Roman"/>
          <w:bCs/>
          <w:color w:val="000000"/>
          <w:sz w:val="24"/>
          <w:szCs w:val="24"/>
        </w:rPr>
        <w:t xml:space="preserve">, </w:t>
      </w:r>
      <w:r w:rsidR="007A7741" w:rsidRPr="00CB4D32">
        <w:rPr>
          <w:rFonts w:eastAsia="Times New Roman"/>
          <w:bCs/>
          <w:i/>
          <w:color w:val="000000"/>
          <w:sz w:val="24"/>
          <w:szCs w:val="24"/>
        </w:rPr>
        <w:t>Human Services Division</w:t>
      </w:r>
    </w:p>
    <w:p w14:paraId="7F6140A5" w14:textId="77777777" w:rsidR="007A7741" w:rsidRDefault="007A7741" w:rsidP="006D2278">
      <w:pPr>
        <w:spacing w:after="0" w:line="240" w:lineRule="auto"/>
        <w:jc w:val="center"/>
        <w:rPr>
          <w:rFonts w:eastAsia="Times New Roman"/>
          <w:b/>
          <w:bCs/>
          <w:color w:val="000000"/>
          <w:sz w:val="24"/>
          <w:szCs w:val="24"/>
        </w:rPr>
      </w:pPr>
    </w:p>
    <w:p w14:paraId="50F9E5C3" w14:textId="77777777" w:rsidR="007A7741" w:rsidRPr="00D67DE1" w:rsidRDefault="007A7741" w:rsidP="006D2278">
      <w:pPr>
        <w:spacing w:after="0" w:line="240" w:lineRule="auto"/>
        <w:jc w:val="center"/>
        <w:rPr>
          <w:rFonts w:eastAsia="Times New Roman"/>
          <w:b/>
          <w:bCs/>
          <w:color w:val="000000"/>
          <w:sz w:val="24"/>
          <w:szCs w:val="24"/>
        </w:rPr>
      </w:pPr>
    </w:p>
    <w:p w14:paraId="1DF0525E" w14:textId="20C9C42B" w:rsidR="007A7741" w:rsidRPr="00D67DE1" w:rsidRDefault="007A7741" w:rsidP="006D2278">
      <w:pPr>
        <w:spacing w:after="0" w:line="240" w:lineRule="auto"/>
        <w:jc w:val="center"/>
        <w:rPr>
          <w:rFonts w:eastAsia="Times New Roman"/>
          <w:b/>
          <w:bCs/>
          <w:color w:val="000000"/>
          <w:sz w:val="24"/>
          <w:szCs w:val="24"/>
          <w:u w:val="single"/>
        </w:rPr>
      </w:pPr>
      <w:r w:rsidRPr="00D67DE1">
        <w:rPr>
          <w:rFonts w:eastAsia="Times New Roman"/>
          <w:b/>
          <w:bCs/>
          <w:color w:val="000000"/>
          <w:sz w:val="24"/>
          <w:szCs w:val="24"/>
          <w:u w:val="single"/>
        </w:rPr>
        <w:t xml:space="preserve">COMMITTEE ON </w:t>
      </w:r>
      <w:r w:rsidR="005E095C">
        <w:rPr>
          <w:rFonts w:eastAsia="Times New Roman"/>
          <w:b/>
          <w:bCs/>
          <w:color w:val="000000"/>
          <w:sz w:val="24"/>
          <w:szCs w:val="24"/>
          <w:u w:val="single"/>
        </w:rPr>
        <w:t>HEALTH</w:t>
      </w:r>
    </w:p>
    <w:p w14:paraId="2794A289" w14:textId="37F8E7FA" w:rsidR="007A7741" w:rsidRPr="00CB4D32" w:rsidRDefault="007A7741" w:rsidP="006D2278">
      <w:pPr>
        <w:spacing w:after="0" w:line="240" w:lineRule="auto"/>
        <w:jc w:val="center"/>
        <w:rPr>
          <w:rFonts w:eastAsia="Times New Roman"/>
          <w:bCs/>
          <w:i/>
          <w:color w:val="000000"/>
          <w:sz w:val="24"/>
          <w:szCs w:val="24"/>
        </w:rPr>
      </w:pPr>
      <w:r w:rsidRPr="00CB4D32">
        <w:rPr>
          <w:rFonts w:eastAsia="Times New Roman"/>
          <w:bCs/>
          <w:i/>
          <w:color w:val="000000"/>
          <w:sz w:val="24"/>
          <w:szCs w:val="24"/>
        </w:rPr>
        <w:t xml:space="preserve">Hon. </w:t>
      </w:r>
      <w:r w:rsidR="005E095C">
        <w:rPr>
          <w:rFonts w:eastAsia="Times New Roman"/>
          <w:bCs/>
          <w:i/>
          <w:color w:val="000000"/>
          <w:sz w:val="24"/>
          <w:szCs w:val="24"/>
        </w:rPr>
        <w:t>Mark Levine</w:t>
      </w:r>
      <w:r w:rsidRPr="00CB4D32">
        <w:rPr>
          <w:rFonts w:eastAsia="Times New Roman"/>
          <w:bCs/>
          <w:i/>
          <w:color w:val="000000"/>
          <w:sz w:val="24"/>
          <w:szCs w:val="24"/>
        </w:rPr>
        <w:t>, Chair</w:t>
      </w:r>
    </w:p>
    <w:p w14:paraId="230D9EC1" w14:textId="7770FD68" w:rsidR="007A7741" w:rsidRDefault="007A7741" w:rsidP="00CB4D32">
      <w:pPr>
        <w:spacing w:after="0" w:line="240" w:lineRule="auto"/>
        <w:rPr>
          <w:rFonts w:eastAsia="Times New Roman"/>
          <w:sz w:val="24"/>
          <w:szCs w:val="24"/>
        </w:rPr>
      </w:pPr>
    </w:p>
    <w:p w14:paraId="208E915A" w14:textId="2411D375" w:rsidR="007A7741" w:rsidRDefault="00FD13E6" w:rsidP="006D2278">
      <w:pPr>
        <w:spacing w:after="0" w:line="240" w:lineRule="auto"/>
        <w:jc w:val="center"/>
        <w:rPr>
          <w:rFonts w:eastAsia="Times New Roman"/>
          <w:b/>
          <w:bCs/>
          <w:color w:val="000000"/>
          <w:sz w:val="24"/>
          <w:szCs w:val="24"/>
        </w:rPr>
      </w:pPr>
      <w:r>
        <w:rPr>
          <w:rFonts w:eastAsia="Times New Roman"/>
          <w:b/>
          <w:bCs/>
          <w:color w:val="000000"/>
          <w:sz w:val="24"/>
          <w:szCs w:val="24"/>
        </w:rPr>
        <w:t>J</w:t>
      </w:r>
      <w:r w:rsidR="00CB4D32">
        <w:rPr>
          <w:rFonts w:eastAsia="Times New Roman"/>
          <w:b/>
          <w:bCs/>
          <w:color w:val="000000"/>
          <w:sz w:val="24"/>
          <w:szCs w:val="24"/>
        </w:rPr>
        <w:t>anuary 2</w:t>
      </w:r>
      <w:r w:rsidR="005E095C">
        <w:rPr>
          <w:rFonts w:eastAsia="Times New Roman"/>
          <w:b/>
          <w:bCs/>
          <w:color w:val="000000"/>
          <w:sz w:val="24"/>
          <w:szCs w:val="24"/>
        </w:rPr>
        <w:t>8</w:t>
      </w:r>
      <w:r w:rsidR="00CB4D32">
        <w:rPr>
          <w:rFonts w:eastAsia="Times New Roman"/>
          <w:b/>
          <w:bCs/>
          <w:color w:val="000000"/>
          <w:sz w:val="24"/>
          <w:szCs w:val="24"/>
        </w:rPr>
        <w:t>, 2020</w:t>
      </w:r>
    </w:p>
    <w:p w14:paraId="1A4F1620" w14:textId="00724F01" w:rsidR="007963B0" w:rsidRDefault="007963B0" w:rsidP="00FD13E6">
      <w:pPr>
        <w:spacing w:after="0" w:line="240" w:lineRule="auto"/>
        <w:rPr>
          <w:rFonts w:eastAsia="Times New Roman"/>
          <w:b/>
          <w:bCs/>
          <w:color w:val="000000"/>
          <w:sz w:val="24"/>
          <w:szCs w:val="24"/>
        </w:rPr>
      </w:pPr>
    </w:p>
    <w:p w14:paraId="564F0B25" w14:textId="72B1855C" w:rsidR="007A7741" w:rsidRDefault="000651F4" w:rsidP="006D2278">
      <w:pPr>
        <w:spacing w:after="0" w:line="240" w:lineRule="auto"/>
        <w:jc w:val="center"/>
        <w:rPr>
          <w:rFonts w:eastAsia="Times New Roman"/>
          <w:b/>
          <w:sz w:val="24"/>
          <w:szCs w:val="24"/>
          <w:u w:val="single"/>
        </w:rPr>
      </w:pPr>
      <w:r>
        <w:rPr>
          <w:rFonts w:eastAsia="Times New Roman"/>
          <w:b/>
          <w:sz w:val="24"/>
          <w:szCs w:val="24"/>
          <w:u w:val="single"/>
        </w:rPr>
        <w:t>OVERSIGHT: BODY IMAGE &amp; INCLUSIVITY</w:t>
      </w:r>
    </w:p>
    <w:p w14:paraId="40C41176" w14:textId="7C03A490" w:rsidR="005E095C" w:rsidRDefault="005E095C" w:rsidP="006D2278">
      <w:pPr>
        <w:spacing w:after="0" w:line="240" w:lineRule="auto"/>
        <w:jc w:val="center"/>
        <w:rPr>
          <w:rFonts w:eastAsia="Times New Roman"/>
          <w:b/>
          <w:sz w:val="24"/>
          <w:szCs w:val="24"/>
          <w:u w:val="single"/>
        </w:rPr>
      </w:pPr>
    </w:p>
    <w:p w14:paraId="41FB2E3A" w14:textId="128D00B5" w:rsidR="00331EB9" w:rsidRPr="00945E7D" w:rsidRDefault="00331EB9" w:rsidP="00331EB9">
      <w:pPr>
        <w:widowControl w:val="0"/>
        <w:tabs>
          <w:tab w:val="left" w:pos="-720"/>
        </w:tabs>
        <w:suppressAutoHyphens/>
        <w:spacing w:after="0" w:line="240" w:lineRule="auto"/>
        <w:ind w:left="3960" w:hanging="3960"/>
        <w:jc w:val="both"/>
        <w:rPr>
          <w:rFonts w:eastAsia="Times New Roman"/>
          <w:snapToGrid w:val="0"/>
          <w:spacing w:val="-3"/>
          <w:sz w:val="24"/>
          <w:szCs w:val="20"/>
        </w:rPr>
      </w:pPr>
      <w:r w:rsidRPr="00945E7D">
        <w:rPr>
          <w:rFonts w:eastAsia="Times New Roman"/>
          <w:b/>
          <w:bCs/>
          <w:sz w:val="24"/>
          <w:szCs w:val="24"/>
          <w:u w:val="single"/>
        </w:rPr>
        <w:t xml:space="preserve">INTRODUCTION NO. </w:t>
      </w:r>
      <w:r>
        <w:rPr>
          <w:rFonts w:eastAsia="Times New Roman"/>
          <w:b/>
          <w:bCs/>
          <w:sz w:val="24"/>
          <w:szCs w:val="24"/>
          <w:u w:val="single"/>
        </w:rPr>
        <w:t>1485</w:t>
      </w:r>
      <w:r w:rsidRPr="00945E7D">
        <w:rPr>
          <w:rFonts w:eastAsia="Times New Roman"/>
          <w:b/>
          <w:bCs/>
          <w:sz w:val="24"/>
          <w:szCs w:val="24"/>
          <w:u w:val="single"/>
        </w:rPr>
        <w:t>:</w:t>
      </w:r>
      <w:r w:rsidRPr="00945E7D">
        <w:rPr>
          <w:rFonts w:eastAsia="Times New Roman"/>
          <w:bCs/>
          <w:sz w:val="24"/>
          <w:szCs w:val="24"/>
        </w:rPr>
        <w:t xml:space="preserve"> </w:t>
      </w:r>
      <w:r w:rsidRPr="00945E7D">
        <w:rPr>
          <w:rFonts w:eastAsia="Times New Roman"/>
          <w:bCs/>
          <w:sz w:val="24"/>
          <w:szCs w:val="24"/>
        </w:rPr>
        <w:tab/>
      </w:r>
      <w:r w:rsidRPr="00945E7D">
        <w:rPr>
          <w:rFonts w:eastAsia="Times New Roman"/>
          <w:snapToGrid w:val="0"/>
          <w:spacing w:val="-3"/>
          <w:sz w:val="24"/>
          <w:szCs w:val="20"/>
        </w:rPr>
        <w:t xml:space="preserve">By </w:t>
      </w:r>
      <w:r w:rsidRPr="00945E7D">
        <w:rPr>
          <w:rFonts w:eastAsia="Times New Roman"/>
          <w:sz w:val="24"/>
          <w:szCs w:val="24"/>
        </w:rPr>
        <w:t>Council Member</w:t>
      </w:r>
      <w:r>
        <w:rPr>
          <w:rFonts w:eastAsia="Times New Roman"/>
          <w:sz w:val="24"/>
          <w:szCs w:val="24"/>
        </w:rPr>
        <w:t>s</w:t>
      </w:r>
      <w:r w:rsidRPr="00945E7D">
        <w:rPr>
          <w:rFonts w:eastAsia="Times New Roman"/>
          <w:sz w:val="24"/>
          <w:szCs w:val="24"/>
        </w:rPr>
        <w:t xml:space="preserve"> </w:t>
      </w:r>
      <w:r>
        <w:rPr>
          <w:rFonts w:eastAsia="Times New Roman"/>
          <w:sz w:val="24"/>
          <w:szCs w:val="24"/>
        </w:rPr>
        <w:t>Levine &amp; Brannan</w:t>
      </w:r>
    </w:p>
    <w:p w14:paraId="5C293A64" w14:textId="77777777" w:rsidR="00331EB9" w:rsidRPr="00945E7D" w:rsidRDefault="00331EB9" w:rsidP="00331EB9">
      <w:pPr>
        <w:widowControl w:val="0"/>
        <w:shd w:val="clear" w:color="auto" w:fill="FFFFFF"/>
        <w:spacing w:after="0" w:line="240" w:lineRule="auto"/>
        <w:ind w:left="3960" w:hanging="3960"/>
        <w:jc w:val="both"/>
        <w:rPr>
          <w:rFonts w:eastAsia="Times New Roman"/>
          <w:sz w:val="24"/>
          <w:szCs w:val="24"/>
        </w:rPr>
      </w:pPr>
    </w:p>
    <w:p w14:paraId="34B1E792" w14:textId="34E9FF9C" w:rsidR="00331EB9" w:rsidRPr="00945E7D" w:rsidRDefault="00331EB9" w:rsidP="00331EB9">
      <w:pPr>
        <w:widowControl w:val="0"/>
        <w:spacing w:after="0" w:line="240" w:lineRule="auto"/>
        <w:ind w:left="3960" w:right="-180" w:hanging="3960"/>
        <w:jc w:val="both"/>
        <w:outlineLvl w:val="1"/>
        <w:rPr>
          <w:rFonts w:eastAsia="Times New Roman"/>
          <w:snapToGrid w:val="0"/>
          <w:spacing w:val="-3"/>
          <w:sz w:val="24"/>
          <w:szCs w:val="20"/>
        </w:rPr>
      </w:pPr>
      <w:r w:rsidRPr="00945E7D">
        <w:rPr>
          <w:rFonts w:eastAsia="Times New Roman"/>
          <w:b/>
          <w:bCs/>
          <w:sz w:val="24"/>
          <w:szCs w:val="24"/>
          <w:u w:val="single"/>
        </w:rPr>
        <w:t>TITLE:</w:t>
      </w:r>
      <w:r w:rsidRPr="00945E7D">
        <w:rPr>
          <w:rFonts w:eastAsia="Times New Roman"/>
          <w:bCs/>
          <w:sz w:val="24"/>
          <w:szCs w:val="24"/>
        </w:rPr>
        <w:tab/>
      </w:r>
      <w:r w:rsidRPr="00C41A24">
        <w:rPr>
          <w:rFonts w:eastAsia="Times New Roman"/>
          <w:snapToGrid w:val="0"/>
          <w:spacing w:val="-3"/>
          <w:sz w:val="24"/>
          <w:szCs w:val="20"/>
        </w:rPr>
        <w:t xml:space="preserve">A Local Law to amend the administrative code of the city of New York, in relation to </w:t>
      </w:r>
      <w:r>
        <w:rPr>
          <w:rFonts w:eastAsia="Times New Roman"/>
          <w:snapToGrid w:val="0"/>
          <w:spacing w:val="-3"/>
          <w:sz w:val="24"/>
          <w:szCs w:val="20"/>
        </w:rPr>
        <w:t xml:space="preserve">restricting the sale of </w:t>
      </w:r>
      <w:proofErr w:type="spellStart"/>
      <w:r>
        <w:rPr>
          <w:rFonts w:eastAsia="Times New Roman"/>
          <w:snapToGrid w:val="0"/>
          <w:spacing w:val="-3"/>
          <w:sz w:val="24"/>
          <w:szCs w:val="20"/>
        </w:rPr>
        <w:t>senna</w:t>
      </w:r>
      <w:proofErr w:type="spellEnd"/>
      <w:r>
        <w:rPr>
          <w:rFonts w:eastAsia="Times New Roman"/>
          <w:snapToGrid w:val="0"/>
          <w:spacing w:val="-3"/>
          <w:sz w:val="24"/>
          <w:szCs w:val="20"/>
        </w:rPr>
        <w:t>- and saffron-based products</w:t>
      </w:r>
    </w:p>
    <w:p w14:paraId="280D8C54" w14:textId="77777777" w:rsidR="00331EB9" w:rsidRPr="00945E7D" w:rsidRDefault="00331EB9" w:rsidP="00331EB9">
      <w:pPr>
        <w:widowControl w:val="0"/>
        <w:spacing w:after="0" w:line="240" w:lineRule="auto"/>
        <w:ind w:left="3960" w:right="-180" w:hanging="3960"/>
        <w:jc w:val="both"/>
        <w:outlineLvl w:val="1"/>
        <w:rPr>
          <w:rFonts w:eastAsia="Times New Roman"/>
          <w:b/>
          <w:bCs/>
          <w:sz w:val="24"/>
          <w:szCs w:val="24"/>
          <w:highlight w:val="yellow"/>
          <w:u w:val="single"/>
        </w:rPr>
      </w:pPr>
    </w:p>
    <w:p w14:paraId="2ACD4683" w14:textId="241177EC" w:rsidR="00331EB9" w:rsidRPr="00945E7D" w:rsidRDefault="00331EB9" w:rsidP="00331EB9">
      <w:pPr>
        <w:widowControl w:val="0"/>
        <w:spacing w:after="0" w:line="240" w:lineRule="auto"/>
        <w:ind w:left="3960" w:right="-180" w:hanging="3960"/>
        <w:jc w:val="both"/>
        <w:outlineLvl w:val="1"/>
        <w:rPr>
          <w:rFonts w:eastAsia="Times New Roman"/>
          <w:bCs/>
          <w:sz w:val="24"/>
          <w:szCs w:val="24"/>
        </w:rPr>
      </w:pPr>
      <w:r w:rsidRPr="00945E7D">
        <w:rPr>
          <w:rFonts w:eastAsia="Times New Roman"/>
          <w:b/>
          <w:bCs/>
          <w:sz w:val="24"/>
          <w:szCs w:val="24"/>
          <w:u w:val="single"/>
        </w:rPr>
        <w:t>ADMINISTRATIVE CODE:</w:t>
      </w:r>
      <w:r w:rsidRPr="00945E7D">
        <w:rPr>
          <w:rFonts w:eastAsia="Times New Roman"/>
          <w:bCs/>
          <w:sz w:val="24"/>
          <w:szCs w:val="24"/>
        </w:rPr>
        <w:tab/>
      </w:r>
      <w:r>
        <w:rPr>
          <w:rFonts w:eastAsia="Times New Roman"/>
          <w:bCs/>
          <w:sz w:val="24"/>
          <w:szCs w:val="24"/>
        </w:rPr>
        <w:t xml:space="preserve">Amends </w:t>
      </w:r>
      <w:r w:rsidRPr="00C41A24">
        <w:rPr>
          <w:rFonts w:eastAsia="Times New Roman"/>
          <w:bCs/>
          <w:sz w:val="24"/>
          <w:szCs w:val="24"/>
        </w:rPr>
        <w:t xml:space="preserve">Section </w:t>
      </w:r>
      <w:r>
        <w:rPr>
          <w:rFonts w:eastAsia="Times New Roman"/>
          <w:bCs/>
          <w:sz w:val="24"/>
          <w:szCs w:val="24"/>
        </w:rPr>
        <w:t>17</w:t>
      </w:r>
      <w:r w:rsidRPr="00C41A24">
        <w:rPr>
          <w:rFonts w:eastAsia="Times New Roman"/>
          <w:bCs/>
          <w:sz w:val="24"/>
          <w:szCs w:val="24"/>
        </w:rPr>
        <w:t>-</w:t>
      </w:r>
      <w:r>
        <w:rPr>
          <w:rFonts w:eastAsia="Times New Roman"/>
          <w:bCs/>
          <w:sz w:val="24"/>
          <w:szCs w:val="24"/>
        </w:rPr>
        <w:t>1901</w:t>
      </w:r>
      <w:r w:rsidRPr="00C41A24">
        <w:rPr>
          <w:rFonts w:eastAsia="Times New Roman"/>
          <w:bCs/>
          <w:sz w:val="24"/>
          <w:szCs w:val="24"/>
        </w:rPr>
        <w:t xml:space="preserve"> </w:t>
      </w:r>
      <w:r>
        <w:rPr>
          <w:rFonts w:eastAsia="Times New Roman"/>
          <w:bCs/>
          <w:sz w:val="24"/>
          <w:szCs w:val="24"/>
        </w:rPr>
        <w:t>of</w:t>
      </w:r>
      <w:r w:rsidRPr="00945E7D">
        <w:rPr>
          <w:rFonts w:eastAsia="Times New Roman"/>
          <w:bCs/>
          <w:sz w:val="24"/>
          <w:szCs w:val="24"/>
        </w:rPr>
        <w:t xml:space="preserve"> the Administrative Code</w:t>
      </w:r>
    </w:p>
    <w:p w14:paraId="0284E103" w14:textId="400DBBC8" w:rsidR="005E095C" w:rsidRDefault="005E095C" w:rsidP="00331EB9">
      <w:pPr>
        <w:spacing w:after="0" w:line="240" w:lineRule="auto"/>
        <w:rPr>
          <w:rFonts w:eastAsia="Times New Roman"/>
          <w:b/>
          <w:sz w:val="24"/>
          <w:szCs w:val="24"/>
          <w:u w:val="single"/>
        </w:rPr>
      </w:pPr>
    </w:p>
    <w:p w14:paraId="510B53D3" w14:textId="0954EB65" w:rsidR="006D2278" w:rsidRDefault="006D2278" w:rsidP="006D2278">
      <w:pPr>
        <w:spacing w:after="0" w:line="240" w:lineRule="auto"/>
        <w:jc w:val="center"/>
        <w:rPr>
          <w:rFonts w:eastAsia="Times New Roman"/>
          <w:b/>
          <w:sz w:val="24"/>
          <w:szCs w:val="24"/>
          <w:u w:val="single"/>
        </w:rPr>
      </w:pPr>
    </w:p>
    <w:p w14:paraId="3D50C787" w14:textId="77777777" w:rsidR="00FD13E6" w:rsidRPr="006F1878" w:rsidRDefault="00FD13E6" w:rsidP="002E1F0B">
      <w:pPr>
        <w:spacing w:after="0" w:line="240" w:lineRule="auto"/>
        <w:ind w:left="2880" w:hanging="3600"/>
        <w:jc w:val="both"/>
        <w:rPr>
          <w:rFonts w:eastAsia="Times New Roman"/>
          <w:sz w:val="24"/>
          <w:szCs w:val="24"/>
        </w:rPr>
      </w:pPr>
    </w:p>
    <w:p w14:paraId="5F036C05" w14:textId="51B6F1E5" w:rsidR="00FD13E6" w:rsidRDefault="00FD13E6" w:rsidP="002E1F0B">
      <w:pPr>
        <w:spacing w:after="0" w:line="240" w:lineRule="auto"/>
        <w:ind w:left="2880" w:hanging="3600"/>
        <w:jc w:val="both"/>
        <w:rPr>
          <w:rFonts w:eastAsia="Times New Roman"/>
          <w:sz w:val="24"/>
          <w:szCs w:val="24"/>
        </w:rPr>
      </w:pPr>
    </w:p>
    <w:p w14:paraId="2153DDD3" w14:textId="77777777" w:rsidR="00FD13E6" w:rsidRDefault="00FD13E6" w:rsidP="006231F7">
      <w:pPr>
        <w:spacing w:after="0" w:line="240" w:lineRule="auto"/>
        <w:ind w:left="2880" w:hanging="3600"/>
        <w:jc w:val="both"/>
        <w:rPr>
          <w:rFonts w:eastAsia="Times New Roman"/>
          <w:sz w:val="24"/>
          <w:szCs w:val="24"/>
        </w:rPr>
      </w:pPr>
    </w:p>
    <w:p w14:paraId="40497F0E" w14:textId="77777777" w:rsidR="00331EB9" w:rsidRDefault="007A7741" w:rsidP="00331EB9">
      <w:pPr>
        <w:pStyle w:val="ListParagraph"/>
        <w:numPr>
          <w:ilvl w:val="0"/>
          <w:numId w:val="1"/>
        </w:numPr>
        <w:spacing w:after="0" w:line="480" w:lineRule="auto"/>
        <w:jc w:val="both"/>
        <w:rPr>
          <w:rFonts w:eastAsia="Times New Roman"/>
          <w:b/>
          <w:sz w:val="24"/>
          <w:szCs w:val="24"/>
          <w:u w:val="single"/>
        </w:rPr>
      </w:pPr>
      <w:r w:rsidRPr="001D2773">
        <w:rPr>
          <w:rFonts w:eastAsia="Times New Roman"/>
          <w:b/>
          <w:sz w:val="24"/>
          <w:szCs w:val="24"/>
          <w:u w:val="single"/>
        </w:rPr>
        <w:lastRenderedPageBreak/>
        <w:t xml:space="preserve">INTRODUCTION </w:t>
      </w:r>
    </w:p>
    <w:p w14:paraId="49A1BAD3" w14:textId="55080986" w:rsidR="00CB4D32" w:rsidRPr="00331EB9" w:rsidRDefault="007A7741" w:rsidP="00331EB9">
      <w:pPr>
        <w:pStyle w:val="ListParagraph"/>
        <w:spacing w:after="0" w:line="480" w:lineRule="auto"/>
        <w:ind w:left="0" w:firstLine="720"/>
        <w:jc w:val="both"/>
        <w:rPr>
          <w:rFonts w:eastAsia="Times New Roman"/>
          <w:b/>
          <w:sz w:val="24"/>
          <w:szCs w:val="24"/>
          <w:u w:val="single"/>
        </w:rPr>
      </w:pPr>
      <w:r w:rsidRPr="00331EB9">
        <w:rPr>
          <w:rFonts w:eastAsia="Times New Roman"/>
          <w:sz w:val="24"/>
          <w:szCs w:val="24"/>
        </w:rPr>
        <w:t xml:space="preserve">On </w:t>
      </w:r>
      <w:r w:rsidR="00CB4D32" w:rsidRPr="00331EB9">
        <w:rPr>
          <w:rFonts w:eastAsia="Times New Roman"/>
          <w:sz w:val="24"/>
          <w:szCs w:val="24"/>
        </w:rPr>
        <w:t>January 2</w:t>
      </w:r>
      <w:r w:rsidR="00331EB9">
        <w:rPr>
          <w:rFonts w:eastAsia="Times New Roman"/>
          <w:sz w:val="24"/>
          <w:szCs w:val="24"/>
        </w:rPr>
        <w:t xml:space="preserve">8, 2020, the Committee on Health, chaired by Council Member Mark Levine, will hold a hearing on Body Image &amp; Inclusivity. During the hearing, the Committee will hear Introduction Number 1485 (Int. No. 1485), restricting the sale of </w:t>
      </w:r>
      <w:proofErr w:type="spellStart"/>
      <w:r w:rsidR="00331EB9">
        <w:rPr>
          <w:rFonts w:eastAsia="Times New Roman"/>
          <w:sz w:val="24"/>
          <w:szCs w:val="24"/>
        </w:rPr>
        <w:t>senna</w:t>
      </w:r>
      <w:proofErr w:type="spellEnd"/>
      <w:r w:rsidR="00331EB9">
        <w:rPr>
          <w:rFonts w:eastAsia="Times New Roman"/>
          <w:sz w:val="24"/>
          <w:szCs w:val="24"/>
        </w:rPr>
        <w:t xml:space="preserve">- and saffron- based products. </w:t>
      </w:r>
      <w:r w:rsidR="002B76A0">
        <w:rPr>
          <w:rFonts w:eastAsia="Times New Roman"/>
          <w:sz w:val="24"/>
          <w:szCs w:val="24"/>
        </w:rPr>
        <w:t>The Committee will discuss the impact of societal standards on body image,</w:t>
      </w:r>
      <w:r w:rsidR="00453CCB">
        <w:rPr>
          <w:rFonts w:eastAsia="Times New Roman"/>
          <w:sz w:val="24"/>
          <w:szCs w:val="24"/>
        </w:rPr>
        <w:t xml:space="preserve"> and the health impacts </w:t>
      </w:r>
      <w:r w:rsidR="00A66CA9">
        <w:rPr>
          <w:rFonts w:eastAsia="Times New Roman"/>
          <w:sz w:val="24"/>
          <w:szCs w:val="24"/>
        </w:rPr>
        <w:t xml:space="preserve">on </w:t>
      </w:r>
      <w:r w:rsidR="00453CCB">
        <w:rPr>
          <w:rFonts w:eastAsia="Times New Roman"/>
          <w:sz w:val="24"/>
          <w:szCs w:val="24"/>
        </w:rPr>
        <w:t xml:space="preserve">a person struggling with their </w:t>
      </w:r>
      <w:r w:rsidR="002B76A0">
        <w:rPr>
          <w:rFonts w:eastAsia="Times New Roman"/>
          <w:sz w:val="24"/>
          <w:szCs w:val="24"/>
        </w:rPr>
        <w:t xml:space="preserve">body image. Representatives from the New York City Department of Health and Mental Hygiene (DOHMH) and advocates </w:t>
      </w:r>
      <w:r w:rsidR="00A66CA9">
        <w:rPr>
          <w:rFonts w:eastAsia="Times New Roman"/>
          <w:sz w:val="24"/>
          <w:szCs w:val="24"/>
        </w:rPr>
        <w:t>have been invited</w:t>
      </w:r>
      <w:r w:rsidR="002B76A0">
        <w:rPr>
          <w:rFonts w:eastAsia="Times New Roman"/>
          <w:sz w:val="24"/>
          <w:szCs w:val="24"/>
        </w:rPr>
        <w:t xml:space="preserve"> to testify. </w:t>
      </w:r>
    </w:p>
    <w:p w14:paraId="59D7A0D3" w14:textId="5C1FCCED" w:rsidR="006F1878" w:rsidRPr="001D2773" w:rsidRDefault="007A7741" w:rsidP="007963B0">
      <w:pPr>
        <w:pStyle w:val="ListParagraph"/>
        <w:numPr>
          <w:ilvl w:val="0"/>
          <w:numId w:val="1"/>
        </w:numPr>
        <w:spacing w:after="0" w:line="480" w:lineRule="auto"/>
        <w:jc w:val="both"/>
        <w:rPr>
          <w:rFonts w:eastAsia="Times New Roman"/>
          <w:b/>
          <w:sz w:val="24"/>
          <w:szCs w:val="24"/>
          <w:u w:val="single"/>
        </w:rPr>
      </w:pPr>
      <w:r w:rsidRPr="001D2773">
        <w:rPr>
          <w:rFonts w:eastAsia="Times New Roman"/>
          <w:b/>
          <w:sz w:val="24"/>
          <w:szCs w:val="24"/>
          <w:u w:val="single"/>
        </w:rPr>
        <w:t xml:space="preserve">BACKGROUND </w:t>
      </w:r>
    </w:p>
    <w:p w14:paraId="62ABE197" w14:textId="540C8501" w:rsidR="00453CCB" w:rsidRDefault="00F156CD" w:rsidP="00D70CD1">
      <w:pPr>
        <w:spacing w:after="0" w:line="480" w:lineRule="auto"/>
        <w:ind w:firstLine="720"/>
        <w:contextualSpacing/>
        <w:jc w:val="both"/>
        <w:rPr>
          <w:sz w:val="24"/>
          <w:szCs w:val="24"/>
        </w:rPr>
      </w:pPr>
      <w:r>
        <w:rPr>
          <w:rFonts w:eastAsia="Times New Roman"/>
          <w:sz w:val="24"/>
          <w:szCs w:val="24"/>
        </w:rPr>
        <w:t xml:space="preserve">Body image is how a person sees </w:t>
      </w:r>
      <w:r w:rsidR="00152DDE">
        <w:rPr>
          <w:rFonts w:eastAsia="Times New Roman"/>
          <w:sz w:val="24"/>
          <w:szCs w:val="24"/>
        </w:rPr>
        <w:t>themselves</w:t>
      </w:r>
      <w:r w:rsidR="001F1BBB">
        <w:rPr>
          <w:rFonts w:eastAsia="Times New Roman"/>
          <w:sz w:val="24"/>
          <w:szCs w:val="24"/>
        </w:rPr>
        <w:t>,</w:t>
      </w:r>
      <w:r>
        <w:rPr>
          <w:rFonts w:eastAsia="Times New Roman"/>
          <w:sz w:val="24"/>
          <w:szCs w:val="24"/>
        </w:rPr>
        <w:t xml:space="preserve"> </w:t>
      </w:r>
      <w:r w:rsidR="00A66CA9">
        <w:rPr>
          <w:rFonts w:eastAsia="Times New Roman"/>
          <w:sz w:val="24"/>
          <w:szCs w:val="24"/>
        </w:rPr>
        <w:t>including</w:t>
      </w:r>
      <w:r>
        <w:rPr>
          <w:rFonts w:eastAsia="Times New Roman"/>
          <w:sz w:val="24"/>
          <w:szCs w:val="24"/>
        </w:rPr>
        <w:t xml:space="preserve"> what </w:t>
      </w:r>
      <w:r w:rsidR="001F1BBB">
        <w:rPr>
          <w:rFonts w:eastAsia="Times New Roman"/>
          <w:sz w:val="24"/>
          <w:szCs w:val="24"/>
        </w:rPr>
        <w:t xml:space="preserve">a person </w:t>
      </w:r>
      <w:r>
        <w:rPr>
          <w:rFonts w:eastAsia="Times New Roman"/>
          <w:sz w:val="24"/>
          <w:szCs w:val="24"/>
        </w:rPr>
        <w:t>believe</w:t>
      </w:r>
      <w:r w:rsidR="001F1BBB">
        <w:rPr>
          <w:rFonts w:eastAsia="Times New Roman"/>
          <w:sz w:val="24"/>
          <w:szCs w:val="24"/>
        </w:rPr>
        <w:t>s</w:t>
      </w:r>
      <w:r>
        <w:rPr>
          <w:rFonts w:eastAsia="Times New Roman"/>
          <w:sz w:val="24"/>
          <w:szCs w:val="24"/>
        </w:rPr>
        <w:t xml:space="preserve"> about their appearance, how they feel about their body, and how they physically experience or feel their body.</w:t>
      </w:r>
      <w:r>
        <w:rPr>
          <w:rStyle w:val="FootnoteReference"/>
          <w:rFonts w:eastAsia="Times New Roman"/>
          <w:sz w:val="24"/>
          <w:szCs w:val="24"/>
        </w:rPr>
        <w:footnoteReference w:id="1"/>
      </w:r>
      <w:r>
        <w:rPr>
          <w:rFonts w:eastAsia="Times New Roman"/>
          <w:sz w:val="24"/>
          <w:szCs w:val="24"/>
        </w:rPr>
        <w:t xml:space="preserve"> </w:t>
      </w:r>
      <w:r w:rsidR="00595B00">
        <w:rPr>
          <w:rFonts w:eastAsia="Times New Roman"/>
          <w:sz w:val="24"/>
          <w:szCs w:val="24"/>
        </w:rPr>
        <w:t>Poor body image can lead to disordered eating, includ</w:t>
      </w:r>
      <w:r w:rsidR="00F8316A">
        <w:rPr>
          <w:rFonts w:eastAsia="Times New Roman"/>
          <w:sz w:val="24"/>
          <w:szCs w:val="24"/>
        </w:rPr>
        <w:t>ing</w:t>
      </w:r>
      <w:r w:rsidR="00595B00">
        <w:rPr>
          <w:rFonts w:eastAsia="Times New Roman"/>
          <w:sz w:val="24"/>
          <w:szCs w:val="24"/>
        </w:rPr>
        <w:t xml:space="preserve"> binge eating disorder, bulimia nervosa, and anorexia nervosa.</w:t>
      </w:r>
      <w:r w:rsidR="00595B00">
        <w:rPr>
          <w:rStyle w:val="FootnoteReference"/>
          <w:rFonts w:eastAsia="Times New Roman"/>
          <w:sz w:val="24"/>
          <w:szCs w:val="24"/>
        </w:rPr>
        <w:footnoteReference w:id="2"/>
      </w:r>
      <w:r w:rsidR="00595B00">
        <w:rPr>
          <w:rFonts w:eastAsia="Times New Roman"/>
          <w:sz w:val="24"/>
          <w:szCs w:val="24"/>
        </w:rPr>
        <w:t xml:space="preserve"> </w:t>
      </w:r>
      <w:r w:rsidR="00DF609B">
        <w:rPr>
          <w:rFonts w:eastAsia="Times New Roman"/>
          <w:sz w:val="24"/>
          <w:szCs w:val="24"/>
        </w:rPr>
        <w:t xml:space="preserve">There are </w:t>
      </w:r>
      <w:r w:rsidR="00F8316A">
        <w:rPr>
          <w:rFonts w:eastAsia="Times New Roman"/>
          <w:sz w:val="24"/>
          <w:szCs w:val="24"/>
        </w:rPr>
        <w:t xml:space="preserve">entire </w:t>
      </w:r>
      <w:r w:rsidR="00DF609B">
        <w:rPr>
          <w:rFonts w:eastAsia="Times New Roman"/>
          <w:sz w:val="24"/>
          <w:szCs w:val="24"/>
        </w:rPr>
        <w:t xml:space="preserve">industries </w:t>
      </w:r>
      <w:r w:rsidR="00F8316A">
        <w:rPr>
          <w:rFonts w:eastAsia="Times New Roman"/>
          <w:sz w:val="24"/>
          <w:szCs w:val="24"/>
        </w:rPr>
        <w:t>designed to benefit from the stigmatization of people who are perceived as an unideal weight and</w:t>
      </w:r>
      <w:r w:rsidR="00454F4E">
        <w:rPr>
          <w:rFonts w:eastAsia="Times New Roman"/>
          <w:sz w:val="24"/>
          <w:szCs w:val="24"/>
        </w:rPr>
        <w:t xml:space="preserve"> </w:t>
      </w:r>
      <w:r w:rsidR="00F74FE9">
        <w:rPr>
          <w:rFonts w:eastAsia="Times New Roman"/>
          <w:sz w:val="24"/>
          <w:szCs w:val="24"/>
        </w:rPr>
        <w:t xml:space="preserve">from </w:t>
      </w:r>
      <w:r w:rsidR="00F8316A">
        <w:rPr>
          <w:rFonts w:eastAsia="Times New Roman"/>
          <w:sz w:val="24"/>
          <w:szCs w:val="24"/>
        </w:rPr>
        <w:t>people feeling negative about their body. According to a 2018 Washington Post article, A</w:t>
      </w:r>
      <w:r w:rsidR="001F1BBB" w:rsidRPr="001F1BBB">
        <w:rPr>
          <w:sz w:val="24"/>
          <w:szCs w:val="24"/>
        </w:rPr>
        <w:t>mericans spent more than $62 million on</w:t>
      </w:r>
      <w:r w:rsidR="00D70CD1">
        <w:rPr>
          <w:sz w:val="24"/>
          <w:szCs w:val="24"/>
        </w:rPr>
        <w:t xml:space="preserve"> diet teas,</w:t>
      </w:r>
      <w:r w:rsidR="00CB5AD2">
        <w:rPr>
          <w:sz w:val="24"/>
          <w:szCs w:val="24"/>
        </w:rPr>
        <w:t xml:space="preserve"> or “detox teas,”</w:t>
      </w:r>
      <w:r w:rsidR="00D70CD1">
        <w:rPr>
          <w:sz w:val="24"/>
          <w:szCs w:val="24"/>
        </w:rPr>
        <w:t xml:space="preserve"> which include</w:t>
      </w:r>
      <w:r w:rsidR="001F1BBB" w:rsidRPr="001F1BBB">
        <w:rPr>
          <w:sz w:val="24"/>
          <w:szCs w:val="24"/>
        </w:rPr>
        <w:t xml:space="preserve"> detox/cleansing, laxative</w:t>
      </w:r>
      <w:r w:rsidR="00F8316A">
        <w:rPr>
          <w:sz w:val="24"/>
          <w:szCs w:val="24"/>
        </w:rPr>
        <w:t>,</w:t>
      </w:r>
      <w:r w:rsidR="001F1BBB" w:rsidRPr="001F1BBB">
        <w:rPr>
          <w:sz w:val="24"/>
          <w:szCs w:val="24"/>
        </w:rPr>
        <w:t xml:space="preserve"> and weight-loss teas</w:t>
      </w:r>
      <w:r w:rsidR="00155075">
        <w:rPr>
          <w:sz w:val="24"/>
          <w:szCs w:val="24"/>
        </w:rPr>
        <w:t>,</w:t>
      </w:r>
      <w:r w:rsidR="001F1BBB" w:rsidRPr="001F1BBB">
        <w:rPr>
          <w:sz w:val="24"/>
          <w:szCs w:val="24"/>
        </w:rPr>
        <w:t xml:space="preserve"> in retail outlets in the past year.</w:t>
      </w:r>
      <w:r w:rsidR="00F8316A">
        <w:rPr>
          <w:rStyle w:val="FootnoteReference"/>
          <w:sz w:val="24"/>
          <w:szCs w:val="24"/>
        </w:rPr>
        <w:footnoteReference w:id="3"/>
      </w:r>
      <w:r w:rsidR="00CB5AD2">
        <w:rPr>
          <w:sz w:val="24"/>
          <w:szCs w:val="24"/>
        </w:rPr>
        <w:t xml:space="preserve"> Most detox </w:t>
      </w:r>
      <w:r w:rsidR="00D70CD1">
        <w:rPr>
          <w:sz w:val="24"/>
          <w:szCs w:val="24"/>
        </w:rPr>
        <w:t xml:space="preserve">teas have ingredients in common, including </w:t>
      </w:r>
      <w:proofErr w:type="spellStart"/>
      <w:r w:rsidR="00453CCB" w:rsidRPr="00453CCB">
        <w:rPr>
          <w:sz w:val="24"/>
          <w:szCs w:val="24"/>
        </w:rPr>
        <w:t>guarana</w:t>
      </w:r>
      <w:proofErr w:type="spellEnd"/>
      <w:r w:rsidR="00453CCB" w:rsidRPr="00453CCB">
        <w:rPr>
          <w:sz w:val="24"/>
          <w:szCs w:val="24"/>
        </w:rPr>
        <w:t xml:space="preserve">, which some research suggests may contain up to four times the amount of caffeine in coffee, and laxatives such </w:t>
      </w:r>
      <w:r w:rsidR="00453CCB" w:rsidRPr="00453CCB">
        <w:rPr>
          <w:sz w:val="24"/>
          <w:szCs w:val="24"/>
        </w:rPr>
        <w:lastRenderedPageBreak/>
        <w:t xml:space="preserve">as </w:t>
      </w:r>
      <w:proofErr w:type="spellStart"/>
      <w:r w:rsidR="00453CCB" w:rsidRPr="00453CCB">
        <w:rPr>
          <w:sz w:val="24"/>
          <w:szCs w:val="24"/>
        </w:rPr>
        <w:t>senna</w:t>
      </w:r>
      <w:proofErr w:type="spellEnd"/>
      <w:r w:rsidR="00453CCB" w:rsidRPr="00453CCB">
        <w:rPr>
          <w:sz w:val="24"/>
          <w:szCs w:val="24"/>
        </w:rPr>
        <w:t xml:space="preserve"> or </w:t>
      </w:r>
      <w:proofErr w:type="spellStart"/>
      <w:r w:rsidR="00453CCB" w:rsidRPr="00453CCB">
        <w:rPr>
          <w:sz w:val="24"/>
          <w:szCs w:val="24"/>
        </w:rPr>
        <w:t>senna</w:t>
      </w:r>
      <w:proofErr w:type="spellEnd"/>
      <w:r w:rsidR="00453CCB" w:rsidRPr="00453CCB">
        <w:rPr>
          <w:sz w:val="24"/>
          <w:szCs w:val="24"/>
        </w:rPr>
        <w:t xml:space="preserve"> leaf,</w:t>
      </w:r>
      <w:r w:rsidR="00D70CD1">
        <w:rPr>
          <w:sz w:val="24"/>
          <w:szCs w:val="24"/>
        </w:rPr>
        <w:t xml:space="preserve"> the same active ingredient in </w:t>
      </w:r>
      <w:proofErr w:type="spellStart"/>
      <w:r w:rsidR="00D70CD1">
        <w:rPr>
          <w:sz w:val="24"/>
          <w:szCs w:val="24"/>
        </w:rPr>
        <w:t>Senokot</w:t>
      </w:r>
      <w:proofErr w:type="spellEnd"/>
      <w:r w:rsidR="00D70CD1">
        <w:rPr>
          <w:sz w:val="24"/>
          <w:szCs w:val="24"/>
        </w:rPr>
        <w:t>,</w:t>
      </w:r>
      <w:r w:rsidR="00453CCB" w:rsidRPr="00453CCB">
        <w:rPr>
          <w:sz w:val="24"/>
          <w:szCs w:val="24"/>
        </w:rPr>
        <w:t xml:space="preserve"> </w:t>
      </w:r>
      <w:r w:rsidR="00A66CA9">
        <w:rPr>
          <w:sz w:val="24"/>
          <w:szCs w:val="24"/>
        </w:rPr>
        <w:t xml:space="preserve">which is </w:t>
      </w:r>
      <w:r w:rsidR="00453CCB" w:rsidRPr="00453CCB">
        <w:rPr>
          <w:sz w:val="24"/>
          <w:szCs w:val="24"/>
        </w:rPr>
        <w:t>approved as an over-the-counter medication by the Food and Drug Administration</w:t>
      </w:r>
      <w:r w:rsidR="00CB5AD2">
        <w:rPr>
          <w:sz w:val="24"/>
          <w:szCs w:val="24"/>
        </w:rPr>
        <w:t xml:space="preserve"> (FDA)</w:t>
      </w:r>
      <w:r w:rsidR="00453CCB" w:rsidRPr="00453CCB">
        <w:rPr>
          <w:sz w:val="24"/>
          <w:szCs w:val="24"/>
        </w:rPr>
        <w:t xml:space="preserve"> for constipation.</w:t>
      </w:r>
      <w:r w:rsidR="00D70CD1">
        <w:rPr>
          <w:rStyle w:val="FootnoteReference"/>
          <w:sz w:val="24"/>
          <w:szCs w:val="24"/>
        </w:rPr>
        <w:footnoteReference w:id="4"/>
      </w:r>
    </w:p>
    <w:p w14:paraId="7873279C" w14:textId="65F7F3DE" w:rsidR="00B00EFF" w:rsidRDefault="00CB5AD2" w:rsidP="00A00682">
      <w:pPr>
        <w:spacing w:after="0" w:line="480" w:lineRule="auto"/>
        <w:ind w:firstLine="720"/>
        <w:contextualSpacing/>
        <w:jc w:val="both"/>
        <w:rPr>
          <w:sz w:val="24"/>
          <w:szCs w:val="24"/>
        </w:rPr>
      </w:pPr>
      <w:r w:rsidRPr="00440731">
        <w:rPr>
          <w:sz w:val="24"/>
          <w:szCs w:val="24"/>
        </w:rPr>
        <w:t xml:space="preserve">The use of detox teas have been proliferated by social media and celebrity influencers, including Kylie Jenner, </w:t>
      </w:r>
      <w:proofErr w:type="spellStart"/>
      <w:r w:rsidRPr="00440731">
        <w:rPr>
          <w:sz w:val="24"/>
          <w:szCs w:val="24"/>
        </w:rPr>
        <w:t>Cardi</w:t>
      </w:r>
      <w:proofErr w:type="spellEnd"/>
      <w:r w:rsidRPr="00440731">
        <w:rPr>
          <w:sz w:val="24"/>
          <w:szCs w:val="24"/>
        </w:rPr>
        <w:t xml:space="preserve"> B, and Amber Rose.</w:t>
      </w:r>
      <w:r w:rsidRPr="00440731">
        <w:rPr>
          <w:rStyle w:val="FootnoteReference"/>
          <w:sz w:val="24"/>
          <w:szCs w:val="24"/>
        </w:rPr>
        <w:footnoteReference w:id="5"/>
      </w:r>
      <w:r w:rsidRPr="00440731">
        <w:rPr>
          <w:sz w:val="24"/>
          <w:szCs w:val="24"/>
        </w:rPr>
        <w:t xml:space="preserve"> </w:t>
      </w:r>
      <w:r w:rsidR="00BA467A" w:rsidRPr="00440731">
        <w:rPr>
          <w:sz w:val="24"/>
          <w:szCs w:val="24"/>
        </w:rPr>
        <w:t xml:space="preserve">In fact, </w:t>
      </w:r>
      <w:r w:rsidR="004806D2" w:rsidRPr="00440731">
        <w:rPr>
          <w:sz w:val="24"/>
          <w:szCs w:val="24"/>
        </w:rPr>
        <w:t xml:space="preserve">the hashtag </w:t>
      </w:r>
      <w:r w:rsidR="00BA467A" w:rsidRPr="00440731">
        <w:rPr>
          <w:sz w:val="24"/>
          <w:szCs w:val="24"/>
        </w:rPr>
        <w:t>“</w:t>
      </w:r>
      <w:r w:rsidR="004806D2" w:rsidRPr="00440731">
        <w:rPr>
          <w:sz w:val="24"/>
          <w:szCs w:val="24"/>
        </w:rPr>
        <w:t>#</w:t>
      </w:r>
      <w:proofErr w:type="spellStart"/>
      <w:r w:rsidR="004806D2" w:rsidRPr="00440731">
        <w:rPr>
          <w:sz w:val="24"/>
          <w:szCs w:val="24"/>
        </w:rPr>
        <w:t>teatox</w:t>
      </w:r>
      <w:proofErr w:type="spellEnd"/>
      <w:r w:rsidR="00BA467A" w:rsidRPr="00440731">
        <w:rPr>
          <w:sz w:val="24"/>
          <w:szCs w:val="24"/>
        </w:rPr>
        <w:t>”</w:t>
      </w:r>
      <w:r w:rsidR="004806D2" w:rsidRPr="00440731">
        <w:rPr>
          <w:sz w:val="24"/>
          <w:szCs w:val="24"/>
        </w:rPr>
        <w:t xml:space="preserve"> garners over 870</w:t>
      </w:r>
      <w:r w:rsidR="00BA467A" w:rsidRPr="00440731">
        <w:rPr>
          <w:sz w:val="24"/>
          <w:szCs w:val="24"/>
        </w:rPr>
        <w:t>,000</w:t>
      </w:r>
      <w:r w:rsidR="004806D2" w:rsidRPr="00440731">
        <w:rPr>
          <w:sz w:val="24"/>
          <w:szCs w:val="24"/>
        </w:rPr>
        <w:t xml:space="preserve"> posts on Instagram</w:t>
      </w:r>
      <w:r w:rsidR="00BA467A" w:rsidRPr="00440731">
        <w:rPr>
          <w:sz w:val="24"/>
          <w:szCs w:val="24"/>
        </w:rPr>
        <w:t>.</w:t>
      </w:r>
      <w:r w:rsidR="00BA467A" w:rsidRPr="00440731">
        <w:rPr>
          <w:rStyle w:val="FootnoteReference"/>
          <w:sz w:val="24"/>
          <w:szCs w:val="24"/>
        </w:rPr>
        <w:footnoteReference w:id="6"/>
      </w:r>
      <w:r w:rsidR="00BA467A" w:rsidRPr="00440731">
        <w:rPr>
          <w:sz w:val="24"/>
          <w:szCs w:val="24"/>
        </w:rPr>
        <w:t xml:space="preserve"> </w:t>
      </w:r>
      <w:r w:rsidR="00A00682">
        <w:rPr>
          <w:sz w:val="24"/>
          <w:szCs w:val="24"/>
        </w:rPr>
        <w:t>There are numerous accounts of the impact of such marketing on young people, which can lead to disordered eating.</w:t>
      </w:r>
      <w:r w:rsidR="00A00682">
        <w:rPr>
          <w:rStyle w:val="FootnoteReference"/>
          <w:sz w:val="24"/>
          <w:szCs w:val="24"/>
        </w:rPr>
        <w:footnoteReference w:id="7"/>
      </w:r>
      <w:r w:rsidR="00A00682">
        <w:rPr>
          <w:sz w:val="24"/>
          <w:szCs w:val="24"/>
        </w:rPr>
        <w:t xml:space="preserve"> Despite counter-marketing and the spread of inf</w:t>
      </w:r>
      <w:r w:rsidR="00155075">
        <w:rPr>
          <w:sz w:val="24"/>
          <w:szCs w:val="24"/>
        </w:rPr>
        <w:t xml:space="preserve">ormation warning about the side </w:t>
      </w:r>
      <w:r w:rsidR="00A00682">
        <w:rPr>
          <w:sz w:val="24"/>
          <w:szCs w:val="24"/>
        </w:rPr>
        <w:t xml:space="preserve">effects of using detox teas, </w:t>
      </w:r>
      <w:r w:rsidR="004806D2" w:rsidRPr="00A00682">
        <w:rPr>
          <w:sz w:val="24"/>
          <w:szCs w:val="24"/>
        </w:rPr>
        <w:t>reality star</w:t>
      </w:r>
      <w:r w:rsidR="00A00682">
        <w:rPr>
          <w:sz w:val="24"/>
          <w:szCs w:val="24"/>
        </w:rPr>
        <w:t>s continue to receive large payouts for post</w:t>
      </w:r>
      <w:r w:rsidR="00B72193">
        <w:rPr>
          <w:sz w:val="24"/>
          <w:szCs w:val="24"/>
        </w:rPr>
        <w:t>ing</w:t>
      </w:r>
      <w:r w:rsidR="00A00682">
        <w:rPr>
          <w:sz w:val="24"/>
          <w:szCs w:val="24"/>
        </w:rPr>
        <w:t xml:space="preserve"> advertisements for detox tea companies.</w:t>
      </w:r>
      <w:r w:rsidR="00A00682">
        <w:rPr>
          <w:rStyle w:val="FootnoteReference"/>
          <w:sz w:val="24"/>
          <w:szCs w:val="24"/>
        </w:rPr>
        <w:footnoteReference w:id="8"/>
      </w:r>
      <w:r w:rsidR="004806D2" w:rsidRPr="00A00682">
        <w:rPr>
          <w:sz w:val="24"/>
          <w:szCs w:val="24"/>
        </w:rPr>
        <w:t xml:space="preserve"> </w:t>
      </w:r>
      <w:r w:rsidR="00A66CA9">
        <w:rPr>
          <w:sz w:val="24"/>
          <w:szCs w:val="24"/>
        </w:rPr>
        <w:t>Celebrities such as the Kardashians</w:t>
      </w:r>
      <w:r w:rsidR="00B72193">
        <w:rPr>
          <w:sz w:val="24"/>
          <w:szCs w:val="24"/>
        </w:rPr>
        <w:t xml:space="preserve"> c</w:t>
      </w:r>
      <w:r w:rsidR="004806D2" w:rsidRPr="00A00682">
        <w:rPr>
          <w:sz w:val="24"/>
          <w:szCs w:val="24"/>
        </w:rPr>
        <w:t xml:space="preserve">an </w:t>
      </w:r>
      <w:r w:rsidR="003F26A1">
        <w:rPr>
          <w:sz w:val="24"/>
          <w:szCs w:val="24"/>
        </w:rPr>
        <w:t xml:space="preserve">receive </w:t>
      </w:r>
      <w:r w:rsidR="004806D2" w:rsidRPr="00A00682">
        <w:rPr>
          <w:sz w:val="24"/>
          <w:szCs w:val="24"/>
        </w:rPr>
        <w:t xml:space="preserve">a six-figure sum for </w:t>
      </w:r>
      <w:r w:rsidR="003F26A1">
        <w:rPr>
          <w:sz w:val="24"/>
          <w:szCs w:val="24"/>
        </w:rPr>
        <w:t xml:space="preserve">just </w:t>
      </w:r>
      <w:r w:rsidR="004806D2" w:rsidRPr="00A00682">
        <w:rPr>
          <w:sz w:val="24"/>
          <w:szCs w:val="24"/>
        </w:rPr>
        <w:t>one sponsored</w:t>
      </w:r>
      <w:r w:rsidR="003F26A1">
        <w:rPr>
          <w:sz w:val="24"/>
          <w:szCs w:val="24"/>
        </w:rPr>
        <w:t xml:space="preserve"> advertisement</w:t>
      </w:r>
      <w:r w:rsidR="004806D2" w:rsidRPr="00A00682">
        <w:rPr>
          <w:sz w:val="24"/>
          <w:szCs w:val="24"/>
        </w:rPr>
        <w:t xml:space="preserve"> on social media.</w:t>
      </w:r>
      <w:r w:rsidR="003F26A1">
        <w:rPr>
          <w:rStyle w:val="FootnoteReference"/>
          <w:sz w:val="24"/>
          <w:szCs w:val="24"/>
        </w:rPr>
        <w:footnoteReference w:id="9"/>
      </w:r>
      <w:r w:rsidR="004806D2" w:rsidRPr="00A00682">
        <w:rPr>
          <w:sz w:val="24"/>
          <w:szCs w:val="24"/>
        </w:rPr>
        <w:t xml:space="preserve"> </w:t>
      </w:r>
    </w:p>
    <w:p w14:paraId="6BC4BDDC" w14:textId="31C983E4" w:rsidR="004806D2" w:rsidRDefault="00C70627" w:rsidP="00A00682">
      <w:pPr>
        <w:spacing w:after="0" w:line="480" w:lineRule="auto"/>
        <w:ind w:firstLine="720"/>
        <w:contextualSpacing/>
        <w:jc w:val="both"/>
        <w:rPr>
          <w:sz w:val="24"/>
          <w:szCs w:val="24"/>
        </w:rPr>
      </w:pPr>
      <w:r>
        <w:rPr>
          <w:sz w:val="24"/>
          <w:szCs w:val="24"/>
        </w:rPr>
        <w:t>In addition to teas</w:t>
      </w:r>
      <w:r w:rsidR="00B00EFF">
        <w:rPr>
          <w:sz w:val="24"/>
          <w:szCs w:val="24"/>
        </w:rPr>
        <w:t xml:space="preserve">, social media influencers also promote “skinny candies,” such as “appetite-suppressant” lollipops or meal-replacement shakes. These candies also list </w:t>
      </w:r>
      <w:proofErr w:type="spellStart"/>
      <w:r w:rsidR="00B00EFF">
        <w:rPr>
          <w:sz w:val="24"/>
          <w:szCs w:val="24"/>
        </w:rPr>
        <w:t>Satiereal</w:t>
      </w:r>
      <w:proofErr w:type="spellEnd"/>
      <w:r w:rsidR="00B00EFF">
        <w:rPr>
          <w:sz w:val="24"/>
          <w:szCs w:val="24"/>
        </w:rPr>
        <w:t xml:space="preserve"> – a saffron extract – as an ingredient which may induce appetite suppression.</w:t>
      </w:r>
      <w:r w:rsidR="00816E43">
        <w:rPr>
          <w:rStyle w:val="FootnoteReference"/>
          <w:sz w:val="24"/>
          <w:szCs w:val="24"/>
        </w:rPr>
        <w:footnoteReference w:id="10"/>
      </w:r>
      <w:r w:rsidR="00B00EFF">
        <w:rPr>
          <w:sz w:val="24"/>
          <w:szCs w:val="24"/>
        </w:rPr>
        <w:t xml:space="preserve"> In 2018, Kim Kardashian posted (and then deleted) an Instagram advertisement where she promoted Flat Tummy Co. lollipops, and received immediate backlash for </w:t>
      </w:r>
      <w:r w:rsidR="003C142B">
        <w:rPr>
          <w:sz w:val="24"/>
          <w:szCs w:val="24"/>
        </w:rPr>
        <w:t>her “terrible and toxic influence,”</w:t>
      </w:r>
      <w:r w:rsidR="00B00EFF">
        <w:rPr>
          <w:sz w:val="24"/>
          <w:szCs w:val="24"/>
        </w:rPr>
        <w:t xml:space="preserve"> </w:t>
      </w:r>
      <w:r w:rsidR="003C142B">
        <w:rPr>
          <w:sz w:val="24"/>
          <w:szCs w:val="24"/>
        </w:rPr>
        <w:t>particularly as she delivered this post during Mental Health Awareness week.</w:t>
      </w:r>
      <w:r w:rsidR="003C142B">
        <w:rPr>
          <w:rStyle w:val="FootnoteReference"/>
          <w:sz w:val="24"/>
          <w:szCs w:val="24"/>
        </w:rPr>
        <w:footnoteReference w:id="11"/>
      </w:r>
    </w:p>
    <w:p w14:paraId="1AD59F1E" w14:textId="22DCA92E" w:rsidR="00312FF5" w:rsidRDefault="00312FF5" w:rsidP="00312FF5">
      <w:pPr>
        <w:pStyle w:val="FootnoteText"/>
      </w:pPr>
    </w:p>
    <w:p w14:paraId="06531FA8" w14:textId="31EA9896" w:rsidR="00312FF5" w:rsidRDefault="00312FF5" w:rsidP="00312FF5">
      <w:pPr>
        <w:pStyle w:val="FootnoteText"/>
      </w:pPr>
    </w:p>
    <w:p w14:paraId="0FEC90AE" w14:textId="65CC7480" w:rsidR="00312FF5" w:rsidRDefault="00312FF5" w:rsidP="00312FF5">
      <w:pPr>
        <w:pStyle w:val="FootnoteText"/>
      </w:pPr>
    </w:p>
    <w:p w14:paraId="6F9E4E21" w14:textId="77777777" w:rsidR="00312FF5" w:rsidRPr="00312FF5" w:rsidRDefault="00312FF5" w:rsidP="00312FF5">
      <w:pPr>
        <w:pStyle w:val="FootnoteText"/>
      </w:pPr>
    </w:p>
    <w:p w14:paraId="0694C31E" w14:textId="7EB04A26" w:rsidR="00DD3CE1" w:rsidRPr="00F74FE9" w:rsidRDefault="00DD3CE1" w:rsidP="004514B1">
      <w:pPr>
        <w:spacing w:after="0" w:line="480" w:lineRule="auto"/>
        <w:contextualSpacing/>
        <w:jc w:val="both"/>
        <w:rPr>
          <w:sz w:val="24"/>
          <w:szCs w:val="24"/>
        </w:rPr>
      </w:pPr>
      <w:r w:rsidRPr="004514B1">
        <w:rPr>
          <w:i/>
          <w:sz w:val="24"/>
          <w:szCs w:val="24"/>
        </w:rPr>
        <w:t xml:space="preserve">Impact on </w:t>
      </w:r>
      <w:r w:rsidR="004514B1">
        <w:rPr>
          <w:i/>
          <w:sz w:val="24"/>
          <w:szCs w:val="24"/>
        </w:rPr>
        <w:t>Health &amp; M</w:t>
      </w:r>
      <w:r w:rsidRPr="004514B1">
        <w:rPr>
          <w:i/>
          <w:sz w:val="24"/>
          <w:szCs w:val="24"/>
        </w:rPr>
        <w:t xml:space="preserve">ental </w:t>
      </w:r>
      <w:r w:rsidR="004514B1">
        <w:rPr>
          <w:i/>
          <w:sz w:val="24"/>
          <w:szCs w:val="24"/>
        </w:rPr>
        <w:t>H</w:t>
      </w:r>
      <w:r w:rsidRPr="004514B1">
        <w:rPr>
          <w:i/>
          <w:sz w:val="24"/>
          <w:szCs w:val="24"/>
        </w:rPr>
        <w:t>ealth</w:t>
      </w:r>
      <w:r w:rsidRPr="00F74FE9">
        <w:rPr>
          <w:sz w:val="24"/>
          <w:szCs w:val="24"/>
        </w:rPr>
        <w:t xml:space="preserve"> </w:t>
      </w:r>
    </w:p>
    <w:p w14:paraId="77E4F96C" w14:textId="7014B453" w:rsidR="00DE1F73" w:rsidRDefault="00DE1F73" w:rsidP="00DE1F73">
      <w:pPr>
        <w:spacing w:after="0" w:line="480" w:lineRule="auto"/>
        <w:ind w:firstLine="720"/>
        <w:contextualSpacing/>
        <w:jc w:val="both"/>
        <w:rPr>
          <w:sz w:val="24"/>
          <w:szCs w:val="24"/>
        </w:rPr>
      </w:pPr>
      <w:r>
        <w:rPr>
          <w:sz w:val="24"/>
          <w:szCs w:val="24"/>
        </w:rPr>
        <w:t xml:space="preserve">Although they are popular, detox teas </w:t>
      </w:r>
      <w:r w:rsidR="003C142B">
        <w:rPr>
          <w:sz w:val="24"/>
          <w:szCs w:val="24"/>
        </w:rPr>
        <w:t xml:space="preserve">and skinny candies </w:t>
      </w:r>
      <w:r>
        <w:rPr>
          <w:sz w:val="24"/>
          <w:szCs w:val="24"/>
        </w:rPr>
        <w:t>have many health concerns associated with them, and experts agree that they are unsafe and largely ineffective for weight loss.</w:t>
      </w:r>
      <w:r>
        <w:rPr>
          <w:rStyle w:val="FootnoteReference"/>
          <w:sz w:val="24"/>
          <w:szCs w:val="24"/>
        </w:rPr>
        <w:footnoteReference w:id="12"/>
      </w:r>
      <w:r w:rsidR="00696221">
        <w:rPr>
          <w:sz w:val="24"/>
          <w:szCs w:val="24"/>
        </w:rPr>
        <w:t xml:space="preserve"> Th</w:t>
      </w:r>
      <w:r w:rsidRPr="00453CCB">
        <w:rPr>
          <w:sz w:val="24"/>
          <w:szCs w:val="24"/>
        </w:rPr>
        <w:t>e i</w:t>
      </w:r>
      <w:r>
        <w:rPr>
          <w:sz w:val="24"/>
          <w:szCs w:val="24"/>
        </w:rPr>
        <w:t>ngredients in detox teas</w:t>
      </w:r>
      <w:r w:rsidRPr="00453CCB">
        <w:rPr>
          <w:sz w:val="24"/>
          <w:szCs w:val="24"/>
        </w:rPr>
        <w:t xml:space="preserve"> may interact with each other</w:t>
      </w:r>
      <w:r w:rsidR="00696221">
        <w:rPr>
          <w:sz w:val="24"/>
          <w:szCs w:val="24"/>
        </w:rPr>
        <w:t>, as well as other medications,</w:t>
      </w:r>
      <w:r w:rsidRPr="00453CCB">
        <w:rPr>
          <w:sz w:val="24"/>
          <w:szCs w:val="24"/>
        </w:rPr>
        <w:t xml:space="preserve"> in a negative way.</w:t>
      </w:r>
      <w:r>
        <w:rPr>
          <w:rStyle w:val="FootnoteReference"/>
          <w:sz w:val="24"/>
          <w:szCs w:val="24"/>
        </w:rPr>
        <w:footnoteReference w:id="13"/>
      </w:r>
      <w:r>
        <w:rPr>
          <w:sz w:val="24"/>
          <w:szCs w:val="24"/>
        </w:rPr>
        <w:t xml:space="preserve"> </w:t>
      </w:r>
      <w:r w:rsidRPr="00BA467A">
        <w:rPr>
          <w:sz w:val="24"/>
          <w:szCs w:val="24"/>
        </w:rPr>
        <w:t xml:space="preserve">In 2015, </w:t>
      </w:r>
      <w:r>
        <w:rPr>
          <w:sz w:val="24"/>
          <w:szCs w:val="24"/>
        </w:rPr>
        <w:t xml:space="preserve">the company </w:t>
      </w:r>
      <w:proofErr w:type="spellStart"/>
      <w:r w:rsidRPr="00BA467A">
        <w:rPr>
          <w:sz w:val="24"/>
          <w:szCs w:val="24"/>
        </w:rPr>
        <w:t>Bootea</w:t>
      </w:r>
      <w:proofErr w:type="spellEnd"/>
      <w:r w:rsidRPr="00BA467A">
        <w:rPr>
          <w:sz w:val="24"/>
          <w:szCs w:val="24"/>
        </w:rPr>
        <w:t xml:space="preserve"> found itself under criticism after its </w:t>
      </w:r>
      <w:r>
        <w:rPr>
          <w:sz w:val="24"/>
          <w:szCs w:val="24"/>
        </w:rPr>
        <w:t>de</w:t>
      </w:r>
      <w:r w:rsidRPr="00BA467A">
        <w:rPr>
          <w:sz w:val="24"/>
          <w:szCs w:val="24"/>
        </w:rPr>
        <w:t xml:space="preserve">tox teas were </w:t>
      </w:r>
      <w:r>
        <w:rPr>
          <w:sz w:val="24"/>
          <w:szCs w:val="24"/>
        </w:rPr>
        <w:t xml:space="preserve">linked to </w:t>
      </w:r>
      <w:r w:rsidRPr="00BA467A">
        <w:rPr>
          <w:sz w:val="24"/>
          <w:szCs w:val="24"/>
        </w:rPr>
        <w:t>a string of accidental pregnancies</w:t>
      </w:r>
      <w:r>
        <w:rPr>
          <w:sz w:val="24"/>
          <w:szCs w:val="24"/>
        </w:rPr>
        <w:t xml:space="preserve"> because</w:t>
      </w:r>
      <w:r w:rsidRPr="00BA467A">
        <w:rPr>
          <w:sz w:val="24"/>
          <w:szCs w:val="24"/>
        </w:rPr>
        <w:t xml:space="preserve"> its “laxative effect” can stop the contraceptive pill from working</w:t>
      </w:r>
      <w:r>
        <w:rPr>
          <w:sz w:val="24"/>
          <w:szCs w:val="24"/>
        </w:rPr>
        <w:t>.</w:t>
      </w:r>
      <w:r>
        <w:rPr>
          <w:rStyle w:val="FootnoteReference"/>
          <w:sz w:val="24"/>
          <w:szCs w:val="24"/>
        </w:rPr>
        <w:footnoteReference w:id="14"/>
      </w:r>
      <w:r>
        <w:rPr>
          <w:sz w:val="24"/>
          <w:szCs w:val="24"/>
        </w:rPr>
        <w:t xml:space="preserve"> Additionally, s</w:t>
      </w:r>
      <w:r w:rsidRPr="00453CCB">
        <w:rPr>
          <w:sz w:val="24"/>
          <w:szCs w:val="24"/>
        </w:rPr>
        <w:t>timulants such as caffeine</w:t>
      </w:r>
      <w:r>
        <w:rPr>
          <w:sz w:val="24"/>
          <w:szCs w:val="24"/>
        </w:rPr>
        <w:t xml:space="preserve"> </w:t>
      </w:r>
      <w:r w:rsidRPr="00453CCB">
        <w:rPr>
          <w:sz w:val="24"/>
          <w:szCs w:val="24"/>
        </w:rPr>
        <w:t>can cause nausea, rapid heartbeat</w:t>
      </w:r>
      <w:r>
        <w:rPr>
          <w:sz w:val="24"/>
          <w:szCs w:val="24"/>
        </w:rPr>
        <w:t>,</w:t>
      </w:r>
      <w:r w:rsidRPr="00453CCB">
        <w:rPr>
          <w:sz w:val="24"/>
          <w:szCs w:val="24"/>
        </w:rPr>
        <w:t xml:space="preserve"> and vomiting when ingested in large amounts</w:t>
      </w:r>
      <w:r>
        <w:rPr>
          <w:sz w:val="24"/>
          <w:szCs w:val="24"/>
        </w:rPr>
        <w:t xml:space="preserve">, and </w:t>
      </w:r>
      <w:proofErr w:type="spellStart"/>
      <w:r>
        <w:rPr>
          <w:sz w:val="24"/>
          <w:szCs w:val="24"/>
        </w:rPr>
        <w:t>s</w:t>
      </w:r>
      <w:r w:rsidRPr="00453CCB">
        <w:rPr>
          <w:sz w:val="24"/>
          <w:szCs w:val="24"/>
        </w:rPr>
        <w:t>enna</w:t>
      </w:r>
      <w:proofErr w:type="spellEnd"/>
      <w:r w:rsidRPr="00453CCB">
        <w:rPr>
          <w:sz w:val="24"/>
          <w:szCs w:val="24"/>
        </w:rPr>
        <w:t xml:space="preserve"> has been linked to liver damage when consumed in high doses over long periods of time</w:t>
      </w:r>
      <w:r>
        <w:rPr>
          <w:sz w:val="24"/>
          <w:szCs w:val="24"/>
        </w:rPr>
        <w:t>.</w:t>
      </w:r>
      <w:r>
        <w:rPr>
          <w:rStyle w:val="FootnoteReference"/>
          <w:sz w:val="24"/>
          <w:szCs w:val="24"/>
        </w:rPr>
        <w:footnoteReference w:id="15"/>
      </w:r>
      <w:r>
        <w:rPr>
          <w:sz w:val="24"/>
          <w:szCs w:val="24"/>
        </w:rPr>
        <w:t xml:space="preserve"> There are also concerns over the regulation and oversight of detox teas. D</w:t>
      </w:r>
      <w:r w:rsidRPr="00453CCB">
        <w:rPr>
          <w:sz w:val="24"/>
          <w:szCs w:val="24"/>
        </w:rPr>
        <w:t>etox teas are often regulated like dietary supplements</w:t>
      </w:r>
      <w:r>
        <w:rPr>
          <w:sz w:val="24"/>
          <w:szCs w:val="24"/>
        </w:rPr>
        <w:t xml:space="preserve">, which permits </w:t>
      </w:r>
      <w:r w:rsidRPr="00453CCB">
        <w:rPr>
          <w:sz w:val="24"/>
          <w:szCs w:val="24"/>
        </w:rPr>
        <w:t>loose</w:t>
      </w:r>
      <w:r>
        <w:rPr>
          <w:sz w:val="24"/>
          <w:szCs w:val="24"/>
        </w:rPr>
        <w:t>r oversight and regulations by the FDA when compared to FDA-approved medications.</w:t>
      </w:r>
      <w:r>
        <w:rPr>
          <w:rStyle w:val="FootnoteReference"/>
          <w:sz w:val="24"/>
          <w:szCs w:val="24"/>
        </w:rPr>
        <w:footnoteReference w:id="16"/>
      </w:r>
      <w:r>
        <w:rPr>
          <w:sz w:val="24"/>
          <w:szCs w:val="24"/>
        </w:rPr>
        <w:t xml:space="preserve"> Therefore,</w:t>
      </w:r>
      <w:r w:rsidRPr="00453CCB">
        <w:rPr>
          <w:sz w:val="24"/>
          <w:szCs w:val="24"/>
        </w:rPr>
        <w:t xml:space="preserve"> consumers </w:t>
      </w:r>
      <w:r w:rsidR="00AF3D03">
        <w:rPr>
          <w:sz w:val="24"/>
          <w:szCs w:val="24"/>
        </w:rPr>
        <w:t>cannot</w:t>
      </w:r>
      <w:r w:rsidRPr="00453CCB">
        <w:rPr>
          <w:sz w:val="24"/>
          <w:szCs w:val="24"/>
        </w:rPr>
        <w:t xml:space="preserve"> always rely on the label for correct information about </w:t>
      </w:r>
      <w:r>
        <w:rPr>
          <w:sz w:val="24"/>
          <w:szCs w:val="24"/>
        </w:rPr>
        <w:t>detox tea ingredients</w:t>
      </w:r>
      <w:r w:rsidRPr="00453CCB">
        <w:rPr>
          <w:sz w:val="24"/>
          <w:szCs w:val="24"/>
        </w:rPr>
        <w:t>.</w:t>
      </w:r>
      <w:r>
        <w:rPr>
          <w:rStyle w:val="FootnoteReference"/>
          <w:sz w:val="24"/>
          <w:szCs w:val="24"/>
        </w:rPr>
        <w:footnoteReference w:id="17"/>
      </w:r>
    </w:p>
    <w:p w14:paraId="33659913" w14:textId="3202C7C7" w:rsidR="00DE1F73" w:rsidRDefault="00DE1F73" w:rsidP="00DE1F73">
      <w:pPr>
        <w:spacing w:after="0" w:line="480" w:lineRule="auto"/>
        <w:ind w:firstLine="720"/>
        <w:contextualSpacing/>
        <w:jc w:val="both"/>
        <w:rPr>
          <w:sz w:val="24"/>
          <w:szCs w:val="24"/>
        </w:rPr>
      </w:pPr>
      <w:r>
        <w:rPr>
          <w:sz w:val="24"/>
          <w:szCs w:val="24"/>
        </w:rPr>
        <w:t>The use of detox teas can go hand-in-hand with</w:t>
      </w:r>
      <w:r w:rsidR="00622050">
        <w:rPr>
          <w:sz w:val="24"/>
          <w:szCs w:val="24"/>
        </w:rPr>
        <w:t xml:space="preserve"> the occurrence of eating disorders</w:t>
      </w:r>
      <w:r>
        <w:rPr>
          <w:sz w:val="24"/>
          <w:szCs w:val="24"/>
        </w:rPr>
        <w:t>. According to the American Psychiatric Association (APA)</w:t>
      </w:r>
      <w:r w:rsidR="00622050">
        <w:rPr>
          <w:sz w:val="24"/>
          <w:szCs w:val="24"/>
        </w:rPr>
        <w:t>, “e</w:t>
      </w:r>
      <w:r w:rsidR="00622050" w:rsidRPr="00622050">
        <w:rPr>
          <w:sz w:val="24"/>
          <w:szCs w:val="24"/>
        </w:rPr>
        <w:t>ating disorders are illnesses in which the people experience severe disturbances in their eating behaviors and</w:t>
      </w:r>
      <w:r w:rsidR="00622050">
        <w:rPr>
          <w:sz w:val="24"/>
          <w:szCs w:val="24"/>
        </w:rPr>
        <w:t xml:space="preserve"> related thoughts and emotions.”</w:t>
      </w:r>
      <w:r w:rsidR="00622050">
        <w:rPr>
          <w:rStyle w:val="FootnoteReference"/>
          <w:sz w:val="24"/>
          <w:szCs w:val="24"/>
        </w:rPr>
        <w:footnoteReference w:id="18"/>
      </w:r>
      <w:r w:rsidR="00622050">
        <w:rPr>
          <w:sz w:val="24"/>
          <w:szCs w:val="24"/>
        </w:rPr>
        <w:t xml:space="preserve"> The three main types of eating disorders include anorexia nervosa, bulimia nervosa, and binge eating disorder.</w:t>
      </w:r>
      <w:r w:rsidR="00622050">
        <w:rPr>
          <w:rStyle w:val="FootnoteReference"/>
          <w:sz w:val="24"/>
          <w:szCs w:val="24"/>
        </w:rPr>
        <w:footnoteReference w:id="19"/>
      </w:r>
      <w:r w:rsidR="00622050">
        <w:rPr>
          <w:sz w:val="24"/>
          <w:szCs w:val="24"/>
        </w:rPr>
        <w:t xml:space="preserve"> Individuals with anorexia nervosa and bulimia nervosa tend to be extremely critical of themselves and their bodies, and typically see themselves as overweight or having an undesirable weight even if they are at a healthy weight or are underweight.</w:t>
      </w:r>
      <w:r w:rsidR="00622050">
        <w:rPr>
          <w:rStyle w:val="FootnoteReference"/>
          <w:sz w:val="24"/>
          <w:szCs w:val="24"/>
        </w:rPr>
        <w:footnoteReference w:id="20"/>
      </w:r>
      <w:r w:rsidR="00622050">
        <w:rPr>
          <w:sz w:val="24"/>
          <w:szCs w:val="24"/>
        </w:rPr>
        <w:t xml:space="preserve"> Fear of gaining weight can impact every facet of their lives, and, without treatment, those with eating disorders may experience malnutrition, heart problems, and other potentially fatal conditions.</w:t>
      </w:r>
      <w:r w:rsidR="00622050">
        <w:rPr>
          <w:rStyle w:val="FootnoteReference"/>
          <w:sz w:val="24"/>
          <w:szCs w:val="24"/>
        </w:rPr>
        <w:footnoteReference w:id="21"/>
      </w:r>
      <w:r w:rsidR="001C5992">
        <w:rPr>
          <w:sz w:val="24"/>
          <w:szCs w:val="24"/>
        </w:rPr>
        <w:t xml:space="preserve"> Binge eating disorder is characterized by recurrent binge eating episodes </w:t>
      </w:r>
      <w:r w:rsidR="004B5323">
        <w:rPr>
          <w:sz w:val="24"/>
          <w:szCs w:val="24"/>
        </w:rPr>
        <w:t xml:space="preserve">and, unlike bulimia nervosa, episodes are not </w:t>
      </w:r>
      <w:r w:rsidR="00152DDE">
        <w:rPr>
          <w:sz w:val="24"/>
          <w:szCs w:val="24"/>
        </w:rPr>
        <w:t xml:space="preserve">necessarily </w:t>
      </w:r>
      <w:r w:rsidR="004B5323">
        <w:rPr>
          <w:sz w:val="24"/>
          <w:szCs w:val="24"/>
        </w:rPr>
        <w:t>followed by purging, excessive exercise, or fasting.</w:t>
      </w:r>
      <w:r w:rsidR="004B5323">
        <w:rPr>
          <w:rStyle w:val="FootnoteReference"/>
          <w:sz w:val="24"/>
          <w:szCs w:val="24"/>
        </w:rPr>
        <w:footnoteReference w:id="22"/>
      </w:r>
    </w:p>
    <w:p w14:paraId="0D382C85" w14:textId="44BE2B49" w:rsidR="00E75F69" w:rsidRDefault="00432D54" w:rsidP="00DE1F73">
      <w:pPr>
        <w:spacing w:after="0" w:line="480" w:lineRule="auto"/>
        <w:ind w:firstLine="720"/>
        <w:contextualSpacing/>
        <w:jc w:val="both"/>
        <w:rPr>
          <w:sz w:val="24"/>
          <w:szCs w:val="24"/>
        </w:rPr>
      </w:pPr>
      <w:r>
        <w:rPr>
          <w:sz w:val="24"/>
          <w:szCs w:val="24"/>
        </w:rPr>
        <w:t>According to the National Association of Anorexia Nervosa and Associated Disorders (ANAD), at least 30 million people of all ages and genders suffer from an eating disorder in the United States.</w:t>
      </w:r>
      <w:r>
        <w:rPr>
          <w:rStyle w:val="FootnoteReference"/>
          <w:sz w:val="24"/>
          <w:szCs w:val="24"/>
        </w:rPr>
        <w:footnoteReference w:id="23"/>
      </w:r>
      <w:r>
        <w:rPr>
          <w:sz w:val="24"/>
          <w:szCs w:val="24"/>
        </w:rPr>
        <w:t xml:space="preserve"> </w:t>
      </w:r>
      <w:r w:rsidR="00622050">
        <w:rPr>
          <w:sz w:val="24"/>
          <w:szCs w:val="24"/>
        </w:rPr>
        <w:t>According to</w:t>
      </w:r>
      <w:r w:rsidR="004B5323">
        <w:rPr>
          <w:sz w:val="24"/>
          <w:szCs w:val="24"/>
        </w:rPr>
        <w:t xml:space="preserve"> data from</w:t>
      </w:r>
      <w:r w:rsidR="00622050">
        <w:rPr>
          <w:sz w:val="24"/>
          <w:szCs w:val="24"/>
        </w:rPr>
        <w:t xml:space="preserve"> the National Institute of Mental Health, </w:t>
      </w:r>
      <w:r w:rsidR="004B5323">
        <w:rPr>
          <w:sz w:val="24"/>
          <w:szCs w:val="24"/>
        </w:rPr>
        <w:t>prevalence of bulimia nervosa is five times higher among adult females (0.5 percent) than adult males (0.1 percent), and the lifetime prevalence of anorexia nervosa was three times higher among adult females (0.9 percent) than adult males (0.3 percent).</w:t>
      </w:r>
      <w:r w:rsidR="004B5323">
        <w:rPr>
          <w:rStyle w:val="FootnoteReference"/>
          <w:sz w:val="24"/>
          <w:szCs w:val="24"/>
        </w:rPr>
        <w:footnoteReference w:id="24"/>
      </w:r>
      <w:r w:rsidR="004B5323">
        <w:rPr>
          <w:sz w:val="24"/>
          <w:szCs w:val="24"/>
        </w:rPr>
        <w:t xml:space="preserve"> </w:t>
      </w:r>
      <w:r w:rsidR="00EA16A9">
        <w:rPr>
          <w:sz w:val="24"/>
          <w:szCs w:val="24"/>
        </w:rPr>
        <w:t>Eating disorders are more likely to affect adolescents, or individuals ages 13 to 18</w:t>
      </w:r>
      <w:r w:rsidR="00DD4E09">
        <w:rPr>
          <w:sz w:val="24"/>
          <w:szCs w:val="24"/>
        </w:rPr>
        <w:t>, particularly adolescent women.</w:t>
      </w:r>
      <w:r w:rsidR="00EA16A9">
        <w:rPr>
          <w:rStyle w:val="FootnoteReference"/>
          <w:sz w:val="24"/>
          <w:szCs w:val="24"/>
        </w:rPr>
        <w:footnoteReference w:id="25"/>
      </w:r>
      <w:r w:rsidR="00EA16A9">
        <w:rPr>
          <w:sz w:val="24"/>
          <w:szCs w:val="24"/>
        </w:rPr>
        <w:t xml:space="preserve"> </w:t>
      </w:r>
      <w:r>
        <w:rPr>
          <w:sz w:val="24"/>
          <w:szCs w:val="24"/>
        </w:rPr>
        <w:t>The lifetime prevalence of e</w:t>
      </w:r>
      <w:r w:rsidR="00DD4E09">
        <w:rPr>
          <w:sz w:val="24"/>
          <w:szCs w:val="24"/>
        </w:rPr>
        <w:t>ating disorders w</w:t>
      </w:r>
      <w:r w:rsidR="0050255F">
        <w:rPr>
          <w:sz w:val="24"/>
          <w:szCs w:val="24"/>
        </w:rPr>
        <w:t>as</w:t>
      </w:r>
      <w:r w:rsidR="00DD4E09">
        <w:rPr>
          <w:sz w:val="24"/>
          <w:szCs w:val="24"/>
        </w:rPr>
        <w:t xml:space="preserve"> twice </w:t>
      </w:r>
      <w:r>
        <w:rPr>
          <w:sz w:val="24"/>
          <w:szCs w:val="24"/>
        </w:rPr>
        <w:t xml:space="preserve">as likely </w:t>
      </w:r>
      <w:r w:rsidR="0050255F">
        <w:rPr>
          <w:sz w:val="24"/>
          <w:szCs w:val="24"/>
        </w:rPr>
        <w:t>for</w:t>
      </w:r>
      <w:r w:rsidR="00DD4E09">
        <w:rPr>
          <w:sz w:val="24"/>
          <w:szCs w:val="24"/>
        </w:rPr>
        <w:t xml:space="preserve"> adolescent females (3.8 percent) than adolescent males (1.5 percent).</w:t>
      </w:r>
      <w:r>
        <w:rPr>
          <w:rStyle w:val="FootnoteReference"/>
          <w:sz w:val="24"/>
          <w:szCs w:val="24"/>
        </w:rPr>
        <w:footnoteReference w:id="26"/>
      </w:r>
      <w:r w:rsidR="00DD4E09">
        <w:rPr>
          <w:sz w:val="24"/>
          <w:szCs w:val="24"/>
        </w:rPr>
        <w:t xml:space="preserve"> </w:t>
      </w:r>
      <w:r>
        <w:rPr>
          <w:sz w:val="24"/>
          <w:szCs w:val="24"/>
        </w:rPr>
        <w:t>A majority of adults with anorexia nervosa and bulimia nervosa were diagnosed with another disorder, including anxiety disorder, mood disorder, impulse control disorder, and substance use disorder.</w:t>
      </w:r>
      <w:r>
        <w:rPr>
          <w:rStyle w:val="FootnoteReference"/>
          <w:sz w:val="24"/>
          <w:szCs w:val="24"/>
        </w:rPr>
        <w:footnoteReference w:id="27"/>
      </w:r>
      <w:r w:rsidR="001845E0">
        <w:rPr>
          <w:sz w:val="24"/>
          <w:szCs w:val="24"/>
        </w:rPr>
        <w:t xml:space="preserve"> According to a 2012 study of eating disorders published in Current Psychiatry Reports, e</w:t>
      </w:r>
      <w:r>
        <w:rPr>
          <w:sz w:val="24"/>
          <w:szCs w:val="24"/>
        </w:rPr>
        <w:t>ating disorders have the highest mortality rate of any mental illness</w:t>
      </w:r>
      <w:r w:rsidR="001845E0">
        <w:rPr>
          <w:sz w:val="24"/>
          <w:szCs w:val="24"/>
        </w:rPr>
        <w:t>.</w:t>
      </w:r>
      <w:r w:rsidR="001845E0">
        <w:rPr>
          <w:rStyle w:val="FootnoteReference"/>
          <w:sz w:val="24"/>
          <w:szCs w:val="24"/>
        </w:rPr>
        <w:footnoteReference w:id="28"/>
      </w:r>
    </w:p>
    <w:p w14:paraId="7FFF8E56" w14:textId="44056BBE" w:rsidR="003975FA" w:rsidRPr="003975FA" w:rsidRDefault="003975FA" w:rsidP="003975FA">
      <w:pPr>
        <w:spacing w:after="0" w:line="480" w:lineRule="auto"/>
        <w:contextualSpacing/>
        <w:jc w:val="both"/>
        <w:rPr>
          <w:i/>
          <w:sz w:val="24"/>
          <w:szCs w:val="24"/>
        </w:rPr>
      </w:pPr>
      <w:r>
        <w:rPr>
          <w:i/>
          <w:sz w:val="24"/>
          <w:szCs w:val="24"/>
        </w:rPr>
        <w:t xml:space="preserve">The Need for Inclusive Research, Treatment, and Discussions  </w:t>
      </w:r>
    </w:p>
    <w:p w14:paraId="41159F65" w14:textId="181AFFA9" w:rsidR="00360604" w:rsidRDefault="00235FE1" w:rsidP="004B797F">
      <w:pPr>
        <w:spacing w:after="0" w:line="480" w:lineRule="auto"/>
        <w:ind w:firstLine="720"/>
        <w:contextualSpacing/>
        <w:jc w:val="both"/>
        <w:rPr>
          <w:sz w:val="24"/>
          <w:szCs w:val="24"/>
        </w:rPr>
      </w:pPr>
      <w:r>
        <w:rPr>
          <w:sz w:val="24"/>
          <w:szCs w:val="24"/>
        </w:rPr>
        <w:t>Individu</w:t>
      </w:r>
      <w:r w:rsidR="00360604">
        <w:rPr>
          <w:sz w:val="24"/>
          <w:szCs w:val="24"/>
        </w:rPr>
        <w:t>als</w:t>
      </w:r>
      <w:r>
        <w:rPr>
          <w:sz w:val="24"/>
          <w:szCs w:val="24"/>
        </w:rPr>
        <w:t xml:space="preserve"> note that the larger co</w:t>
      </w:r>
      <w:r w:rsidR="008A71D4">
        <w:rPr>
          <w:sz w:val="24"/>
          <w:szCs w:val="24"/>
        </w:rPr>
        <w:t>nversation around treatment lacks a social justice and inclusive lens.</w:t>
      </w:r>
      <w:r w:rsidR="008A71D4">
        <w:rPr>
          <w:rStyle w:val="FootnoteReference"/>
          <w:sz w:val="24"/>
          <w:szCs w:val="24"/>
        </w:rPr>
        <w:footnoteReference w:id="29"/>
      </w:r>
      <w:r w:rsidR="008A71D4">
        <w:rPr>
          <w:sz w:val="24"/>
          <w:szCs w:val="24"/>
        </w:rPr>
        <w:t xml:space="preserve"> SJ Thompson, a writer with lived experience</w:t>
      </w:r>
      <w:r w:rsidR="00D26223">
        <w:rPr>
          <w:sz w:val="24"/>
          <w:szCs w:val="24"/>
        </w:rPr>
        <w:t xml:space="preserve"> of seeking treatment for an eating disorder</w:t>
      </w:r>
      <w:r w:rsidR="008A71D4">
        <w:rPr>
          <w:sz w:val="24"/>
          <w:szCs w:val="24"/>
        </w:rPr>
        <w:t>, notes, “f</w:t>
      </w:r>
      <w:r w:rsidR="008A71D4" w:rsidRPr="008A71D4">
        <w:rPr>
          <w:sz w:val="24"/>
          <w:szCs w:val="24"/>
        </w:rPr>
        <w:t xml:space="preserve">rom financial access to </w:t>
      </w:r>
      <w:proofErr w:type="spellStart"/>
      <w:r w:rsidR="008A71D4" w:rsidRPr="008A71D4">
        <w:rPr>
          <w:sz w:val="24"/>
          <w:szCs w:val="24"/>
        </w:rPr>
        <w:t>fatphobia</w:t>
      </w:r>
      <w:proofErr w:type="spellEnd"/>
      <w:r w:rsidR="008A71D4" w:rsidRPr="008A71D4">
        <w:rPr>
          <w:sz w:val="24"/>
          <w:szCs w:val="24"/>
        </w:rPr>
        <w:t>, transphobia, racism, gender essentialism, the thin ideal, healthism, and more, when we don’t treat eating disorders as a social justice issue we leave the most marginalized, those suffering the most severely, out in the cold.</w:t>
      </w:r>
      <w:r w:rsidR="008A71D4">
        <w:rPr>
          <w:sz w:val="24"/>
          <w:szCs w:val="24"/>
        </w:rPr>
        <w:t>”</w:t>
      </w:r>
      <w:r w:rsidR="008A71D4">
        <w:rPr>
          <w:rStyle w:val="FootnoteReference"/>
          <w:sz w:val="24"/>
          <w:szCs w:val="24"/>
        </w:rPr>
        <w:footnoteReference w:id="30"/>
      </w:r>
      <w:r w:rsidR="008A71D4">
        <w:rPr>
          <w:sz w:val="24"/>
          <w:szCs w:val="24"/>
        </w:rPr>
        <w:t xml:space="preserve"> </w:t>
      </w:r>
      <w:r w:rsidR="004B797F">
        <w:rPr>
          <w:sz w:val="24"/>
          <w:szCs w:val="24"/>
        </w:rPr>
        <w:t>Since eating disorders have historically been associated with heterosexual, young, white, thin</w:t>
      </w:r>
      <w:r w:rsidR="00EE3A98">
        <w:rPr>
          <w:sz w:val="24"/>
          <w:szCs w:val="24"/>
        </w:rPr>
        <w:t>, cis-gender</w:t>
      </w:r>
      <w:r w:rsidR="004B797F">
        <w:rPr>
          <w:sz w:val="24"/>
          <w:szCs w:val="24"/>
        </w:rPr>
        <w:t xml:space="preserve"> females, people who fall outside of these identities may struggle to get the treatment that they need, including people of color and people who are not thin.</w:t>
      </w:r>
      <w:r w:rsidR="004B797F">
        <w:rPr>
          <w:rStyle w:val="FootnoteReference"/>
          <w:sz w:val="24"/>
          <w:szCs w:val="24"/>
        </w:rPr>
        <w:footnoteReference w:id="31"/>
      </w:r>
      <w:r w:rsidR="004B797F">
        <w:rPr>
          <w:sz w:val="24"/>
          <w:szCs w:val="24"/>
        </w:rPr>
        <w:t xml:space="preserve"> </w:t>
      </w:r>
    </w:p>
    <w:p w14:paraId="343D65AA" w14:textId="5E1B91F9" w:rsidR="00E81F79" w:rsidRDefault="00360604" w:rsidP="004B797F">
      <w:pPr>
        <w:spacing w:after="0" w:line="480" w:lineRule="auto"/>
        <w:ind w:firstLine="720"/>
        <w:contextualSpacing/>
        <w:jc w:val="both"/>
        <w:rPr>
          <w:sz w:val="24"/>
          <w:szCs w:val="24"/>
        </w:rPr>
      </w:pPr>
      <w:r>
        <w:rPr>
          <w:sz w:val="24"/>
          <w:szCs w:val="24"/>
        </w:rPr>
        <w:t xml:space="preserve">Issues with body image, including eating disorders and </w:t>
      </w:r>
      <w:proofErr w:type="spellStart"/>
      <w:r w:rsidR="002B6512">
        <w:rPr>
          <w:sz w:val="24"/>
          <w:szCs w:val="24"/>
        </w:rPr>
        <w:t>fatphobia</w:t>
      </w:r>
      <w:proofErr w:type="spellEnd"/>
      <w:r>
        <w:rPr>
          <w:sz w:val="24"/>
          <w:szCs w:val="24"/>
        </w:rPr>
        <w:t xml:space="preserve">, impact everyone. </w:t>
      </w:r>
      <w:proofErr w:type="spellStart"/>
      <w:r w:rsidR="002B6512">
        <w:rPr>
          <w:sz w:val="24"/>
          <w:szCs w:val="24"/>
        </w:rPr>
        <w:t>Fatphobia</w:t>
      </w:r>
      <w:proofErr w:type="spellEnd"/>
      <w:r w:rsidR="00A96FDB">
        <w:rPr>
          <w:sz w:val="24"/>
          <w:szCs w:val="24"/>
        </w:rPr>
        <w:t xml:space="preserve"> can be extremely detrimental to one’s health and access to quality health care, with studies showing harmful effects of </w:t>
      </w:r>
      <w:proofErr w:type="spellStart"/>
      <w:r w:rsidR="00A96FDB">
        <w:rPr>
          <w:sz w:val="24"/>
          <w:szCs w:val="24"/>
        </w:rPr>
        <w:t>sizeism</w:t>
      </w:r>
      <w:proofErr w:type="spellEnd"/>
      <w:r w:rsidR="00A96FDB">
        <w:rPr>
          <w:sz w:val="24"/>
          <w:szCs w:val="24"/>
        </w:rPr>
        <w:t xml:space="preserve">, including </w:t>
      </w:r>
      <w:proofErr w:type="spellStart"/>
      <w:r w:rsidR="00A96FDB">
        <w:rPr>
          <w:sz w:val="24"/>
          <w:szCs w:val="24"/>
        </w:rPr>
        <w:t>sizeism</w:t>
      </w:r>
      <w:proofErr w:type="spellEnd"/>
      <w:r w:rsidR="00A96FDB">
        <w:rPr>
          <w:sz w:val="24"/>
          <w:szCs w:val="24"/>
        </w:rPr>
        <w:t xml:space="preserve"> that can be experienced when seeking medical care, perpetrated by medical providers themselves.</w:t>
      </w:r>
      <w:r w:rsidR="00A96FDB">
        <w:rPr>
          <w:rStyle w:val="FootnoteReference"/>
          <w:sz w:val="24"/>
          <w:szCs w:val="24"/>
        </w:rPr>
        <w:footnoteReference w:id="32"/>
      </w:r>
      <w:r w:rsidR="00A96FDB">
        <w:rPr>
          <w:sz w:val="24"/>
          <w:szCs w:val="24"/>
        </w:rPr>
        <w:t xml:space="preserve"> </w:t>
      </w:r>
      <w:r>
        <w:rPr>
          <w:sz w:val="24"/>
          <w:szCs w:val="24"/>
        </w:rPr>
        <w:t xml:space="preserve">Sabrina Strings, author of </w:t>
      </w:r>
      <w:r>
        <w:rPr>
          <w:i/>
          <w:sz w:val="24"/>
          <w:szCs w:val="24"/>
        </w:rPr>
        <w:t xml:space="preserve">Fearing the Black Body: The Racial Origins of </w:t>
      </w:r>
      <w:r w:rsidR="002B6512">
        <w:rPr>
          <w:i/>
          <w:sz w:val="24"/>
          <w:szCs w:val="24"/>
        </w:rPr>
        <w:t>Fat</w:t>
      </w:r>
      <w:r w:rsidR="00067615">
        <w:rPr>
          <w:i/>
          <w:sz w:val="24"/>
          <w:szCs w:val="24"/>
        </w:rPr>
        <w:t xml:space="preserve"> P</w:t>
      </w:r>
      <w:r w:rsidR="002B6512">
        <w:rPr>
          <w:i/>
          <w:sz w:val="24"/>
          <w:szCs w:val="24"/>
        </w:rPr>
        <w:t>hobia</w:t>
      </w:r>
      <w:r>
        <w:rPr>
          <w:sz w:val="24"/>
          <w:szCs w:val="24"/>
        </w:rPr>
        <w:t xml:space="preserve">, found that </w:t>
      </w:r>
      <w:proofErr w:type="spellStart"/>
      <w:r w:rsidR="002B6512">
        <w:rPr>
          <w:sz w:val="24"/>
          <w:szCs w:val="24"/>
        </w:rPr>
        <w:t>fatphobia</w:t>
      </w:r>
      <w:proofErr w:type="spellEnd"/>
      <w:r>
        <w:rPr>
          <w:sz w:val="24"/>
          <w:szCs w:val="24"/>
        </w:rPr>
        <w:t xml:space="preserve"> has a history rooted in racism.</w:t>
      </w:r>
      <w:r>
        <w:rPr>
          <w:rStyle w:val="FootnoteReference"/>
          <w:sz w:val="24"/>
          <w:szCs w:val="24"/>
        </w:rPr>
        <w:footnoteReference w:id="33"/>
      </w:r>
      <w:r>
        <w:rPr>
          <w:sz w:val="24"/>
          <w:szCs w:val="24"/>
        </w:rPr>
        <w:t xml:space="preserve"> Her research found that, as a result of the trans-Atlantic slave trade and Protestantism, “b</w:t>
      </w:r>
      <w:r w:rsidRPr="00E81F79">
        <w:rPr>
          <w:sz w:val="24"/>
          <w:szCs w:val="24"/>
        </w:rPr>
        <w:t>y the early 19th century, particularly in the U.S., fatness was deemed evidence of immorality and racial inferiority.</w:t>
      </w:r>
      <w:r>
        <w:rPr>
          <w:sz w:val="24"/>
          <w:szCs w:val="24"/>
        </w:rPr>
        <w:t>”</w:t>
      </w:r>
      <w:r>
        <w:rPr>
          <w:rStyle w:val="FootnoteReference"/>
          <w:sz w:val="24"/>
          <w:szCs w:val="24"/>
        </w:rPr>
        <w:footnoteReference w:id="34"/>
      </w:r>
      <w:r>
        <w:rPr>
          <w:sz w:val="24"/>
          <w:szCs w:val="24"/>
        </w:rPr>
        <w:t xml:space="preserve"> </w:t>
      </w:r>
      <w:r w:rsidR="00D331B5">
        <w:rPr>
          <w:sz w:val="24"/>
          <w:szCs w:val="24"/>
        </w:rPr>
        <w:t xml:space="preserve">Notably, the National Institute of Mental Health data </w:t>
      </w:r>
      <w:r w:rsidR="00067615">
        <w:rPr>
          <w:sz w:val="24"/>
          <w:szCs w:val="24"/>
        </w:rPr>
        <w:t xml:space="preserve">on eating disorders </w:t>
      </w:r>
      <w:r w:rsidR="00D331B5">
        <w:rPr>
          <w:sz w:val="24"/>
          <w:szCs w:val="24"/>
        </w:rPr>
        <w:t>does not include information on the transgender, gender non-conforming, and gender non-binary (TGNCNB) community</w:t>
      </w:r>
      <w:r w:rsidR="00681130">
        <w:rPr>
          <w:sz w:val="24"/>
          <w:szCs w:val="24"/>
        </w:rPr>
        <w:t>, nor does it include information about race, disability, or oth</w:t>
      </w:r>
      <w:r w:rsidR="004B797F">
        <w:rPr>
          <w:sz w:val="24"/>
          <w:szCs w:val="24"/>
        </w:rPr>
        <w:t xml:space="preserve">er identifying characteristics. </w:t>
      </w:r>
      <w:r>
        <w:rPr>
          <w:sz w:val="24"/>
          <w:szCs w:val="24"/>
        </w:rPr>
        <w:t xml:space="preserve">Although studies have found that Black and </w:t>
      </w:r>
      <w:proofErr w:type="spellStart"/>
      <w:r>
        <w:rPr>
          <w:sz w:val="24"/>
          <w:szCs w:val="24"/>
        </w:rPr>
        <w:t>Latinx</w:t>
      </w:r>
      <w:proofErr w:type="spellEnd"/>
      <w:r>
        <w:rPr>
          <w:sz w:val="24"/>
          <w:szCs w:val="24"/>
        </w:rPr>
        <w:t xml:space="preserve"> adolescents are more likely to exhibit bulimic behavior, people of color, especially Black people, are significantly less likely to receive help for their eating issues.</w:t>
      </w:r>
      <w:r>
        <w:rPr>
          <w:rStyle w:val="FootnoteReference"/>
          <w:sz w:val="24"/>
          <w:szCs w:val="24"/>
        </w:rPr>
        <w:footnoteReference w:id="35"/>
      </w:r>
      <w:r>
        <w:rPr>
          <w:sz w:val="24"/>
          <w:szCs w:val="24"/>
        </w:rPr>
        <w:t xml:space="preserve"> </w:t>
      </w:r>
      <w:r w:rsidR="00E42B02">
        <w:rPr>
          <w:sz w:val="24"/>
          <w:szCs w:val="24"/>
        </w:rPr>
        <w:t>Currently,</w:t>
      </w:r>
      <w:r w:rsidR="00E81F79">
        <w:rPr>
          <w:sz w:val="24"/>
          <w:szCs w:val="24"/>
        </w:rPr>
        <w:t xml:space="preserve"> there is very little research regarding body image and disordered eating for people living with disabilities</w:t>
      </w:r>
      <w:r w:rsidR="00E42B02">
        <w:rPr>
          <w:sz w:val="24"/>
          <w:szCs w:val="24"/>
        </w:rPr>
        <w:t>, although we know that eating disorders impact everyone</w:t>
      </w:r>
      <w:r w:rsidR="00E81F79">
        <w:rPr>
          <w:sz w:val="24"/>
          <w:szCs w:val="24"/>
        </w:rPr>
        <w:t>.</w:t>
      </w:r>
      <w:r w:rsidR="00E81F79">
        <w:rPr>
          <w:rStyle w:val="FootnoteReference"/>
          <w:sz w:val="24"/>
          <w:szCs w:val="24"/>
        </w:rPr>
        <w:footnoteReference w:id="36"/>
      </w:r>
      <w:r w:rsidR="00E81F79">
        <w:rPr>
          <w:sz w:val="24"/>
          <w:szCs w:val="24"/>
        </w:rPr>
        <w:t xml:space="preserve"> </w:t>
      </w:r>
      <w:r>
        <w:rPr>
          <w:sz w:val="24"/>
          <w:szCs w:val="24"/>
        </w:rPr>
        <w:t>Of course, all of these identities can be intersecting.</w:t>
      </w:r>
    </w:p>
    <w:p w14:paraId="0A7902DA" w14:textId="481C5E03" w:rsidR="00E81F79" w:rsidRPr="00E81F79" w:rsidRDefault="00E81F79" w:rsidP="00E81F79">
      <w:pPr>
        <w:spacing w:after="0" w:line="480" w:lineRule="auto"/>
        <w:contextualSpacing/>
        <w:jc w:val="both"/>
        <w:rPr>
          <w:i/>
          <w:sz w:val="24"/>
          <w:szCs w:val="24"/>
        </w:rPr>
      </w:pPr>
      <w:r>
        <w:rPr>
          <w:i/>
          <w:sz w:val="24"/>
          <w:szCs w:val="24"/>
        </w:rPr>
        <w:t xml:space="preserve">The TGNCNB Community </w:t>
      </w:r>
    </w:p>
    <w:p w14:paraId="43C2A79A" w14:textId="0B42530E" w:rsidR="00681130" w:rsidRDefault="00F13A0B" w:rsidP="004B797F">
      <w:pPr>
        <w:spacing w:after="0" w:line="480" w:lineRule="auto"/>
        <w:ind w:firstLine="720"/>
        <w:contextualSpacing/>
        <w:jc w:val="both"/>
        <w:rPr>
          <w:sz w:val="24"/>
          <w:szCs w:val="24"/>
        </w:rPr>
      </w:pPr>
      <w:r w:rsidRPr="00F13A0B">
        <w:rPr>
          <w:sz w:val="24"/>
          <w:szCs w:val="24"/>
        </w:rPr>
        <w:t>TGNC</w:t>
      </w:r>
      <w:r>
        <w:rPr>
          <w:sz w:val="24"/>
          <w:szCs w:val="24"/>
        </w:rPr>
        <w:t>NB</w:t>
      </w:r>
      <w:r w:rsidRPr="00F13A0B">
        <w:rPr>
          <w:sz w:val="24"/>
          <w:szCs w:val="24"/>
        </w:rPr>
        <w:t xml:space="preserve"> individuals are more likely to experience discrimination, marginalization, and poor physical and mental health outcomes, which can result in a variety of physical and mental health conditions.</w:t>
      </w:r>
      <w:r w:rsidRPr="00F13A0B">
        <w:rPr>
          <w:sz w:val="24"/>
          <w:szCs w:val="24"/>
          <w:vertAlign w:val="superscript"/>
        </w:rPr>
        <w:footnoteReference w:id="37"/>
      </w:r>
      <w:r w:rsidRPr="00F13A0B">
        <w:rPr>
          <w:sz w:val="24"/>
          <w:szCs w:val="24"/>
        </w:rPr>
        <w:t xml:space="preserve"> When surveyed by The National Center for Transgender Equality, TGNC</w:t>
      </w:r>
      <w:r>
        <w:rPr>
          <w:sz w:val="24"/>
          <w:szCs w:val="24"/>
        </w:rPr>
        <w:t>NB</w:t>
      </w:r>
      <w:r w:rsidRPr="00F13A0B">
        <w:rPr>
          <w:sz w:val="24"/>
          <w:szCs w:val="24"/>
        </w:rPr>
        <w:t xml:space="preserve"> respondents experienc</w:t>
      </w:r>
      <w:r w:rsidR="00681130">
        <w:rPr>
          <w:sz w:val="24"/>
          <w:szCs w:val="24"/>
        </w:rPr>
        <w:t xml:space="preserve">ed </w:t>
      </w:r>
      <w:r w:rsidRPr="00F13A0B">
        <w:rPr>
          <w:sz w:val="24"/>
          <w:szCs w:val="24"/>
        </w:rPr>
        <w:t>serious psychological distress at a rate almost eight times the rate of the U.S. population.</w:t>
      </w:r>
      <w:r w:rsidRPr="00F13A0B">
        <w:rPr>
          <w:sz w:val="24"/>
          <w:szCs w:val="24"/>
          <w:vertAlign w:val="superscript"/>
        </w:rPr>
        <w:footnoteReference w:id="38"/>
      </w:r>
      <w:r w:rsidRPr="00F13A0B">
        <w:rPr>
          <w:sz w:val="24"/>
          <w:szCs w:val="24"/>
        </w:rPr>
        <w:t xml:space="preserve"> </w:t>
      </w:r>
      <w:r w:rsidR="00F56E01">
        <w:rPr>
          <w:sz w:val="24"/>
          <w:szCs w:val="24"/>
        </w:rPr>
        <w:t xml:space="preserve">Additionally, </w:t>
      </w:r>
      <w:r w:rsidR="00F56E01" w:rsidRPr="00F56E01">
        <w:rPr>
          <w:sz w:val="24"/>
          <w:szCs w:val="24"/>
        </w:rPr>
        <w:t>one-third of respondents who saw a health care provider during the year prior to completing the survey had at least one negative experience related to being transgender, such as being verbally harassed, physically or sexually assaulted, or refused treatment, because of their gender identity.</w:t>
      </w:r>
      <w:r w:rsidR="00F56E01">
        <w:rPr>
          <w:rStyle w:val="FootnoteReference"/>
          <w:sz w:val="24"/>
          <w:szCs w:val="24"/>
        </w:rPr>
        <w:footnoteReference w:id="39"/>
      </w:r>
      <w:r w:rsidR="00F56E01" w:rsidRPr="00F56E01">
        <w:rPr>
          <w:sz w:val="24"/>
          <w:szCs w:val="24"/>
        </w:rPr>
        <w:t xml:space="preserve"> Nearly a quarter of respondents did not seek needed health care in the year prior to completing the survey due to fear of being mistreated as a transgender person, and 33</w:t>
      </w:r>
      <w:r w:rsidR="00F56E01">
        <w:rPr>
          <w:sz w:val="24"/>
          <w:szCs w:val="24"/>
        </w:rPr>
        <w:t xml:space="preserve"> percent</w:t>
      </w:r>
      <w:r w:rsidR="00F56E01" w:rsidRPr="00F56E01">
        <w:rPr>
          <w:sz w:val="24"/>
          <w:szCs w:val="24"/>
        </w:rPr>
        <w:t xml:space="preserve"> did not seek needed health care because they could not afford it.</w:t>
      </w:r>
      <w:r w:rsidR="00F56E01">
        <w:rPr>
          <w:rStyle w:val="FootnoteReference"/>
          <w:sz w:val="24"/>
          <w:szCs w:val="24"/>
        </w:rPr>
        <w:footnoteReference w:id="40"/>
      </w:r>
      <w:r w:rsidR="00F56E01" w:rsidRPr="00F56E01">
        <w:rPr>
          <w:sz w:val="24"/>
          <w:szCs w:val="24"/>
        </w:rPr>
        <w:t xml:space="preserve"> </w:t>
      </w:r>
    </w:p>
    <w:p w14:paraId="3F9F5843" w14:textId="02EEF178" w:rsidR="00432D54" w:rsidRDefault="0031544D" w:rsidP="00DE1F73">
      <w:pPr>
        <w:spacing w:after="0" w:line="480" w:lineRule="auto"/>
        <w:ind w:firstLine="720"/>
        <w:contextualSpacing/>
        <w:jc w:val="both"/>
        <w:rPr>
          <w:sz w:val="24"/>
          <w:szCs w:val="24"/>
        </w:rPr>
      </w:pPr>
      <w:r>
        <w:rPr>
          <w:sz w:val="24"/>
          <w:szCs w:val="24"/>
        </w:rPr>
        <w:t xml:space="preserve">While not all individuals in the TGNCNB community have gender dysphoria or a negative body image, those </w:t>
      </w:r>
      <w:r w:rsidR="00AF3D03">
        <w:rPr>
          <w:sz w:val="24"/>
          <w:szCs w:val="24"/>
        </w:rPr>
        <w:t xml:space="preserve">who </w:t>
      </w:r>
      <w:r>
        <w:rPr>
          <w:sz w:val="24"/>
          <w:szCs w:val="24"/>
        </w:rPr>
        <w:t>do may have eating disorders that are connected to their relationship with their gender and their body.</w:t>
      </w:r>
      <w:r>
        <w:rPr>
          <w:rStyle w:val="FootnoteReference"/>
          <w:sz w:val="24"/>
          <w:szCs w:val="24"/>
        </w:rPr>
        <w:footnoteReference w:id="41"/>
      </w:r>
      <w:r>
        <w:rPr>
          <w:sz w:val="24"/>
          <w:szCs w:val="24"/>
        </w:rPr>
        <w:t xml:space="preserve"> Individuals in the TGNCNB community </w:t>
      </w:r>
      <w:r w:rsidR="003C1396">
        <w:rPr>
          <w:sz w:val="24"/>
          <w:szCs w:val="24"/>
        </w:rPr>
        <w:t>may take steps to conform their body to their gender identity; for example, a person may want to be underweight or overweight to appear androgynous, or they may want to lose weight to eliminate their curves.</w:t>
      </w:r>
      <w:r w:rsidR="003C1396">
        <w:rPr>
          <w:rStyle w:val="FootnoteReference"/>
          <w:sz w:val="24"/>
          <w:szCs w:val="24"/>
        </w:rPr>
        <w:footnoteReference w:id="42"/>
      </w:r>
      <w:r w:rsidR="00AF166B">
        <w:rPr>
          <w:sz w:val="24"/>
          <w:szCs w:val="24"/>
        </w:rPr>
        <w:t xml:space="preserve"> A 2015 study found that </w:t>
      </w:r>
      <w:r w:rsidR="001E6B91">
        <w:rPr>
          <w:sz w:val="24"/>
          <w:szCs w:val="24"/>
        </w:rPr>
        <w:t>college students</w:t>
      </w:r>
      <w:r w:rsidR="00AF166B">
        <w:rPr>
          <w:sz w:val="24"/>
          <w:szCs w:val="24"/>
        </w:rPr>
        <w:t xml:space="preserve"> who are transgender</w:t>
      </w:r>
      <w:r w:rsidR="001E6B91">
        <w:rPr>
          <w:sz w:val="24"/>
          <w:szCs w:val="24"/>
        </w:rPr>
        <w:t xml:space="preserve"> were four times more likely to report an eating disorder than their cisgender female counterparts.</w:t>
      </w:r>
      <w:r w:rsidR="001E6B91">
        <w:rPr>
          <w:rStyle w:val="FootnoteReference"/>
          <w:sz w:val="24"/>
          <w:szCs w:val="24"/>
        </w:rPr>
        <w:footnoteReference w:id="43"/>
      </w:r>
      <w:r w:rsidR="00AF166B">
        <w:rPr>
          <w:sz w:val="24"/>
          <w:szCs w:val="24"/>
        </w:rPr>
        <w:t xml:space="preserve"> </w:t>
      </w:r>
      <w:r w:rsidR="00021ABB">
        <w:rPr>
          <w:sz w:val="24"/>
          <w:szCs w:val="24"/>
        </w:rPr>
        <w:t>Similarly, a</w:t>
      </w:r>
      <w:r w:rsidR="00AF166B">
        <w:rPr>
          <w:sz w:val="24"/>
          <w:szCs w:val="24"/>
        </w:rPr>
        <w:t xml:space="preserve"> 2013 survey of high school youth found that students who are transgender were nearly three times as likely to restrict eating, almost nine times as likely to use diet pills, and seven times as likely to use laxatives compared to their cisgender peers.</w:t>
      </w:r>
      <w:r w:rsidR="00AF166B">
        <w:rPr>
          <w:rStyle w:val="FootnoteReference"/>
          <w:sz w:val="24"/>
          <w:szCs w:val="24"/>
        </w:rPr>
        <w:footnoteReference w:id="44"/>
      </w:r>
    </w:p>
    <w:p w14:paraId="23B24AC2" w14:textId="16863195" w:rsidR="00312FF5" w:rsidRDefault="00312FF5" w:rsidP="00312FF5">
      <w:pPr>
        <w:pStyle w:val="FootnoteText"/>
      </w:pPr>
    </w:p>
    <w:p w14:paraId="3528EA8F" w14:textId="263C03DF" w:rsidR="00312FF5" w:rsidRDefault="00312FF5" w:rsidP="00312FF5">
      <w:pPr>
        <w:pStyle w:val="FootnoteText"/>
      </w:pPr>
    </w:p>
    <w:p w14:paraId="676D491E" w14:textId="7FA7B09F" w:rsidR="00312FF5" w:rsidRDefault="00312FF5" w:rsidP="00312FF5">
      <w:pPr>
        <w:pStyle w:val="FootnoteText"/>
      </w:pPr>
    </w:p>
    <w:p w14:paraId="5F2FC96F" w14:textId="3BDB982C" w:rsidR="00312FF5" w:rsidRDefault="00312FF5" w:rsidP="00312FF5">
      <w:pPr>
        <w:pStyle w:val="FootnoteText"/>
      </w:pPr>
    </w:p>
    <w:p w14:paraId="7269A793" w14:textId="77777777" w:rsidR="00312FF5" w:rsidRPr="00312FF5" w:rsidRDefault="00312FF5" w:rsidP="00312FF5">
      <w:pPr>
        <w:pStyle w:val="FootnoteText"/>
      </w:pPr>
    </w:p>
    <w:p w14:paraId="67A49E2A" w14:textId="1A2281C0" w:rsidR="00775F99" w:rsidRPr="00F74FE9" w:rsidRDefault="005E095C" w:rsidP="00775F99">
      <w:pPr>
        <w:pStyle w:val="ListParagraph"/>
        <w:numPr>
          <w:ilvl w:val="0"/>
          <w:numId w:val="1"/>
        </w:numPr>
        <w:spacing w:line="480" w:lineRule="auto"/>
        <w:jc w:val="both"/>
        <w:rPr>
          <w:b/>
          <w:sz w:val="24"/>
          <w:szCs w:val="24"/>
          <w:u w:val="single"/>
        </w:rPr>
      </w:pPr>
      <w:r w:rsidRPr="00F74FE9">
        <w:rPr>
          <w:b/>
          <w:sz w:val="24"/>
          <w:szCs w:val="24"/>
          <w:u w:val="single"/>
        </w:rPr>
        <w:t xml:space="preserve">RECENT INITIATIVES </w:t>
      </w:r>
    </w:p>
    <w:p w14:paraId="211EEE2D" w14:textId="28FDC2DC" w:rsidR="0036479D" w:rsidRPr="002B6512" w:rsidRDefault="002B6512" w:rsidP="002B6512">
      <w:pPr>
        <w:spacing w:after="0" w:line="480" w:lineRule="auto"/>
        <w:contextualSpacing/>
        <w:jc w:val="both"/>
        <w:rPr>
          <w:i/>
          <w:sz w:val="24"/>
          <w:szCs w:val="24"/>
        </w:rPr>
      </w:pPr>
      <w:r>
        <w:rPr>
          <w:i/>
          <w:sz w:val="24"/>
          <w:szCs w:val="24"/>
        </w:rPr>
        <w:t xml:space="preserve">City Policy Initiatives Addressing Body Image </w:t>
      </w:r>
    </w:p>
    <w:p w14:paraId="11083616" w14:textId="72142C42" w:rsidR="003A4CBD" w:rsidRPr="00F74FE9" w:rsidRDefault="003A4CBD" w:rsidP="00D92392">
      <w:pPr>
        <w:spacing w:after="0" w:line="480" w:lineRule="auto"/>
        <w:contextualSpacing/>
        <w:jc w:val="both"/>
        <w:rPr>
          <w:sz w:val="24"/>
          <w:szCs w:val="24"/>
        </w:rPr>
      </w:pPr>
      <w:r>
        <w:rPr>
          <w:sz w:val="24"/>
          <w:szCs w:val="24"/>
        </w:rPr>
        <w:tab/>
        <w:t xml:space="preserve">While the City does not have a </w:t>
      </w:r>
      <w:r w:rsidR="00995FBB">
        <w:rPr>
          <w:sz w:val="24"/>
          <w:szCs w:val="24"/>
        </w:rPr>
        <w:t>well-publicized</w:t>
      </w:r>
      <w:r>
        <w:rPr>
          <w:sz w:val="24"/>
          <w:szCs w:val="24"/>
        </w:rPr>
        <w:t xml:space="preserve"> </w:t>
      </w:r>
      <w:r w:rsidR="00995FBB">
        <w:rPr>
          <w:sz w:val="24"/>
          <w:szCs w:val="24"/>
        </w:rPr>
        <w:t>campaign</w:t>
      </w:r>
      <w:r>
        <w:rPr>
          <w:sz w:val="24"/>
          <w:szCs w:val="24"/>
        </w:rPr>
        <w:t xml:space="preserve"> </w:t>
      </w:r>
      <w:r w:rsidR="00995FBB">
        <w:rPr>
          <w:sz w:val="24"/>
          <w:szCs w:val="24"/>
        </w:rPr>
        <w:t>to address</w:t>
      </w:r>
      <w:r>
        <w:rPr>
          <w:sz w:val="24"/>
          <w:szCs w:val="24"/>
        </w:rPr>
        <w:t xml:space="preserve"> eating disorders </w:t>
      </w:r>
      <w:r w:rsidR="00995FBB">
        <w:rPr>
          <w:sz w:val="24"/>
          <w:szCs w:val="24"/>
        </w:rPr>
        <w:t>and</w:t>
      </w:r>
      <w:r>
        <w:rPr>
          <w:sz w:val="24"/>
          <w:szCs w:val="24"/>
        </w:rPr>
        <w:t xml:space="preserve"> negative body image, there are several City initiatives that relate</w:t>
      </w:r>
      <w:r w:rsidR="00995FBB">
        <w:rPr>
          <w:sz w:val="24"/>
          <w:szCs w:val="24"/>
        </w:rPr>
        <w:t xml:space="preserve"> generally</w:t>
      </w:r>
      <w:r>
        <w:rPr>
          <w:sz w:val="24"/>
          <w:szCs w:val="24"/>
        </w:rPr>
        <w:t xml:space="preserve"> to mental illness treatment and healthy body image. For example, DOHMH’s NYC Well initiative offers 24/7 assistance via phone, tablet, computer, or texting, in </w:t>
      </w:r>
      <w:r w:rsidRPr="003A4CBD">
        <w:rPr>
          <w:sz w:val="24"/>
          <w:szCs w:val="24"/>
        </w:rPr>
        <w:t xml:space="preserve">multiple languages for the following services: </w:t>
      </w:r>
      <w:r>
        <w:rPr>
          <w:rFonts w:eastAsia="Times New Roman"/>
          <w:bCs/>
          <w:sz w:val="24"/>
          <w:szCs w:val="24"/>
        </w:rPr>
        <w:t>s</w:t>
      </w:r>
      <w:r w:rsidRPr="003A4CBD">
        <w:rPr>
          <w:rFonts w:eastAsia="Times New Roman"/>
          <w:bCs/>
          <w:sz w:val="24"/>
          <w:szCs w:val="24"/>
        </w:rPr>
        <w:t xml:space="preserve">uicide prevention and crisis counseling; </w:t>
      </w:r>
      <w:r>
        <w:rPr>
          <w:rFonts w:eastAsia="Times New Roman"/>
          <w:bCs/>
          <w:sz w:val="24"/>
          <w:szCs w:val="24"/>
        </w:rPr>
        <w:t>p</w:t>
      </w:r>
      <w:r w:rsidRPr="003A4CBD">
        <w:rPr>
          <w:rFonts w:eastAsia="Times New Roman"/>
          <w:bCs/>
          <w:sz w:val="24"/>
          <w:szCs w:val="24"/>
        </w:rPr>
        <w:t>eer support and short-term counseling</w:t>
      </w:r>
      <w:r w:rsidRPr="003A4CBD">
        <w:rPr>
          <w:sz w:val="24"/>
          <w:szCs w:val="24"/>
        </w:rPr>
        <w:t xml:space="preserve">; </w:t>
      </w:r>
      <w:r>
        <w:rPr>
          <w:rFonts w:eastAsia="Times New Roman"/>
          <w:bCs/>
          <w:sz w:val="24"/>
          <w:szCs w:val="24"/>
        </w:rPr>
        <w:t>a</w:t>
      </w:r>
      <w:r w:rsidRPr="003A4CBD">
        <w:rPr>
          <w:rFonts w:eastAsia="Times New Roman"/>
          <w:bCs/>
          <w:sz w:val="24"/>
          <w:szCs w:val="24"/>
        </w:rPr>
        <w:t>ssistance scheduling appointments or accessing other mental health services</w:t>
      </w:r>
      <w:r w:rsidRPr="003A4CBD">
        <w:rPr>
          <w:sz w:val="24"/>
          <w:szCs w:val="24"/>
        </w:rPr>
        <w:t xml:space="preserve">; and </w:t>
      </w:r>
      <w:r>
        <w:rPr>
          <w:rFonts w:eastAsia="Times New Roman"/>
          <w:bCs/>
          <w:sz w:val="24"/>
          <w:szCs w:val="24"/>
        </w:rPr>
        <w:t>f</w:t>
      </w:r>
      <w:r w:rsidRPr="003A4CBD">
        <w:rPr>
          <w:rFonts w:eastAsia="Times New Roman"/>
          <w:bCs/>
          <w:sz w:val="24"/>
          <w:szCs w:val="24"/>
        </w:rPr>
        <w:t xml:space="preserve">ollow-up to check that </w:t>
      </w:r>
      <w:r>
        <w:rPr>
          <w:rFonts w:eastAsia="Times New Roman"/>
          <w:bCs/>
          <w:sz w:val="24"/>
          <w:szCs w:val="24"/>
        </w:rPr>
        <w:t>an individual has</w:t>
      </w:r>
      <w:r w:rsidRPr="003A4CBD">
        <w:rPr>
          <w:rFonts w:eastAsia="Times New Roman"/>
          <w:bCs/>
          <w:sz w:val="24"/>
          <w:szCs w:val="24"/>
        </w:rPr>
        <w:t xml:space="preserve"> connected to care and </w:t>
      </w:r>
      <w:r>
        <w:rPr>
          <w:rFonts w:eastAsia="Times New Roman"/>
          <w:bCs/>
          <w:sz w:val="24"/>
          <w:szCs w:val="24"/>
        </w:rPr>
        <w:t>that works for them</w:t>
      </w:r>
      <w:r w:rsidRPr="003A4CBD">
        <w:rPr>
          <w:rFonts w:eastAsia="Times New Roman"/>
          <w:bCs/>
          <w:sz w:val="24"/>
          <w:szCs w:val="24"/>
        </w:rPr>
        <w:t>.</w:t>
      </w:r>
      <w:r>
        <w:rPr>
          <w:rStyle w:val="FootnoteReference"/>
          <w:rFonts w:eastAsia="Times New Roman"/>
          <w:bCs/>
          <w:sz w:val="24"/>
          <w:szCs w:val="24"/>
        </w:rPr>
        <w:footnoteReference w:id="45"/>
      </w:r>
      <w:r>
        <w:rPr>
          <w:rFonts w:eastAsia="Times New Roman"/>
          <w:bCs/>
          <w:sz w:val="24"/>
          <w:szCs w:val="24"/>
        </w:rPr>
        <w:t xml:space="preserve"> Individuals suffering from eating disorders or who have friends or family suffering are encouraged to reach out to NYC Well for connection to care and services.</w:t>
      </w:r>
      <w:r>
        <w:rPr>
          <w:rStyle w:val="FootnoteReference"/>
          <w:rFonts w:eastAsia="Times New Roman"/>
          <w:bCs/>
          <w:sz w:val="24"/>
          <w:szCs w:val="24"/>
        </w:rPr>
        <w:footnoteReference w:id="46"/>
      </w:r>
      <w:r>
        <w:rPr>
          <w:rFonts w:eastAsia="Times New Roman"/>
          <w:bCs/>
          <w:sz w:val="24"/>
          <w:szCs w:val="24"/>
        </w:rPr>
        <w:t xml:space="preserve"> Additionally, DOHMH partners with </w:t>
      </w:r>
      <w:r w:rsidR="00AF3D03">
        <w:rPr>
          <w:rFonts w:eastAsia="Times New Roman"/>
          <w:bCs/>
          <w:sz w:val="24"/>
          <w:szCs w:val="24"/>
        </w:rPr>
        <w:t>community</w:t>
      </w:r>
      <w:r>
        <w:rPr>
          <w:rFonts w:eastAsia="Times New Roman"/>
          <w:bCs/>
          <w:sz w:val="24"/>
          <w:szCs w:val="24"/>
        </w:rPr>
        <w:t>-</w:t>
      </w:r>
      <w:r w:rsidR="00AF3D03">
        <w:rPr>
          <w:rFonts w:eastAsia="Times New Roman"/>
          <w:bCs/>
          <w:sz w:val="24"/>
          <w:szCs w:val="24"/>
        </w:rPr>
        <w:t xml:space="preserve">based organizations </w:t>
      </w:r>
      <w:r>
        <w:rPr>
          <w:rFonts w:eastAsia="Times New Roman"/>
          <w:bCs/>
          <w:sz w:val="24"/>
          <w:szCs w:val="24"/>
        </w:rPr>
        <w:t>and other nonprofits that offer services and assistance for individuals living with eating disorders.</w:t>
      </w:r>
      <w:r>
        <w:rPr>
          <w:rStyle w:val="FootnoteReference"/>
          <w:rFonts w:eastAsia="Times New Roman"/>
          <w:bCs/>
          <w:sz w:val="24"/>
          <w:szCs w:val="24"/>
        </w:rPr>
        <w:footnoteReference w:id="47"/>
      </w:r>
      <w:r w:rsidR="00995FBB">
        <w:rPr>
          <w:rFonts w:eastAsia="Times New Roman"/>
          <w:bCs/>
          <w:sz w:val="24"/>
          <w:szCs w:val="24"/>
        </w:rPr>
        <w:t xml:space="preserve"> DOHMH also provides guides for healthy </w:t>
      </w:r>
      <w:r w:rsidR="005B75D8">
        <w:rPr>
          <w:rFonts w:eastAsia="Times New Roman"/>
          <w:bCs/>
          <w:sz w:val="24"/>
          <w:szCs w:val="24"/>
        </w:rPr>
        <w:t xml:space="preserve">weight, healthy </w:t>
      </w:r>
      <w:r w:rsidR="00995FBB">
        <w:rPr>
          <w:rFonts w:eastAsia="Times New Roman"/>
          <w:bCs/>
          <w:sz w:val="24"/>
          <w:szCs w:val="24"/>
        </w:rPr>
        <w:t xml:space="preserve">eating and drinking, </w:t>
      </w:r>
      <w:r w:rsidR="005B75D8">
        <w:rPr>
          <w:rFonts w:eastAsia="Times New Roman"/>
          <w:bCs/>
          <w:sz w:val="24"/>
          <w:szCs w:val="24"/>
        </w:rPr>
        <w:t xml:space="preserve">fitness resources, and free aerobics, yoga, </w:t>
      </w:r>
      <w:proofErr w:type="spellStart"/>
      <w:proofErr w:type="gramStart"/>
      <w:r w:rsidR="005B75D8">
        <w:rPr>
          <w:rFonts w:eastAsia="Times New Roman"/>
          <w:bCs/>
          <w:sz w:val="24"/>
          <w:szCs w:val="24"/>
        </w:rPr>
        <w:t>pilates</w:t>
      </w:r>
      <w:proofErr w:type="spellEnd"/>
      <w:proofErr w:type="gramEnd"/>
      <w:r w:rsidR="005B75D8">
        <w:rPr>
          <w:rFonts w:eastAsia="Times New Roman"/>
          <w:bCs/>
          <w:sz w:val="24"/>
          <w:szCs w:val="24"/>
        </w:rPr>
        <w:t xml:space="preserve">, and Zumba classes throughout the </w:t>
      </w:r>
      <w:r w:rsidR="00AF3D03">
        <w:rPr>
          <w:rFonts w:eastAsia="Times New Roman"/>
          <w:bCs/>
          <w:sz w:val="24"/>
          <w:szCs w:val="24"/>
        </w:rPr>
        <w:t>city</w:t>
      </w:r>
      <w:r w:rsidR="005B75D8">
        <w:rPr>
          <w:rFonts w:eastAsia="Times New Roman"/>
          <w:bCs/>
          <w:sz w:val="24"/>
          <w:szCs w:val="24"/>
        </w:rPr>
        <w:t>.</w:t>
      </w:r>
      <w:r w:rsidR="005B75D8">
        <w:rPr>
          <w:rStyle w:val="FootnoteReference"/>
          <w:rFonts w:eastAsia="Times New Roman"/>
          <w:bCs/>
          <w:sz w:val="24"/>
          <w:szCs w:val="24"/>
        </w:rPr>
        <w:footnoteReference w:id="48"/>
      </w:r>
      <w:r w:rsidR="005B75D8">
        <w:rPr>
          <w:sz w:val="24"/>
          <w:szCs w:val="24"/>
        </w:rPr>
        <w:t xml:space="preserve"> Finally, </w:t>
      </w:r>
      <w:r w:rsidR="00630E29">
        <w:rPr>
          <w:sz w:val="24"/>
          <w:szCs w:val="24"/>
        </w:rPr>
        <w:t xml:space="preserve">some </w:t>
      </w:r>
      <w:r w:rsidR="005B75D8">
        <w:rPr>
          <w:sz w:val="24"/>
          <w:szCs w:val="24"/>
        </w:rPr>
        <w:t>New York City schools also include eating disorders education as part of the curriculum.</w:t>
      </w:r>
      <w:r w:rsidR="00630E29">
        <w:rPr>
          <w:rStyle w:val="FootnoteReference"/>
          <w:sz w:val="24"/>
          <w:szCs w:val="24"/>
        </w:rPr>
        <w:footnoteReference w:id="49"/>
      </w:r>
      <w:r w:rsidR="005B75D8">
        <w:rPr>
          <w:sz w:val="24"/>
          <w:szCs w:val="24"/>
        </w:rPr>
        <w:t xml:space="preserve"> </w:t>
      </w:r>
    </w:p>
    <w:p w14:paraId="355AC2B9" w14:textId="226ED4F2" w:rsidR="001165C3" w:rsidRDefault="0036479D" w:rsidP="00D92392">
      <w:pPr>
        <w:spacing w:after="0" w:line="480" w:lineRule="auto"/>
        <w:contextualSpacing/>
        <w:jc w:val="both"/>
        <w:rPr>
          <w:i/>
          <w:sz w:val="24"/>
          <w:szCs w:val="24"/>
        </w:rPr>
      </w:pPr>
      <w:r w:rsidRPr="002B6512">
        <w:rPr>
          <w:i/>
          <w:sz w:val="24"/>
          <w:szCs w:val="24"/>
        </w:rPr>
        <w:t>Attempts to regulate &amp; control social media and influencers</w:t>
      </w:r>
    </w:p>
    <w:p w14:paraId="45FD21E3" w14:textId="02581B00" w:rsidR="00D92392" w:rsidRPr="00E47559" w:rsidRDefault="002C0D42" w:rsidP="00D92392">
      <w:pPr>
        <w:pStyle w:val="FootnoteText"/>
        <w:spacing w:line="480" w:lineRule="auto"/>
        <w:jc w:val="both"/>
        <w:rPr>
          <w:sz w:val="24"/>
          <w:szCs w:val="24"/>
        </w:rPr>
      </w:pPr>
      <w:r>
        <w:rPr>
          <w:sz w:val="24"/>
          <w:szCs w:val="24"/>
        </w:rPr>
        <w:tab/>
        <w:t xml:space="preserve">More recently, the federal government </w:t>
      </w:r>
      <w:r w:rsidR="00D92392">
        <w:rPr>
          <w:sz w:val="24"/>
          <w:szCs w:val="24"/>
        </w:rPr>
        <w:t>has attempted to curb deceptive social media advertising and bring more transparency to social media posts. The Federal Trade Commission (FTC) has issued guidelines concerning the use of endorsement and testimonials in advertising</w:t>
      </w:r>
      <w:r w:rsidR="00D92392">
        <w:rPr>
          <w:rStyle w:val="FootnoteReference"/>
          <w:sz w:val="24"/>
          <w:szCs w:val="24"/>
        </w:rPr>
        <w:footnoteReference w:id="50"/>
      </w:r>
      <w:r w:rsidR="00D92392">
        <w:rPr>
          <w:sz w:val="24"/>
          <w:szCs w:val="24"/>
        </w:rPr>
        <w:t xml:space="preserve"> and concerning disclosures for social media users.</w:t>
      </w:r>
      <w:r w:rsidR="00D92392">
        <w:rPr>
          <w:rStyle w:val="FootnoteReference"/>
          <w:sz w:val="24"/>
          <w:szCs w:val="24"/>
        </w:rPr>
        <w:footnoteReference w:id="51"/>
      </w:r>
      <w:r w:rsidR="00D92392">
        <w:rPr>
          <w:sz w:val="24"/>
          <w:szCs w:val="24"/>
        </w:rPr>
        <w:t xml:space="preserve"> Specifically, </w:t>
      </w:r>
      <w:r w:rsidR="00E31A27">
        <w:rPr>
          <w:sz w:val="24"/>
          <w:szCs w:val="24"/>
        </w:rPr>
        <w:t xml:space="preserve">advertisers, endorsers, and </w:t>
      </w:r>
      <w:r w:rsidR="00D92392">
        <w:rPr>
          <w:sz w:val="24"/>
          <w:szCs w:val="24"/>
        </w:rPr>
        <w:t>influencers are required to disclose when they have a financial, employment, personal, or family relationship with a brand.</w:t>
      </w:r>
      <w:r w:rsidR="00E31A27">
        <w:rPr>
          <w:rStyle w:val="FootnoteReference"/>
          <w:sz w:val="24"/>
          <w:szCs w:val="24"/>
        </w:rPr>
        <w:footnoteReference w:id="52"/>
      </w:r>
      <w:r w:rsidR="00A02039">
        <w:rPr>
          <w:sz w:val="24"/>
          <w:szCs w:val="24"/>
        </w:rPr>
        <w:t xml:space="preserve"> These disclosures must be easy to see and understand, with clear messaging, such as “ad” printed under a post, for example.</w:t>
      </w:r>
      <w:r w:rsidR="00A02039">
        <w:rPr>
          <w:rStyle w:val="FootnoteReference"/>
          <w:sz w:val="24"/>
          <w:szCs w:val="24"/>
        </w:rPr>
        <w:footnoteReference w:id="53"/>
      </w:r>
      <w:r w:rsidR="00A02039">
        <w:rPr>
          <w:sz w:val="24"/>
          <w:szCs w:val="24"/>
        </w:rPr>
        <w:t xml:space="preserve"> While these regulations have helped to clear away </w:t>
      </w:r>
      <w:r w:rsidR="00A02039" w:rsidRPr="00E47559">
        <w:rPr>
          <w:sz w:val="24"/>
          <w:szCs w:val="24"/>
        </w:rPr>
        <w:t>some prior deceptive practices online, there is still a long way to go in filtering incorrect or harmful information spread on the internet by influencers.</w:t>
      </w:r>
    </w:p>
    <w:p w14:paraId="74748AC9" w14:textId="77777777" w:rsidR="00E47559" w:rsidRDefault="00E47559" w:rsidP="00C52781">
      <w:pPr>
        <w:pStyle w:val="ListParagraph"/>
        <w:spacing w:line="480" w:lineRule="auto"/>
        <w:ind w:left="0"/>
        <w:jc w:val="both"/>
        <w:rPr>
          <w:b/>
          <w:sz w:val="24"/>
          <w:szCs w:val="24"/>
          <w:u w:val="single"/>
        </w:rPr>
      </w:pPr>
      <w:r w:rsidRPr="00E47559">
        <w:rPr>
          <w:b/>
          <w:sz w:val="24"/>
          <w:szCs w:val="24"/>
          <w:u w:val="single"/>
        </w:rPr>
        <w:t xml:space="preserve">Int. </w:t>
      </w:r>
      <w:r w:rsidRPr="00E47559">
        <w:rPr>
          <w:rFonts w:eastAsia="Times New Roman"/>
          <w:b/>
          <w:bCs/>
          <w:sz w:val="24"/>
          <w:szCs w:val="24"/>
          <w:u w:val="single"/>
        </w:rPr>
        <w:t>No. 1485</w:t>
      </w:r>
    </w:p>
    <w:p w14:paraId="65F1989C" w14:textId="4FC3ACE4" w:rsidR="00E47559" w:rsidRDefault="00AF3D03" w:rsidP="00E47559">
      <w:pPr>
        <w:pStyle w:val="ListParagraph"/>
        <w:spacing w:line="480" w:lineRule="auto"/>
        <w:ind w:left="0" w:firstLine="720"/>
        <w:jc w:val="both"/>
        <w:rPr>
          <w:color w:val="000000"/>
          <w:sz w:val="24"/>
          <w:szCs w:val="24"/>
          <w:shd w:val="clear" w:color="auto" w:fill="FFFFFF"/>
        </w:rPr>
      </w:pPr>
      <w:r>
        <w:rPr>
          <w:color w:val="000000"/>
          <w:sz w:val="24"/>
          <w:szCs w:val="24"/>
          <w:shd w:val="clear" w:color="auto" w:fill="FFFFFF"/>
        </w:rPr>
        <w:t>The proposed legislation</w:t>
      </w:r>
      <w:r w:rsidR="00E47559" w:rsidRPr="00E47559">
        <w:rPr>
          <w:color w:val="000000"/>
          <w:sz w:val="24"/>
          <w:szCs w:val="24"/>
          <w:shd w:val="clear" w:color="auto" w:fill="FFFFFF"/>
        </w:rPr>
        <w:t xml:space="preserve"> would </w:t>
      </w:r>
      <w:r>
        <w:rPr>
          <w:color w:val="000000"/>
          <w:sz w:val="24"/>
          <w:szCs w:val="24"/>
          <w:shd w:val="clear" w:color="auto" w:fill="FFFFFF"/>
        </w:rPr>
        <w:t>prohibit</w:t>
      </w:r>
      <w:r w:rsidRPr="00E47559">
        <w:rPr>
          <w:color w:val="000000"/>
          <w:sz w:val="24"/>
          <w:szCs w:val="24"/>
          <w:shd w:val="clear" w:color="auto" w:fill="FFFFFF"/>
        </w:rPr>
        <w:t xml:space="preserve"> </w:t>
      </w:r>
      <w:r w:rsidR="00E47559" w:rsidRPr="00E47559">
        <w:rPr>
          <w:color w:val="000000"/>
          <w:sz w:val="24"/>
          <w:szCs w:val="24"/>
          <w:shd w:val="clear" w:color="auto" w:fill="FFFFFF"/>
        </w:rPr>
        <w:t>the sale</w:t>
      </w:r>
      <w:r>
        <w:rPr>
          <w:color w:val="000000"/>
          <w:sz w:val="24"/>
          <w:szCs w:val="24"/>
          <w:shd w:val="clear" w:color="auto" w:fill="FFFFFF"/>
        </w:rPr>
        <w:t xml:space="preserve"> in New York City</w:t>
      </w:r>
      <w:r w:rsidR="00E47559" w:rsidRPr="00E47559">
        <w:rPr>
          <w:color w:val="000000"/>
          <w:sz w:val="24"/>
          <w:szCs w:val="24"/>
          <w:shd w:val="clear" w:color="auto" w:fill="FFFFFF"/>
        </w:rPr>
        <w:t xml:space="preserve"> of products made with </w:t>
      </w:r>
      <w:proofErr w:type="spellStart"/>
      <w:r w:rsidR="00E47559" w:rsidRPr="00E47559">
        <w:rPr>
          <w:color w:val="000000"/>
          <w:sz w:val="24"/>
          <w:szCs w:val="24"/>
          <w:shd w:val="clear" w:color="auto" w:fill="FFFFFF"/>
        </w:rPr>
        <w:t>senna</w:t>
      </w:r>
      <w:proofErr w:type="spellEnd"/>
      <w:r w:rsidR="00E47559" w:rsidRPr="00E47559">
        <w:rPr>
          <w:color w:val="000000"/>
          <w:sz w:val="24"/>
          <w:szCs w:val="24"/>
          <w:shd w:val="clear" w:color="auto" w:fill="FFFFFF"/>
        </w:rPr>
        <w:t xml:space="preserve"> or </w:t>
      </w:r>
      <w:proofErr w:type="spellStart"/>
      <w:r w:rsidR="00E47559" w:rsidRPr="00E47559">
        <w:rPr>
          <w:color w:val="000000"/>
          <w:sz w:val="24"/>
          <w:szCs w:val="24"/>
          <w:shd w:val="clear" w:color="auto" w:fill="FFFFFF"/>
        </w:rPr>
        <w:t>Satiereal</w:t>
      </w:r>
      <w:proofErr w:type="spellEnd"/>
      <w:r w:rsidR="00E47559" w:rsidRPr="00E47559">
        <w:rPr>
          <w:color w:val="000000"/>
          <w:sz w:val="24"/>
          <w:szCs w:val="24"/>
          <w:shd w:val="clear" w:color="auto" w:fill="FFFFFF"/>
        </w:rPr>
        <w:t xml:space="preserve"> to persons </w:t>
      </w:r>
      <w:r>
        <w:rPr>
          <w:color w:val="000000"/>
          <w:sz w:val="24"/>
          <w:szCs w:val="24"/>
          <w:shd w:val="clear" w:color="auto" w:fill="FFFFFF"/>
        </w:rPr>
        <w:t xml:space="preserve">under </w:t>
      </w:r>
      <w:r w:rsidR="00E47559" w:rsidRPr="00E47559">
        <w:rPr>
          <w:color w:val="000000"/>
          <w:sz w:val="24"/>
          <w:szCs w:val="24"/>
          <w:shd w:val="clear" w:color="auto" w:fill="FFFFFF"/>
        </w:rPr>
        <w:t xml:space="preserve">18 years of age. Uses of such products that are approved by the FDA would not be covered by the </w:t>
      </w:r>
      <w:r>
        <w:rPr>
          <w:color w:val="000000"/>
          <w:sz w:val="24"/>
          <w:szCs w:val="24"/>
          <w:shd w:val="clear" w:color="auto" w:fill="FFFFFF"/>
        </w:rPr>
        <w:t>prohibition</w:t>
      </w:r>
      <w:r w:rsidR="00E47559">
        <w:rPr>
          <w:color w:val="000000"/>
          <w:sz w:val="24"/>
          <w:szCs w:val="24"/>
          <w:shd w:val="clear" w:color="auto" w:fill="FFFFFF"/>
        </w:rPr>
        <w:t>.</w:t>
      </w:r>
    </w:p>
    <w:p w14:paraId="14B59D73" w14:textId="77777777" w:rsidR="00B00EFF" w:rsidRDefault="00B00EFF" w:rsidP="00B00EFF">
      <w:pPr>
        <w:spacing w:after="200" w:line="276" w:lineRule="auto"/>
        <w:jc w:val="center"/>
        <w:rPr>
          <w:rFonts w:eastAsia="Times New Roman"/>
          <w:color w:val="000000"/>
          <w:sz w:val="24"/>
          <w:szCs w:val="24"/>
        </w:rPr>
      </w:pPr>
      <w:r>
        <w:rPr>
          <w:rFonts w:eastAsia="Times New Roman"/>
          <w:color w:val="000000"/>
          <w:sz w:val="24"/>
          <w:szCs w:val="24"/>
        </w:rPr>
        <w:br w:type="page"/>
      </w:r>
    </w:p>
    <w:p w14:paraId="5EDDE14A" w14:textId="77777777" w:rsidR="00B00EFF" w:rsidRDefault="00B00EFF" w:rsidP="00B00EFF">
      <w:pPr>
        <w:spacing w:after="200" w:line="276" w:lineRule="auto"/>
        <w:jc w:val="center"/>
        <w:rPr>
          <w:rFonts w:eastAsia="Times New Roman"/>
          <w:color w:val="000000"/>
          <w:sz w:val="24"/>
          <w:szCs w:val="24"/>
        </w:rPr>
      </w:pPr>
    </w:p>
    <w:p w14:paraId="723DD99A" w14:textId="77777777" w:rsidR="00B00EFF" w:rsidRDefault="00B00EFF" w:rsidP="00B00EFF">
      <w:pPr>
        <w:spacing w:after="200" w:line="276" w:lineRule="auto"/>
        <w:jc w:val="center"/>
        <w:rPr>
          <w:rFonts w:eastAsia="Times New Roman"/>
          <w:color w:val="000000"/>
          <w:sz w:val="24"/>
          <w:szCs w:val="24"/>
        </w:rPr>
      </w:pPr>
    </w:p>
    <w:p w14:paraId="319A566A" w14:textId="2DD22763" w:rsidR="00B00EFF" w:rsidRPr="00B00EFF" w:rsidRDefault="00B00EFF" w:rsidP="00B00EFF">
      <w:pPr>
        <w:spacing w:after="200" w:line="276" w:lineRule="auto"/>
        <w:jc w:val="center"/>
        <w:rPr>
          <w:rFonts w:eastAsia="Times New Roman"/>
          <w:b/>
          <w:color w:val="000000"/>
          <w:sz w:val="24"/>
          <w:szCs w:val="24"/>
        </w:rPr>
      </w:pPr>
      <w:r w:rsidRPr="00B00EFF">
        <w:rPr>
          <w:rFonts w:eastAsia="Times New Roman"/>
          <w:b/>
          <w:color w:val="000000"/>
          <w:sz w:val="24"/>
          <w:szCs w:val="24"/>
        </w:rPr>
        <w:t>Page intentionally left blank</w:t>
      </w:r>
      <w:r w:rsidRPr="00B00EFF">
        <w:rPr>
          <w:b/>
        </w:rPr>
        <w:br w:type="page"/>
      </w:r>
    </w:p>
    <w:p w14:paraId="056C6B42" w14:textId="3083211E" w:rsidR="00E47559" w:rsidRPr="00E47559" w:rsidRDefault="00E47559" w:rsidP="00E47559">
      <w:pPr>
        <w:shd w:val="clear" w:color="auto" w:fill="FFFFFF"/>
        <w:spacing w:after="0" w:line="240" w:lineRule="auto"/>
        <w:jc w:val="center"/>
        <w:rPr>
          <w:rFonts w:eastAsia="Times New Roman"/>
          <w:color w:val="000000"/>
          <w:sz w:val="27"/>
          <w:szCs w:val="27"/>
        </w:rPr>
      </w:pPr>
      <w:r w:rsidRPr="00E47559">
        <w:rPr>
          <w:rFonts w:eastAsia="Times New Roman"/>
          <w:color w:val="000000"/>
          <w:sz w:val="24"/>
          <w:szCs w:val="24"/>
        </w:rPr>
        <w:t>Int. No. 1485</w:t>
      </w:r>
    </w:p>
    <w:p w14:paraId="2B5B80DE" w14:textId="77777777" w:rsidR="00E47559" w:rsidRPr="00E47559" w:rsidRDefault="00E47559" w:rsidP="00E47559">
      <w:pPr>
        <w:shd w:val="clear" w:color="auto" w:fill="FFFFFF"/>
        <w:spacing w:after="0" w:line="240" w:lineRule="auto"/>
        <w:jc w:val="center"/>
        <w:rPr>
          <w:rFonts w:eastAsia="Times New Roman"/>
          <w:color w:val="000000"/>
          <w:sz w:val="27"/>
          <w:szCs w:val="27"/>
        </w:rPr>
      </w:pPr>
      <w:r w:rsidRPr="00E47559">
        <w:rPr>
          <w:rFonts w:eastAsia="Times New Roman"/>
          <w:color w:val="000000"/>
          <w:sz w:val="24"/>
          <w:szCs w:val="24"/>
        </w:rPr>
        <w:t> </w:t>
      </w:r>
    </w:p>
    <w:p w14:paraId="706B9FD5" w14:textId="77777777" w:rsidR="00E47559" w:rsidRPr="00E47559" w:rsidRDefault="00E47559" w:rsidP="00E47559">
      <w:pPr>
        <w:shd w:val="clear" w:color="auto" w:fill="FFFFFF"/>
        <w:spacing w:after="0" w:line="240" w:lineRule="auto"/>
        <w:jc w:val="both"/>
        <w:rPr>
          <w:rFonts w:eastAsia="Times New Roman"/>
          <w:color w:val="000000"/>
          <w:sz w:val="27"/>
          <w:szCs w:val="27"/>
        </w:rPr>
      </w:pPr>
      <w:r w:rsidRPr="00E47559">
        <w:rPr>
          <w:rFonts w:eastAsia="Times New Roman"/>
          <w:color w:val="000000"/>
          <w:sz w:val="24"/>
          <w:szCs w:val="24"/>
        </w:rPr>
        <w:t>By Council Members Levine and Brannan</w:t>
      </w:r>
    </w:p>
    <w:p w14:paraId="6BDFB0C0" w14:textId="77777777" w:rsidR="00E47559" w:rsidRPr="00E47559" w:rsidRDefault="00E47559" w:rsidP="00E47559">
      <w:pPr>
        <w:shd w:val="clear" w:color="auto" w:fill="FFFFFF"/>
        <w:spacing w:after="0" w:line="240" w:lineRule="auto"/>
        <w:jc w:val="both"/>
        <w:rPr>
          <w:rFonts w:eastAsia="Times New Roman"/>
          <w:color w:val="000000"/>
          <w:sz w:val="27"/>
          <w:szCs w:val="27"/>
        </w:rPr>
      </w:pPr>
      <w:r w:rsidRPr="00E47559">
        <w:rPr>
          <w:rFonts w:eastAsia="Times New Roman"/>
          <w:color w:val="000000"/>
          <w:sz w:val="24"/>
          <w:szCs w:val="24"/>
        </w:rPr>
        <w:t> </w:t>
      </w:r>
    </w:p>
    <w:p w14:paraId="7F8CB80C" w14:textId="77777777" w:rsidR="00E47559" w:rsidRPr="00E47559" w:rsidRDefault="00E47559" w:rsidP="00E47559">
      <w:pPr>
        <w:shd w:val="clear" w:color="auto" w:fill="FFFFFF"/>
        <w:spacing w:after="0" w:line="240" w:lineRule="auto"/>
        <w:jc w:val="both"/>
        <w:rPr>
          <w:rFonts w:eastAsia="Times New Roman"/>
          <w:color w:val="000000"/>
          <w:sz w:val="27"/>
          <w:szCs w:val="27"/>
        </w:rPr>
      </w:pPr>
      <w:r w:rsidRPr="00E47559">
        <w:rPr>
          <w:rFonts w:eastAsia="Times New Roman"/>
          <w:color w:val="000000"/>
          <w:sz w:val="24"/>
          <w:szCs w:val="24"/>
        </w:rPr>
        <w:t xml:space="preserve">A Local Law to amend the administrative code of the city of New York, in relation to restricting the sale of </w:t>
      </w:r>
      <w:proofErr w:type="spellStart"/>
      <w:r w:rsidRPr="00E47559">
        <w:rPr>
          <w:rFonts w:eastAsia="Times New Roman"/>
          <w:color w:val="000000"/>
          <w:sz w:val="24"/>
          <w:szCs w:val="24"/>
        </w:rPr>
        <w:t>senna</w:t>
      </w:r>
      <w:proofErr w:type="spellEnd"/>
      <w:r w:rsidRPr="00E47559">
        <w:rPr>
          <w:rFonts w:eastAsia="Times New Roman"/>
          <w:color w:val="000000"/>
          <w:sz w:val="24"/>
          <w:szCs w:val="24"/>
        </w:rPr>
        <w:t>- and saffron-based products</w:t>
      </w:r>
    </w:p>
    <w:p w14:paraId="547D9FC4" w14:textId="77777777" w:rsidR="00E47559" w:rsidRPr="00E47559" w:rsidRDefault="00E47559" w:rsidP="00E47559">
      <w:pPr>
        <w:shd w:val="clear" w:color="auto" w:fill="FFFFFF"/>
        <w:spacing w:after="0" w:line="240" w:lineRule="auto"/>
        <w:jc w:val="both"/>
        <w:rPr>
          <w:rFonts w:eastAsia="Times New Roman"/>
          <w:color w:val="000000"/>
          <w:sz w:val="27"/>
          <w:szCs w:val="27"/>
        </w:rPr>
      </w:pPr>
      <w:r w:rsidRPr="00E47559">
        <w:rPr>
          <w:rFonts w:eastAsia="Times New Roman"/>
          <w:color w:val="000000"/>
          <w:sz w:val="24"/>
          <w:szCs w:val="24"/>
        </w:rPr>
        <w:t> </w:t>
      </w:r>
    </w:p>
    <w:p w14:paraId="72670255" w14:textId="77777777" w:rsidR="00E47559" w:rsidRPr="00E47559" w:rsidRDefault="00E47559" w:rsidP="00E47559">
      <w:pPr>
        <w:shd w:val="clear" w:color="auto" w:fill="FFFFFF"/>
        <w:spacing w:after="0" w:line="240" w:lineRule="auto"/>
        <w:jc w:val="both"/>
        <w:rPr>
          <w:rFonts w:eastAsia="Times New Roman"/>
          <w:color w:val="000000"/>
          <w:sz w:val="27"/>
          <w:szCs w:val="27"/>
        </w:rPr>
      </w:pPr>
      <w:r w:rsidRPr="00E47559">
        <w:rPr>
          <w:rFonts w:eastAsia="Times New Roman"/>
          <w:color w:val="000000"/>
          <w:sz w:val="24"/>
          <w:szCs w:val="24"/>
          <w:u w:val="single"/>
        </w:rPr>
        <w:t>Be it enacted by the Council as follows:</w:t>
      </w:r>
    </w:p>
    <w:p w14:paraId="74D178CD" w14:textId="77777777" w:rsidR="00E47559" w:rsidRPr="00E47559" w:rsidRDefault="00E47559" w:rsidP="00E47559">
      <w:pPr>
        <w:shd w:val="clear" w:color="auto" w:fill="FFFFFF"/>
        <w:spacing w:after="0" w:line="240" w:lineRule="auto"/>
        <w:ind w:firstLine="720"/>
        <w:jc w:val="both"/>
        <w:rPr>
          <w:rFonts w:eastAsia="Times New Roman"/>
          <w:color w:val="000000"/>
          <w:sz w:val="27"/>
          <w:szCs w:val="27"/>
        </w:rPr>
      </w:pPr>
      <w:r w:rsidRPr="00E47559">
        <w:rPr>
          <w:rFonts w:eastAsia="Times New Roman"/>
          <w:color w:val="000000"/>
          <w:sz w:val="24"/>
          <w:szCs w:val="24"/>
        </w:rPr>
        <w:t> </w:t>
      </w:r>
    </w:p>
    <w:p w14:paraId="23144F7A" w14:textId="77777777" w:rsidR="00E47559" w:rsidRPr="00E47559" w:rsidRDefault="00E47559" w:rsidP="00E47559">
      <w:pPr>
        <w:shd w:val="clear" w:color="auto" w:fill="FFFFFF"/>
        <w:spacing w:after="0" w:line="480" w:lineRule="auto"/>
        <w:ind w:firstLine="720"/>
        <w:jc w:val="both"/>
        <w:rPr>
          <w:rFonts w:eastAsia="Times New Roman"/>
          <w:color w:val="000000"/>
          <w:sz w:val="27"/>
          <w:szCs w:val="27"/>
        </w:rPr>
      </w:pPr>
      <w:r w:rsidRPr="00E47559">
        <w:rPr>
          <w:rFonts w:eastAsia="Times New Roman"/>
          <w:color w:val="000000"/>
          <w:sz w:val="24"/>
          <w:szCs w:val="24"/>
        </w:rPr>
        <w:t>Section 1. Title 17 of the administrative code of the city of New York is amended by adding a new chapter 19 to read as follows:</w:t>
      </w:r>
    </w:p>
    <w:p w14:paraId="5D39D0AA" w14:textId="77777777" w:rsidR="00E47559" w:rsidRPr="00E47559" w:rsidRDefault="00E47559" w:rsidP="00E47559">
      <w:pPr>
        <w:shd w:val="clear" w:color="auto" w:fill="FFFFFF"/>
        <w:spacing w:after="0" w:line="480" w:lineRule="auto"/>
        <w:jc w:val="center"/>
        <w:rPr>
          <w:rFonts w:eastAsia="Times New Roman"/>
          <w:color w:val="000000"/>
          <w:sz w:val="27"/>
          <w:szCs w:val="27"/>
        </w:rPr>
      </w:pPr>
      <w:r w:rsidRPr="00E47559">
        <w:rPr>
          <w:rFonts w:eastAsia="Times New Roman"/>
          <w:color w:val="000000"/>
          <w:sz w:val="24"/>
          <w:szCs w:val="24"/>
          <w:u w:val="single"/>
        </w:rPr>
        <w:t>CHAPTER 19</w:t>
      </w:r>
    </w:p>
    <w:p w14:paraId="0E06DF54" w14:textId="77777777" w:rsidR="00E47559" w:rsidRPr="00E47559" w:rsidRDefault="00E47559" w:rsidP="00E47559">
      <w:pPr>
        <w:shd w:val="clear" w:color="auto" w:fill="FFFFFF"/>
        <w:spacing w:after="0" w:line="480" w:lineRule="auto"/>
        <w:jc w:val="center"/>
        <w:rPr>
          <w:rFonts w:eastAsia="Times New Roman"/>
          <w:color w:val="000000"/>
          <w:sz w:val="27"/>
          <w:szCs w:val="27"/>
        </w:rPr>
      </w:pPr>
      <w:r w:rsidRPr="00E47559">
        <w:rPr>
          <w:rFonts w:eastAsia="Times New Roman"/>
          <w:color w:val="000000"/>
          <w:sz w:val="24"/>
          <w:szCs w:val="24"/>
          <w:u w:val="single"/>
        </w:rPr>
        <w:t>REGULATION OF SENNA AND SAFFRON PRODUCTS</w:t>
      </w:r>
    </w:p>
    <w:p w14:paraId="38B25DA0" w14:textId="77777777" w:rsidR="00E47559" w:rsidRPr="00E47559" w:rsidRDefault="00E47559" w:rsidP="00E47559">
      <w:pPr>
        <w:shd w:val="clear" w:color="auto" w:fill="FFFFFF"/>
        <w:spacing w:after="0" w:line="480" w:lineRule="auto"/>
        <w:jc w:val="both"/>
        <w:rPr>
          <w:rFonts w:eastAsia="Times New Roman"/>
          <w:color w:val="000000"/>
          <w:sz w:val="27"/>
          <w:szCs w:val="27"/>
        </w:rPr>
      </w:pPr>
      <w:r w:rsidRPr="00E47559">
        <w:rPr>
          <w:rFonts w:eastAsia="Times New Roman"/>
          <w:color w:val="000000"/>
          <w:sz w:val="14"/>
          <w:szCs w:val="14"/>
        </w:rPr>
        <w:t>                     </w:t>
      </w:r>
      <w:r w:rsidRPr="00E47559">
        <w:rPr>
          <w:rFonts w:eastAsia="Times New Roman"/>
          <w:color w:val="000000"/>
          <w:sz w:val="24"/>
          <w:szCs w:val="24"/>
          <w:u w:val="single"/>
        </w:rPr>
        <w:t>§ 17-1901 Definitions. As used in this chapter, the following terms have the following meanings:</w:t>
      </w:r>
    </w:p>
    <w:p w14:paraId="2DBEA13D" w14:textId="77777777" w:rsidR="00E47559" w:rsidRPr="00E47559" w:rsidRDefault="00E47559" w:rsidP="00E47559">
      <w:pPr>
        <w:shd w:val="clear" w:color="auto" w:fill="FFFFFF"/>
        <w:spacing w:after="0" w:line="480" w:lineRule="auto"/>
        <w:jc w:val="both"/>
        <w:rPr>
          <w:rFonts w:eastAsia="Times New Roman"/>
          <w:color w:val="000000"/>
          <w:sz w:val="27"/>
          <w:szCs w:val="27"/>
        </w:rPr>
      </w:pPr>
      <w:r w:rsidRPr="00E47559">
        <w:rPr>
          <w:rFonts w:eastAsia="Times New Roman"/>
          <w:color w:val="000000"/>
          <w:sz w:val="14"/>
          <w:szCs w:val="14"/>
        </w:rPr>
        <w:t>                     </w:t>
      </w:r>
      <w:r w:rsidRPr="00E47559">
        <w:rPr>
          <w:rFonts w:eastAsia="Times New Roman"/>
          <w:color w:val="000000"/>
          <w:sz w:val="24"/>
          <w:szCs w:val="24"/>
          <w:u w:val="single"/>
        </w:rPr>
        <w:t>Senna product. The term “</w:t>
      </w:r>
      <w:proofErr w:type="spellStart"/>
      <w:r w:rsidRPr="00E47559">
        <w:rPr>
          <w:rFonts w:eastAsia="Times New Roman"/>
          <w:color w:val="000000"/>
          <w:sz w:val="24"/>
          <w:szCs w:val="24"/>
          <w:u w:val="single"/>
        </w:rPr>
        <w:t>senna</w:t>
      </w:r>
      <w:proofErr w:type="spellEnd"/>
      <w:r w:rsidRPr="00E47559">
        <w:rPr>
          <w:rFonts w:eastAsia="Times New Roman"/>
          <w:color w:val="000000"/>
          <w:sz w:val="24"/>
          <w:szCs w:val="24"/>
          <w:u w:val="single"/>
        </w:rPr>
        <w:t xml:space="preserve"> product” means any product that is intended for human consumption that contains the leaves, flowers or fruit of the plants cassia </w:t>
      </w:r>
      <w:proofErr w:type="spellStart"/>
      <w:r w:rsidRPr="00E47559">
        <w:rPr>
          <w:rFonts w:eastAsia="Times New Roman"/>
          <w:color w:val="000000"/>
          <w:sz w:val="24"/>
          <w:szCs w:val="24"/>
          <w:u w:val="single"/>
        </w:rPr>
        <w:t>acutifolia</w:t>
      </w:r>
      <w:proofErr w:type="spellEnd"/>
      <w:r w:rsidRPr="00E47559">
        <w:rPr>
          <w:rFonts w:eastAsia="Times New Roman"/>
          <w:color w:val="000000"/>
          <w:sz w:val="24"/>
          <w:szCs w:val="24"/>
          <w:u w:val="single"/>
        </w:rPr>
        <w:t xml:space="preserve"> or cassia </w:t>
      </w:r>
      <w:proofErr w:type="spellStart"/>
      <w:r w:rsidRPr="00E47559">
        <w:rPr>
          <w:rFonts w:eastAsia="Times New Roman"/>
          <w:color w:val="000000"/>
          <w:sz w:val="24"/>
          <w:szCs w:val="24"/>
          <w:u w:val="single"/>
        </w:rPr>
        <w:t>angustifolia</w:t>
      </w:r>
      <w:proofErr w:type="spellEnd"/>
      <w:r w:rsidRPr="00E47559">
        <w:rPr>
          <w:rFonts w:eastAsia="Times New Roman"/>
          <w:color w:val="000000"/>
          <w:sz w:val="24"/>
          <w:szCs w:val="24"/>
          <w:u w:val="single"/>
        </w:rPr>
        <w:t>, or extracts of the same. Such term includes any component, part or accessory of such product but does not include any marketing, sale or use of such product solely for a purpose affirmatively approved by the United States food and drug administration.</w:t>
      </w:r>
    </w:p>
    <w:p w14:paraId="053C5A09" w14:textId="77777777" w:rsidR="00E47559" w:rsidRPr="00E47559" w:rsidRDefault="00E47559" w:rsidP="00E47559">
      <w:pPr>
        <w:shd w:val="clear" w:color="auto" w:fill="FFFFFF"/>
        <w:spacing w:after="0" w:line="480" w:lineRule="auto"/>
        <w:jc w:val="both"/>
        <w:rPr>
          <w:rFonts w:eastAsia="Times New Roman"/>
          <w:color w:val="000000"/>
          <w:sz w:val="27"/>
          <w:szCs w:val="27"/>
        </w:rPr>
      </w:pPr>
      <w:r w:rsidRPr="00E47559">
        <w:rPr>
          <w:rFonts w:eastAsia="Times New Roman"/>
          <w:color w:val="000000"/>
          <w:sz w:val="14"/>
          <w:szCs w:val="14"/>
        </w:rPr>
        <w:t>                     </w:t>
      </w:r>
      <w:r w:rsidRPr="00E47559">
        <w:rPr>
          <w:rFonts w:eastAsia="Times New Roman"/>
          <w:color w:val="000000"/>
          <w:sz w:val="24"/>
          <w:szCs w:val="24"/>
          <w:u w:val="single"/>
        </w:rPr>
        <w:t xml:space="preserve">Saffron product.  The term “saffron product” means any product that is intended for human consumption which contains the extract of the crocus </w:t>
      </w:r>
      <w:proofErr w:type="spellStart"/>
      <w:r w:rsidRPr="00E47559">
        <w:rPr>
          <w:rFonts w:eastAsia="Times New Roman"/>
          <w:color w:val="000000"/>
          <w:sz w:val="24"/>
          <w:szCs w:val="24"/>
          <w:u w:val="single"/>
        </w:rPr>
        <w:t>sativus</w:t>
      </w:r>
      <w:proofErr w:type="spellEnd"/>
      <w:r w:rsidRPr="00E47559">
        <w:rPr>
          <w:rFonts w:eastAsia="Times New Roman"/>
          <w:color w:val="000000"/>
          <w:sz w:val="24"/>
          <w:szCs w:val="24"/>
          <w:u w:val="single"/>
        </w:rPr>
        <w:t xml:space="preserve"> plant. Such term includes any component, part or accessory of such product but does not include any marketing, sale or use of such product solely for a purpose affirmatively approved by the United States food and drug administration.</w:t>
      </w:r>
    </w:p>
    <w:p w14:paraId="7756B992" w14:textId="77777777" w:rsidR="00E47559" w:rsidRPr="00E47559" w:rsidRDefault="00E47559" w:rsidP="00E47559">
      <w:pPr>
        <w:shd w:val="clear" w:color="auto" w:fill="FFFFFF"/>
        <w:spacing w:after="0" w:line="480" w:lineRule="auto"/>
        <w:jc w:val="both"/>
        <w:rPr>
          <w:rFonts w:eastAsia="Times New Roman"/>
          <w:color w:val="000000"/>
          <w:sz w:val="27"/>
          <w:szCs w:val="27"/>
        </w:rPr>
      </w:pPr>
      <w:r w:rsidRPr="00E47559">
        <w:rPr>
          <w:rFonts w:eastAsia="Times New Roman"/>
          <w:color w:val="000000"/>
          <w:sz w:val="14"/>
          <w:szCs w:val="14"/>
        </w:rPr>
        <w:t>                     </w:t>
      </w:r>
      <w:r w:rsidRPr="00E47559">
        <w:rPr>
          <w:rFonts w:eastAsia="Times New Roman"/>
          <w:color w:val="000000"/>
          <w:sz w:val="24"/>
          <w:szCs w:val="24"/>
          <w:u w:val="single"/>
        </w:rPr>
        <w:t xml:space="preserve">§ 17-1902 Sale of </w:t>
      </w:r>
      <w:proofErr w:type="spellStart"/>
      <w:r w:rsidRPr="00E47559">
        <w:rPr>
          <w:rFonts w:eastAsia="Times New Roman"/>
          <w:color w:val="000000"/>
          <w:sz w:val="24"/>
          <w:szCs w:val="24"/>
          <w:u w:val="single"/>
        </w:rPr>
        <w:t>senna</w:t>
      </w:r>
      <w:proofErr w:type="spellEnd"/>
      <w:r w:rsidRPr="00E47559">
        <w:rPr>
          <w:rFonts w:eastAsia="Times New Roman"/>
          <w:color w:val="000000"/>
          <w:sz w:val="24"/>
          <w:szCs w:val="24"/>
          <w:u w:val="single"/>
        </w:rPr>
        <w:t xml:space="preserve"> products and saffron products to minors prohibited. a. Any person operating a place of business in which a </w:t>
      </w:r>
      <w:proofErr w:type="spellStart"/>
      <w:r w:rsidRPr="00E47559">
        <w:rPr>
          <w:rFonts w:eastAsia="Times New Roman"/>
          <w:color w:val="000000"/>
          <w:sz w:val="24"/>
          <w:szCs w:val="24"/>
          <w:u w:val="single"/>
        </w:rPr>
        <w:t>senna</w:t>
      </w:r>
      <w:proofErr w:type="spellEnd"/>
      <w:r w:rsidRPr="00E47559">
        <w:rPr>
          <w:rFonts w:eastAsia="Times New Roman"/>
          <w:color w:val="000000"/>
          <w:sz w:val="24"/>
          <w:szCs w:val="24"/>
          <w:u w:val="single"/>
        </w:rPr>
        <w:t xml:space="preserve"> product or saffron product is sold or offered for sale is prohibited from selling such product to individuals under 18 years of age. Sale of a </w:t>
      </w:r>
      <w:proofErr w:type="spellStart"/>
      <w:r w:rsidRPr="00E47559">
        <w:rPr>
          <w:rFonts w:eastAsia="Times New Roman"/>
          <w:color w:val="000000"/>
          <w:sz w:val="24"/>
          <w:szCs w:val="24"/>
          <w:u w:val="single"/>
        </w:rPr>
        <w:t>senna</w:t>
      </w:r>
      <w:proofErr w:type="spellEnd"/>
      <w:r w:rsidRPr="00E47559">
        <w:rPr>
          <w:rFonts w:eastAsia="Times New Roman"/>
          <w:color w:val="000000"/>
          <w:sz w:val="24"/>
          <w:szCs w:val="24"/>
          <w:u w:val="single"/>
        </w:rPr>
        <w:t xml:space="preserve"> product or saffron product in such places shall be made only to an individual who demonstrates, through a driver’s license or other photographic identification card issued by a government entity or educational institution, that the individual is at least 18 years of age. Such identification need not be required of any individual who reasonably appears to be at least 30 years of age, provided, however, that such appearance shall not constitute a defense in any proceeding alleging the sale of </w:t>
      </w:r>
      <w:proofErr w:type="spellStart"/>
      <w:r w:rsidRPr="00E47559">
        <w:rPr>
          <w:rFonts w:eastAsia="Times New Roman"/>
          <w:color w:val="000000"/>
          <w:sz w:val="24"/>
          <w:szCs w:val="24"/>
          <w:u w:val="single"/>
        </w:rPr>
        <w:t>senna</w:t>
      </w:r>
      <w:proofErr w:type="spellEnd"/>
      <w:r w:rsidRPr="00E47559">
        <w:rPr>
          <w:rFonts w:eastAsia="Times New Roman"/>
          <w:color w:val="000000"/>
          <w:sz w:val="24"/>
          <w:szCs w:val="24"/>
          <w:u w:val="single"/>
        </w:rPr>
        <w:t xml:space="preserve"> products or saffron products to an individual under 18 years of age.</w:t>
      </w:r>
    </w:p>
    <w:p w14:paraId="551A1FFB" w14:textId="77777777" w:rsidR="00E47559" w:rsidRPr="00E47559" w:rsidRDefault="00E47559" w:rsidP="00E47559">
      <w:pPr>
        <w:shd w:val="clear" w:color="auto" w:fill="FFFFFF"/>
        <w:spacing w:after="0" w:line="480" w:lineRule="auto"/>
        <w:jc w:val="both"/>
        <w:rPr>
          <w:rFonts w:eastAsia="Times New Roman"/>
          <w:color w:val="000000"/>
          <w:sz w:val="27"/>
          <w:szCs w:val="27"/>
        </w:rPr>
      </w:pPr>
      <w:r w:rsidRPr="00E47559">
        <w:rPr>
          <w:rFonts w:eastAsia="Times New Roman"/>
          <w:color w:val="000000"/>
          <w:sz w:val="14"/>
          <w:szCs w:val="14"/>
        </w:rPr>
        <w:t>                     </w:t>
      </w:r>
      <w:r w:rsidRPr="00E47559">
        <w:rPr>
          <w:rFonts w:eastAsia="Times New Roman"/>
          <w:color w:val="000000"/>
          <w:sz w:val="24"/>
          <w:szCs w:val="24"/>
          <w:u w:val="single"/>
        </w:rPr>
        <w:t>§ 17-1903 Penalties. a. Any person or entity who violates section 17-1902 shall be liable for a civil penalty of not more than $250 for the first violation, and not more than $500 for each additional violation found on that day; and not more than $750 for the second violation at the same place of business within a three-year period, and not more than $1,000 for each additional violation found on that day; and not more than $2,000 for the third and each subsequent violation at the same place of business within a three-year period.</w:t>
      </w:r>
    </w:p>
    <w:p w14:paraId="6649C975" w14:textId="77777777" w:rsidR="00E47559" w:rsidRPr="00E47559" w:rsidRDefault="00E47559" w:rsidP="00E47559">
      <w:pPr>
        <w:shd w:val="clear" w:color="auto" w:fill="FFFFFF"/>
        <w:spacing w:after="0" w:line="480" w:lineRule="auto"/>
        <w:ind w:firstLine="720"/>
        <w:jc w:val="both"/>
        <w:rPr>
          <w:rFonts w:eastAsia="Times New Roman"/>
          <w:color w:val="000000"/>
          <w:sz w:val="27"/>
          <w:szCs w:val="27"/>
        </w:rPr>
      </w:pPr>
      <w:r w:rsidRPr="00E47559">
        <w:rPr>
          <w:rFonts w:eastAsia="Times New Roman"/>
          <w:color w:val="000000"/>
          <w:sz w:val="24"/>
          <w:szCs w:val="24"/>
          <w:u w:val="single"/>
        </w:rPr>
        <w:t>§ 17-1904 Enforcement. The department, the department of consumer affairs and the department of finance have the power to enforce the provisions of this chapter. A proceeding to recover any civil penalty authorized pursuant to section 17-1903 shall be commenced by the service of a notice of violation returnable to the office of administrative trials and hearings or within any agency of the city of New York designated to conduct such proceedings. The notice of violation or copy thereof when filled in and served shall constitute notice of the violation charged. The department, the department of consumer affairs and the department of finance shall notify each other within 30 days of finding that a retail dealer has been found liable for any section of this chapter.</w:t>
      </w:r>
    </w:p>
    <w:p w14:paraId="37C26F36" w14:textId="77777777" w:rsidR="00E47559" w:rsidRPr="00E47559" w:rsidRDefault="00E47559" w:rsidP="00E47559">
      <w:pPr>
        <w:shd w:val="clear" w:color="auto" w:fill="FFFFFF"/>
        <w:spacing w:after="0" w:line="480" w:lineRule="auto"/>
        <w:ind w:firstLine="720"/>
        <w:jc w:val="both"/>
        <w:rPr>
          <w:rFonts w:eastAsia="Times New Roman"/>
          <w:color w:val="000000"/>
          <w:sz w:val="27"/>
          <w:szCs w:val="27"/>
        </w:rPr>
      </w:pPr>
      <w:r w:rsidRPr="00E47559">
        <w:rPr>
          <w:rFonts w:eastAsia="Times New Roman"/>
          <w:color w:val="000000"/>
          <w:sz w:val="24"/>
          <w:szCs w:val="24"/>
          <w:u w:val="single"/>
        </w:rPr>
        <w:t>§ 17-1905 Rules. The commissioner of the department, the commissioner of consumer affairs and the commissioner of finance shall promulgate any rules as may be necessary for the purposes of carrying out the provisions of this chapter.</w:t>
      </w:r>
    </w:p>
    <w:p w14:paraId="39313F10" w14:textId="77777777" w:rsidR="00E47559" w:rsidRPr="00E47559" w:rsidRDefault="00E47559" w:rsidP="00E47559">
      <w:pPr>
        <w:shd w:val="clear" w:color="auto" w:fill="FFFFFF"/>
        <w:spacing w:after="0" w:line="480" w:lineRule="auto"/>
        <w:ind w:firstLine="720"/>
        <w:jc w:val="both"/>
        <w:rPr>
          <w:rFonts w:eastAsia="Times New Roman"/>
          <w:color w:val="000000"/>
          <w:sz w:val="27"/>
          <w:szCs w:val="27"/>
        </w:rPr>
      </w:pPr>
      <w:r w:rsidRPr="00E47559">
        <w:rPr>
          <w:rFonts w:eastAsia="Times New Roman"/>
          <w:color w:val="000000"/>
          <w:sz w:val="24"/>
          <w:szCs w:val="24"/>
        </w:rPr>
        <w:t>§ 2.  This local law takes effect 180 days after it becomes law, except that the department of health and mental hygiene may take such actions, including the promulgation of rules, as are necessary for the timely implementation of this local law, prior to such effective date.</w:t>
      </w:r>
    </w:p>
    <w:p w14:paraId="314D177D" w14:textId="77777777" w:rsidR="00E47559" w:rsidRPr="00E47559" w:rsidRDefault="00E47559" w:rsidP="00E47559">
      <w:pPr>
        <w:shd w:val="clear" w:color="auto" w:fill="FFFFFF"/>
        <w:spacing w:after="0" w:line="240" w:lineRule="auto"/>
        <w:jc w:val="both"/>
        <w:rPr>
          <w:rFonts w:eastAsia="Times New Roman"/>
          <w:color w:val="000000"/>
          <w:sz w:val="27"/>
          <w:szCs w:val="27"/>
        </w:rPr>
      </w:pPr>
      <w:r w:rsidRPr="00E47559">
        <w:rPr>
          <w:rFonts w:eastAsia="Times New Roman"/>
          <w:color w:val="000000"/>
          <w:sz w:val="18"/>
          <w:szCs w:val="18"/>
        </w:rPr>
        <w:t> </w:t>
      </w:r>
    </w:p>
    <w:p w14:paraId="226B6ED1" w14:textId="453CD577" w:rsidR="00E47559" w:rsidRPr="00E47559" w:rsidRDefault="00E47559" w:rsidP="00E47559">
      <w:pPr>
        <w:shd w:val="clear" w:color="auto" w:fill="FFFFFF"/>
        <w:spacing w:after="0" w:line="240" w:lineRule="auto"/>
        <w:jc w:val="both"/>
        <w:rPr>
          <w:rFonts w:eastAsia="Times New Roman"/>
          <w:color w:val="000000"/>
          <w:sz w:val="27"/>
          <w:szCs w:val="27"/>
        </w:rPr>
      </w:pPr>
      <w:r w:rsidRPr="00E47559">
        <w:rPr>
          <w:rFonts w:eastAsia="Times New Roman"/>
          <w:color w:val="000000"/>
          <w:sz w:val="18"/>
          <w:szCs w:val="18"/>
        </w:rPr>
        <w:t>  </w:t>
      </w:r>
    </w:p>
    <w:p w14:paraId="0E87122F" w14:textId="77777777" w:rsidR="00E47559" w:rsidRPr="00E47559" w:rsidRDefault="00E47559" w:rsidP="00E47559">
      <w:pPr>
        <w:shd w:val="clear" w:color="auto" w:fill="FFFFFF"/>
        <w:spacing w:after="0" w:line="240" w:lineRule="auto"/>
        <w:jc w:val="both"/>
        <w:rPr>
          <w:rFonts w:eastAsia="Times New Roman"/>
          <w:color w:val="000000"/>
          <w:sz w:val="27"/>
          <w:szCs w:val="27"/>
        </w:rPr>
      </w:pPr>
      <w:r w:rsidRPr="00E47559">
        <w:rPr>
          <w:rFonts w:eastAsia="Times New Roman"/>
          <w:color w:val="000000"/>
          <w:sz w:val="18"/>
          <w:szCs w:val="18"/>
        </w:rPr>
        <w:t>MJT</w:t>
      </w:r>
    </w:p>
    <w:p w14:paraId="6ED148C6" w14:textId="77777777" w:rsidR="00E47559" w:rsidRPr="00E47559" w:rsidRDefault="00E47559" w:rsidP="00E47559">
      <w:pPr>
        <w:shd w:val="clear" w:color="auto" w:fill="FFFFFF"/>
        <w:spacing w:after="0" w:line="240" w:lineRule="auto"/>
        <w:jc w:val="both"/>
        <w:rPr>
          <w:rFonts w:eastAsia="Times New Roman"/>
          <w:color w:val="000000"/>
          <w:sz w:val="27"/>
          <w:szCs w:val="27"/>
        </w:rPr>
      </w:pPr>
      <w:r w:rsidRPr="00E47559">
        <w:rPr>
          <w:rFonts w:eastAsia="Times New Roman"/>
          <w:color w:val="000000"/>
          <w:sz w:val="18"/>
          <w:szCs w:val="18"/>
        </w:rPr>
        <w:t>LS #9267</w:t>
      </w:r>
    </w:p>
    <w:p w14:paraId="6DE1BA81" w14:textId="77777777" w:rsidR="00E47559" w:rsidRPr="00E47559" w:rsidRDefault="00E47559" w:rsidP="00E47559">
      <w:pPr>
        <w:shd w:val="clear" w:color="auto" w:fill="FFFFFF"/>
        <w:spacing w:after="0" w:line="240" w:lineRule="auto"/>
        <w:rPr>
          <w:rFonts w:eastAsia="Times New Roman"/>
          <w:color w:val="000000"/>
          <w:sz w:val="27"/>
          <w:szCs w:val="27"/>
        </w:rPr>
      </w:pPr>
      <w:r w:rsidRPr="00E47559">
        <w:rPr>
          <w:rFonts w:eastAsia="Times New Roman"/>
          <w:color w:val="000000"/>
          <w:sz w:val="18"/>
          <w:szCs w:val="18"/>
        </w:rPr>
        <w:t>1:52pm 2/20/2019</w:t>
      </w:r>
    </w:p>
    <w:p w14:paraId="23074586" w14:textId="77777777" w:rsidR="009F22AF" w:rsidRPr="00E47559" w:rsidRDefault="009F22AF" w:rsidP="00E47559">
      <w:pPr>
        <w:spacing w:line="240" w:lineRule="auto"/>
        <w:jc w:val="center"/>
        <w:rPr>
          <w:rFonts w:eastAsiaTheme="minorHAnsi"/>
          <w:bCs/>
          <w:sz w:val="24"/>
          <w:szCs w:val="24"/>
        </w:rPr>
      </w:pPr>
    </w:p>
    <w:sectPr w:rsidR="009F22AF" w:rsidRPr="00E47559" w:rsidSect="00E47559">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DF03C" w14:textId="77777777" w:rsidR="00F5752C" w:rsidRDefault="00F5752C" w:rsidP="00EE6ECB">
      <w:pPr>
        <w:spacing w:after="0" w:line="240" w:lineRule="auto"/>
      </w:pPr>
      <w:r>
        <w:separator/>
      </w:r>
    </w:p>
  </w:endnote>
  <w:endnote w:type="continuationSeparator" w:id="0">
    <w:p w14:paraId="1B212852" w14:textId="77777777" w:rsidR="00F5752C" w:rsidRDefault="00F5752C" w:rsidP="00EE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533759"/>
      <w:docPartObj>
        <w:docPartGallery w:val="Page Numbers (Bottom of Page)"/>
        <w:docPartUnique/>
      </w:docPartObj>
    </w:sdtPr>
    <w:sdtEndPr>
      <w:rPr>
        <w:noProof/>
      </w:rPr>
    </w:sdtEndPr>
    <w:sdtContent>
      <w:p w14:paraId="76CC2357" w14:textId="228A869B" w:rsidR="00F5752C" w:rsidRDefault="00F5752C" w:rsidP="006231F7">
        <w:pPr>
          <w:pStyle w:val="Footer"/>
          <w:ind w:firstLine="0"/>
          <w:jc w:val="center"/>
        </w:pPr>
        <w:r>
          <w:fldChar w:fldCharType="begin"/>
        </w:r>
        <w:r>
          <w:instrText xml:space="preserve"> PAGE   \* MERGEFORMAT </w:instrText>
        </w:r>
        <w:r>
          <w:fldChar w:fldCharType="separate"/>
        </w:r>
        <w:r w:rsidR="00CC6367">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8C366" w14:textId="4A340B22" w:rsidR="00F5752C" w:rsidRDefault="00F5752C" w:rsidP="003C0EFF">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3CF05" w14:textId="77777777" w:rsidR="00F5752C" w:rsidRDefault="00F5752C" w:rsidP="00EE6ECB">
      <w:pPr>
        <w:spacing w:after="0" w:line="240" w:lineRule="auto"/>
      </w:pPr>
      <w:r>
        <w:separator/>
      </w:r>
    </w:p>
  </w:footnote>
  <w:footnote w:type="continuationSeparator" w:id="0">
    <w:p w14:paraId="68D0963C" w14:textId="77777777" w:rsidR="00F5752C" w:rsidRDefault="00F5752C" w:rsidP="00EE6ECB">
      <w:pPr>
        <w:spacing w:after="0" w:line="240" w:lineRule="auto"/>
      </w:pPr>
      <w:r>
        <w:continuationSeparator/>
      </w:r>
    </w:p>
  </w:footnote>
  <w:footnote w:id="1">
    <w:p w14:paraId="429F1C1D" w14:textId="6CCEF0FA" w:rsidR="00F156CD" w:rsidRPr="00581CFD" w:rsidRDefault="00F156CD">
      <w:pPr>
        <w:pStyle w:val="FootnoteText"/>
      </w:pPr>
      <w:r w:rsidRPr="00581CFD">
        <w:rPr>
          <w:rStyle w:val="FootnoteReference"/>
        </w:rPr>
        <w:footnoteRef/>
      </w:r>
      <w:r w:rsidRPr="00581CFD">
        <w:t xml:space="preserve"> National Eating Disorder Association, </w:t>
      </w:r>
      <w:r w:rsidRPr="00581CFD">
        <w:rPr>
          <w:i/>
        </w:rPr>
        <w:t>Body Image</w:t>
      </w:r>
      <w:r w:rsidRPr="00581CFD">
        <w:t xml:space="preserve">, available at </w:t>
      </w:r>
      <w:hyperlink r:id="rId1" w:history="1">
        <w:r w:rsidRPr="00581CFD">
          <w:rPr>
            <w:rStyle w:val="Hyperlink"/>
          </w:rPr>
          <w:t>https://www.nationaleatingdisorders.org/body-image-0</w:t>
        </w:r>
      </w:hyperlink>
    </w:p>
  </w:footnote>
  <w:footnote w:id="2">
    <w:p w14:paraId="71978646" w14:textId="4812CA24" w:rsidR="00595B00" w:rsidRPr="00581CFD" w:rsidRDefault="00595B00">
      <w:pPr>
        <w:pStyle w:val="FootnoteText"/>
      </w:pPr>
      <w:r w:rsidRPr="00581CFD">
        <w:rPr>
          <w:rStyle w:val="FootnoteReference"/>
        </w:rPr>
        <w:footnoteRef/>
      </w:r>
      <w:r w:rsidRPr="00581CFD">
        <w:t xml:space="preserve"> National Institute of Mental Health, </w:t>
      </w:r>
      <w:r w:rsidRPr="00581CFD">
        <w:rPr>
          <w:i/>
        </w:rPr>
        <w:t>Eating Disorders</w:t>
      </w:r>
      <w:r w:rsidRPr="00581CFD">
        <w:t xml:space="preserve">, November 2017, available at </w:t>
      </w:r>
      <w:hyperlink r:id="rId2" w:history="1">
        <w:r w:rsidRPr="00581CFD">
          <w:rPr>
            <w:rStyle w:val="Hyperlink"/>
          </w:rPr>
          <w:t>https://www.nimh.nih.gov/health/statistics/eating-disorders.shtml</w:t>
        </w:r>
      </w:hyperlink>
    </w:p>
  </w:footnote>
  <w:footnote w:id="3">
    <w:p w14:paraId="6EFEA227" w14:textId="0423C754" w:rsidR="00F8316A" w:rsidRPr="00581CFD" w:rsidRDefault="00F8316A">
      <w:pPr>
        <w:pStyle w:val="FootnoteText"/>
      </w:pPr>
      <w:r w:rsidRPr="00581CFD">
        <w:rPr>
          <w:rStyle w:val="FootnoteReference"/>
        </w:rPr>
        <w:footnoteRef/>
      </w:r>
      <w:r w:rsidRPr="00581CFD">
        <w:t xml:space="preserve"> Consumer Reports, </w:t>
      </w:r>
      <w:r w:rsidRPr="00581CFD">
        <w:rPr>
          <w:i/>
        </w:rPr>
        <w:t>What you should know about ‘</w:t>
      </w:r>
      <w:proofErr w:type="spellStart"/>
      <w:r w:rsidRPr="00581CFD">
        <w:rPr>
          <w:i/>
        </w:rPr>
        <w:t>teatox</w:t>
      </w:r>
      <w:proofErr w:type="spellEnd"/>
      <w:r w:rsidRPr="00581CFD">
        <w:rPr>
          <w:i/>
        </w:rPr>
        <w:t>’ as a way to detox</w:t>
      </w:r>
      <w:r w:rsidRPr="00581CFD">
        <w:t xml:space="preserve">, The Washington Post, August 20, 2018, available at </w:t>
      </w:r>
      <w:hyperlink r:id="rId3" w:history="1">
        <w:r w:rsidRPr="00581CFD">
          <w:rPr>
            <w:rStyle w:val="Hyperlink"/>
          </w:rPr>
          <w:t>https://www.washingtonpost.com/national/health-science/what-you-should-know-about-teatox-as-a-way-to-detox/2018/08/17/424915b4-796a-11e8-93cc-6d3beccdd7a3_story.html</w:t>
        </w:r>
      </w:hyperlink>
      <w:r w:rsidRPr="00581CFD">
        <w:t xml:space="preserve"> </w:t>
      </w:r>
    </w:p>
  </w:footnote>
  <w:footnote w:id="4">
    <w:p w14:paraId="05C7456A" w14:textId="0CDAEE51" w:rsidR="00D70CD1" w:rsidRPr="00D70CD1" w:rsidRDefault="00D70CD1">
      <w:pPr>
        <w:pStyle w:val="FootnoteText"/>
        <w:rPr>
          <w:i/>
        </w:rPr>
      </w:pPr>
      <w:r w:rsidRPr="00581CFD">
        <w:rPr>
          <w:rStyle w:val="FootnoteReference"/>
        </w:rPr>
        <w:footnoteRef/>
      </w:r>
      <w:r w:rsidRPr="00581CFD">
        <w:t xml:space="preserve"> </w:t>
      </w:r>
      <w:r w:rsidRPr="00581CFD">
        <w:rPr>
          <w:i/>
        </w:rPr>
        <w:t>Id.</w:t>
      </w:r>
    </w:p>
  </w:footnote>
  <w:footnote w:id="5">
    <w:p w14:paraId="6FA4DC64" w14:textId="30E0F309" w:rsidR="00CB5AD2" w:rsidRDefault="00CB5AD2">
      <w:pPr>
        <w:pStyle w:val="FootnoteText"/>
      </w:pPr>
      <w:r>
        <w:rPr>
          <w:rStyle w:val="FootnoteReference"/>
        </w:rPr>
        <w:footnoteRef/>
      </w:r>
      <w:r>
        <w:t xml:space="preserve"> </w:t>
      </w:r>
      <w:r w:rsidRPr="00D70CD1">
        <w:t xml:space="preserve">Martha Alexander, </w:t>
      </w:r>
      <w:r w:rsidRPr="00D70CD1">
        <w:rPr>
          <w:i/>
        </w:rPr>
        <w:t>The big fat problem with skinny tea: Detox culture and the brands who sell it</w:t>
      </w:r>
      <w:r w:rsidRPr="00D70CD1">
        <w:t xml:space="preserve">, the Independent, September 5, 2019, available at </w:t>
      </w:r>
      <w:hyperlink r:id="rId4" w:history="1">
        <w:r w:rsidRPr="00D70CD1">
          <w:rPr>
            <w:rStyle w:val="Hyperlink"/>
          </w:rPr>
          <w:t>https://www.independent.co.uk/life-style/women/skinny-tea-detox-cleansing-instagram-kylie-jenner-laxative-a9080961.html</w:t>
        </w:r>
      </w:hyperlink>
    </w:p>
  </w:footnote>
  <w:footnote w:id="6">
    <w:p w14:paraId="60A0C6CD" w14:textId="138B1445" w:rsidR="00BA467A" w:rsidRDefault="00BA467A">
      <w:pPr>
        <w:pStyle w:val="FootnoteText"/>
      </w:pPr>
      <w:r>
        <w:rPr>
          <w:rStyle w:val="FootnoteReference"/>
        </w:rPr>
        <w:footnoteRef/>
      </w:r>
      <w:r>
        <w:t xml:space="preserve"> </w:t>
      </w:r>
      <w:r w:rsidRPr="00581CFD">
        <w:rPr>
          <w:i/>
        </w:rPr>
        <w:t>Id.</w:t>
      </w:r>
    </w:p>
  </w:footnote>
  <w:footnote w:id="7">
    <w:p w14:paraId="3FCA209C" w14:textId="4FA214A5" w:rsidR="00A00682" w:rsidRDefault="00A00682">
      <w:pPr>
        <w:pStyle w:val="FootnoteText"/>
      </w:pPr>
      <w:r>
        <w:rPr>
          <w:rStyle w:val="FootnoteReference"/>
        </w:rPr>
        <w:footnoteRef/>
      </w:r>
      <w:r>
        <w:t xml:space="preserve"> </w:t>
      </w:r>
      <w:r w:rsidRPr="00581CFD">
        <w:rPr>
          <w:i/>
        </w:rPr>
        <w:t>Id.</w:t>
      </w:r>
    </w:p>
  </w:footnote>
  <w:footnote w:id="8">
    <w:p w14:paraId="28DE2582" w14:textId="53FA5F91" w:rsidR="00A00682" w:rsidRDefault="00A00682">
      <w:pPr>
        <w:pStyle w:val="FootnoteText"/>
      </w:pPr>
      <w:r>
        <w:rPr>
          <w:rStyle w:val="FootnoteReference"/>
        </w:rPr>
        <w:footnoteRef/>
      </w:r>
      <w:r>
        <w:t xml:space="preserve"> </w:t>
      </w:r>
      <w:r w:rsidRPr="00581CFD">
        <w:rPr>
          <w:i/>
        </w:rPr>
        <w:t>Id.</w:t>
      </w:r>
    </w:p>
  </w:footnote>
  <w:footnote w:id="9">
    <w:p w14:paraId="78EC4C9F" w14:textId="7F60018E" w:rsidR="003F26A1" w:rsidRDefault="003F26A1">
      <w:pPr>
        <w:pStyle w:val="FootnoteText"/>
      </w:pPr>
      <w:r>
        <w:rPr>
          <w:rStyle w:val="FootnoteReference"/>
        </w:rPr>
        <w:footnoteRef/>
      </w:r>
      <w:r>
        <w:t xml:space="preserve"> </w:t>
      </w:r>
      <w:r w:rsidRPr="00581CFD">
        <w:rPr>
          <w:i/>
        </w:rPr>
        <w:t>Id.</w:t>
      </w:r>
    </w:p>
  </w:footnote>
  <w:footnote w:id="10">
    <w:p w14:paraId="26D44B91" w14:textId="6427130E" w:rsidR="00816E43" w:rsidRPr="00816E43" w:rsidRDefault="00816E43">
      <w:pPr>
        <w:pStyle w:val="FootnoteText"/>
        <w:rPr>
          <w:rFonts w:eastAsia="Times New Roman"/>
          <w:color w:val="000000"/>
        </w:rPr>
      </w:pPr>
      <w:r w:rsidRPr="00816E43">
        <w:rPr>
          <w:rStyle w:val="FootnoteReference"/>
        </w:rPr>
        <w:footnoteRef/>
      </w:r>
      <w:r w:rsidRPr="00816E43">
        <w:t xml:space="preserve"> “</w:t>
      </w:r>
      <w:r w:rsidRPr="00816E43">
        <w:rPr>
          <w:bCs/>
          <w:color w:val="000000"/>
        </w:rPr>
        <w:t>How Are Appetite Suppressing Lollipops Still a Thing</w:t>
      </w:r>
      <w:proofErr w:type="gramStart"/>
      <w:r w:rsidRPr="00816E43">
        <w:rPr>
          <w:bCs/>
          <w:color w:val="000000"/>
        </w:rPr>
        <w:t>?,</w:t>
      </w:r>
      <w:proofErr w:type="gramEnd"/>
      <w:r w:rsidRPr="00816E43">
        <w:rPr>
          <w:bCs/>
          <w:color w:val="000000"/>
        </w:rPr>
        <w:t xml:space="preserve">” </w:t>
      </w:r>
      <w:r w:rsidRPr="00816E43">
        <w:rPr>
          <w:rFonts w:eastAsia="Times New Roman"/>
          <w:color w:val="000000"/>
        </w:rPr>
        <w:t xml:space="preserve">Marie Claire, Allie Conti, Oct. 5, 2018, available at </w:t>
      </w:r>
      <w:hyperlink r:id="rId5" w:history="1">
        <w:r w:rsidRPr="00816E43">
          <w:rPr>
            <w:rStyle w:val="Hyperlink"/>
          </w:rPr>
          <w:t>https://www.marieclaire.com/health-fitness/a23306006/appetite-suppressing-lollipops-outrage/</w:t>
        </w:r>
      </w:hyperlink>
      <w:r w:rsidRPr="00816E43">
        <w:t>.</w:t>
      </w:r>
    </w:p>
  </w:footnote>
  <w:footnote w:id="11">
    <w:p w14:paraId="05E86475" w14:textId="2534CC7D" w:rsidR="003C142B" w:rsidRPr="003C142B" w:rsidRDefault="003C142B">
      <w:pPr>
        <w:pStyle w:val="FootnoteText"/>
      </w:pPr>
      <w:r w:rsidRPr="003C142B">
        <w:rPr>
          <w:rStyle w:val="FootnoteReference"/>
        </w:rPr>
        <w:footnoteRef/>
      </w:r>
      <w:r w:rsidRPr="003C142B">
        <w:t xml:space="preserve"> </w:t>
      </w:r>
      <w:r w:rsidRPr="003C142B">
        <w:rPr>
          <w:i/>
        </w:rPr>
        <w:t>See</w:t>
      </w:r>
      <w:r w:rsidRPr="003C142B">
        <w:t xml:space="preserve"> “PSA: K</w:t>
      </w:r>
      <w:r w:rsidRPr="003C142B">
        <w:rPr>
          <w:color w:val="000000"/>
        </w:rPr>
        <w:t>im Kardashian's 'Appetite Suppressant' Lollipops Are Not a Smart Weight Loss Tool</w:t>
      </w:r>
      <w:r w:rsidRPr="003C142B">
        <w:t xml:space="preserve">,” Prevention, May. 16, 2018, available at </w:t>
      </w:r>
      <w:hyperlink r:id="rId6" w:history="1">
        <w:r w:rsidRPr="003C142B">
          <w:rPr>
            <w:rStyle w:val="Hyperlink"/>
          </w:rPr>
          <w:t>https://www.prevention.com/weight-loss/a20717523/kim-kardashian-flat-tummy-lollipops/</w:t>
        </w:r>
      </w:hyperlink>
      <w:r w:rsidRPr="003C142B">
        <w:t>.</w:t>
      </w:r>
    </w:p>
  </w:footnote>
  <w:footnote w:id="12">
    <w:p w14:paraId="2641A56A" w14:textId="6492D296" w:rsidR="00DE1F73" w:rsidRPr="00D70CD1" w:rsidRDefault="00DE1F73" w:rsidP="00DE1F73">
      <w:pPr>
        <w:pStyle w:val="FootnoteText"/>
      </w:pPr>
      <w:r w:rsidRPr="00D70CD1">
        <w:rPr>
          <w:rStyle w:val="FootnoteReference"/>
        </w:rPr>
        <w:footnoteRef/>
      </w:r>
      <w:r w:rsidRPr="00D70CD1">
        <w:t xml:space="preserve"> </w:t>
      </w:r>
      <w:r w:rsidRPr="00581CFD">
        <w:t xml:space="preserve">Consumer Reports, </w:t>
      </w:r>
      <w:r w:rsidRPr="00581CFD">
        <w:rPr>
          <w:i/>
        </w:rPr>
        <w:t>What you should know about ‘</w:t>
      </w:r>
      <w:proofErr w:type="spellStart"/>
      <w:r w:rsidRPr="00581CFD">
        <w:rPr>
          <w:i/>
        </w:rPr>
        <w:t>teatox</w:t>
      </w:r>
      <w:proofErr w:type="spellEnd"/>
      <w:r w:rsidRPr="00581CFD">
        <w:rPr>
          <w:i/>
        </w:rPr>
        <w:t>’ as a way to detox</w:t>
      </w:r>
      <w:r w:rsidRPr="00581CFD">
        <w:t xml:space="preserve">, The Washington Post, August 20, 2018, available at </w:t>
      </w:r>
      <w:hyperlink r:id="rId7" w:history="1">
        <w:r w:rsidRPr="00581CFD">
          <w:rPr>
            <w:rStyle w:val="Hyperlink"/>
          </w:rPr>
          <w:t>https://www.washingtonpost.com/national/health-science/what-you-should-know-about-teatox-as-a-way-to-detox/2018/08/17/424915b4-796a-11e8-93cc-6d3beccdd7a3_story.html</w:t>
        </w:r>
      </w:hyperlink>
      <w:r w:rsidRPr="00D70CD1">
        <w:rPr>
          <w:i/>
        </w:rPr>
        <w:t xml:space="preserve">; </w:t>
      </w:r>
      <w:r w:rsidRPr="00D70CD1">
        <w:t xml:space="preserve">Martha Alexander, </w:t>
      </w:r>
      <w:r w:rsidRPr="00D70CD1">
        <w:rPr>
          <w:i/>
        </w:rPr>
        <w:t>The big fat problem with skinny tea: Detox culture and the brands who sell it</w:t>
      </w:r>
      <w:r w:rsidRPr="00D70CD1">
        <w:t xml:space="preserve">, the Independent, September 5, 2019, available at </w:t>
      </w:r>
      <w:hyperlink r:id="rId8" w:history="1">
        <w:r w:rsidRPr="00D70CD1">
          <w:rPr>
            <w:rStyle w:val="Hyperlink"/>
          </w:rPr>
          <w:t>https://www.independent.co.uk/life-style/women/skinny-tea-detox-cleansing-instagram-kylie-jenner-laxative-a9080961.html</w:t>
        </w:r>
      </w:hyperlink>
    </w:p>
  </w:footnote>
  <w:footnote w:id="13">
    <w:p w14:paraId="3F738CAE" w14:textId="77777777" w:rsidR="00DE1F73" w:rsidRDefault="00DE1F73" w:rsidP="00DE1F73">
      <w:pPr>
        <w:pStyle w:val="FootnoteText"/>
      </w:pPr>
      <w:r>
        <w:rPr>
          <w:rStyle w:val="FootnoteReference"/>
        </w:rPr>
        <w:footnoteRef/>
      </w:r>
      <w:r>
        <w:t xml:space="preserve"> </w:t>
      </w:r>
      <w:r w:rsidRPr="00581CFD">
        <w:t xml:space="preserve">Consumer Reports, </w:t>
      </w:r>
      <w:r w:rsidRPr="00581CFD">
        <w:rPr>
          <w:i/>
        </w:rPr>
        <w:t>What you should know about ‘</w:t>
      </w:r>
      <w:proofErr w:type="spellStart"/>
      <w:r w:rsidRPr="00581CFD">
        <w:rPr>
          <w:i/>
        </w:rPr>
        <w:t>teatox</w:t>
      </w:r>
      <w:proofErr w:type="spellEnd"/>
      <w:r w:rsidRPr="00581CFD">
        <w:rPr>
          <w:i/>
        </w:rPr>
        <w:t>’ as a way to detox</w:t>
      </w:r>
      <w:r w:rsidRPr="00581CFD">
        <w:t xml:space="preserve">, The Washington Post, August 20, 2018, available at </w:t>
      </w:r>
      <w:hyperlink r:id="rId9" w:history="1">
        <w:r w:rsidRPr="00581CFD">
          <w:rPr>
            <w:rStyle w:val="Hyperlink"/>
          </w:rPr>
          <w:t>https://www.washingtonpost.com/national/health-science/what-you-should-know-about-teatox-as-a-way-to-detox/2018/08/17/424915b4-796a-11e8-93cc-6d3beccdd7a3_story.html</w:t>
        </w:r>
      </w:hyperlink>
    </w:p>
  </w:footnote>
  <w:footnote w:id="14">
    <w:p w14:paraId="4EE8B964" w14:textId="77777777" w:rsidR="00DE1F73" w:rsidRPr="00622050" w:rsidRDefault="00DE1F73" w:rsidP="00DE1F73">
      <w:pPr>
        <w:pStyle w:val="FootnoteText"/>
      </w:pPr>
      <w:r w:rsidRPr="00622050">
        <w:rPr>
          <w:rStyle w:val="FootnoteReference"/>
        </w:rPr>
        <w:footnoteRef/>
      </w:r>
      <w:r w:rsidRPr="00622050">
        <w:t xml:space="preserve"> Martha Alexander, </w:t>
      </w:r>
      <w:r w:rsidRPr="00622050">
        <w:rPr>
          <w:i/>
        </w:rPr>
        <w:t>The big fat problem with skinny tea: Detox culture and the brands who sell it</w:t>
      </w:r>
      <w:r w:rsidRPr="00622050">
        <w:t xml:space="preserve">, the Independent, September 5, 2019, available at </w:t>
      </w:r>
      <w:hyperlink r:id="rId10" w:history="1">
        <w:r w:rsidRPr="00622050">
          <w:rPr>
            <w:rStyle w:val="Hyperlink"/>
          </w:rPr>
          <w:t>https://www.independent.co.uk/life-style/women/skinny-tea-detox-cleansing-instagram-kylie-jenner-laxative-a9080961.html</w:t>
        </w:r>
      </w:hyperlink>
    </w:p>
  </w:footnote>
  <w:footnote w:id="15">
    <w:p w14:paraId="511D046C" w14:textId="77777777" w:rsidR="00DE1F73" w:rsidRPr="00622050" w:rsidRDefault="00DE1F73" w:rsidP="00DE1F73">
      <w:pPr>
        <w:pStyle w:val="FootnoteText"/>
      </w:pPr>
      <w:r w:rsidRPr="00622050">
        <w:rPr>
          <w:rStyle w:val="FootnoteReference"/>
        </w:rPr>
        <w:footnoteRef/>
      </w:r>
      <w:r w:rsidRPr="00622050">
        <w:t xml:space="preserve"> Consumer Reports, </w:t>
      </w:r>
      <w:r w:rsidRPr="00622050">
        <w:rPr>
          <w:i/>
        </w:rPr>
        <w:t>What you should know about ‘</w:t>
      </w:r>
      <w:proofErr w:type="spellStart"/>
      <w:r w:rsidRPr="00622050">
        <w:rPr>
          <w:i/>
        </w:rPr>
        <w:t>teatox</w:t>
      </w:r>
      <w:proofErr w:type="spellEnd"/>
      <w:r w:rsidRPr="00622050">
        <w:rPr>
          <w:i/>
        </w:rPr>
        <w:t>’ as a way to detox</w:t>
      </w:r>
      <w:r w:rsidRPr="00622050">
        <w:t xml:space="preserve">, The Washington Post, August 20, 2018, available at </w:t>
      </w:r>
      <w:hyperlink r:id="rId11" w:history="1">
        <w:r w:rsidRPr="00622050">
          <w:rPr>
            <w:rStyle w:val="Hyperlink"/>
          </w:rPr>
          <w:t>https://www.washingtonpost.com/national/health-science/what-you-should-know-about-teatox-as-a-way-to-detox/2018/08/17/424915b4-796a-11e8-93cc-6d3beccdd7a3_story.html</w:t>
        </w:r>
      </w:hyperlink>
    </w:p>
  </w:footnote>
  <w:footnote w:id="16">
    <w:p w14:paraId="613F8DEE" w14:textId="77777777" w:rsidR="00DE1F73" w:rsidRPr="00622050" w:rsidRDefault="00DE1F73" w:rsidP="00DE1F73">
      <w:pPr>
        <w:pStyle w:val="FootnoteText"/>
      </w:pPr>
      <w:r w:rsidRPr="00622050">
        <w:rPr>
          <w:rStyle w:val="FootnoteReference"/>
        </w:rPr>
        <w:footnoteRef/>
      </w:r>
      <w:r w:rsidRPr="00622050">
        <w:t xml:space="preserve"> </w:t>
      </w:r>
      <w:r w:rsidRPr="00622050">
        <w:rPr>
          <w:i/>
        </w:rPr>
        <w:t>Id.</w:t>
      </w:r>
    </w:p>
  </w:footnote>
  <w:footnote w:id="17">
    <w:p w14:paraId="5E34D679" w14:textId="77777777" w:rsidR="00DE1F73" w:rsidRPr="00622050" w:rsidRDefault="00DE1F73" w:rsidP="00DE1F73">
      <w:pPr>
        <w:pStyle w:val="FootnoteText"/>
      </w:pPr>
      <w:r w:rsidRPr="00622050">
        <w:rPr>
          <w:rStyle w:val="FootnoteReference"/>
        </w:rPr>
        <w:footnoteRef/>
      </w:r>
      <w:r w:rsidRPr="00622050">
        <w:t xml:space="preserve"> </w:t>
      </w:r>
      <w:r w:rsidRPr="00622050">
        <w:rPr>
          <w:i/>
        </w:rPr>
        <w:t>Id.</w:t>
      </w:r>
    </w:p>
  </w:footnote>
  <w:footnote w:id="18">
    <w:p w14:paraId="54823F0A" w14:textId="10D0C2BD" w:rsidR="00622050" w:rsidRPr="00622050" w:rsidRDefault="00622050">
      <w:pPr>
        <w:pStyle w:val="FootnoteText"/>
      </w:pPr>
      <w:r w:rsidRPr="00622050">
        <w:rPr>
          <w:rStyle w:val="FootnoteReference"/>
        </w:rPr>
        <w:footnoteRef/>
      </w:r>
      <w:r w:rsidRPr="00622050">
        <w:t xml:space="preserve"> The American Psychiatric Association, </w:t>
      </w:r>
      <w:r w:rsidRPr="00622050">
        <w:rPr>
          <w:i/>
        </w:rPr>
        <w:t>What Are Eating Disorders?</w:t>
      </w:r>
      <w:r w:rsidRPr="00622050">
        <w:t xml:space="preserve">, January 2017, available at </w:t>
      </w:r>
      <w:hyperlink r:id="rId12" w:history="1">
        <w:r w:rsidRPr="00622050">
          <w:rPr>
            <w:rStyle w:val="Hyperlink"/>
          </w:rPr>
          <w:t>https://www.psychiatry.org/patients-families/eating-disorders/what-are-eating-disorders</w:t>
        </w:r>
      </w:hyperlink>
    </w:p>
  </w:footnote>
  <w:footnote w:id="19">
    <w:p w14:paraId="45D2C744" w14:textId="05D0B7E1" w:rsidR="00622050" w:rsidRDefault="00622050">
      <w:pPr>
        <w:pStyle w:val="FootnoteText"/>
      </w:pPr>
      <w:r>
        <w:rPr>
          <w:rStyle w:val="FootnoteReference"/>
        </w:rPr>
        <w:footnoteRef/>
      </w:r>
      <w:r>
        <w:t xml:space="preserve"> </w:t>
      </w:r>
      <w:r w:rsidRPr="00622050">
        <w:rPr>
          <w:i/>
        </w:rPr>
        <w:t>Id.</w:t>
      </w:r>
    </w:p>
  </w:footnote>
  <w:footnote w:id="20">
    <w:p w14:paraId="1823E2DA" w14:textId="3D562C8C" w:rsidR="00622050" w:rsidRDefault="00622050">
      <w:pPr>
        <w:pStyle w:val="FootnoteText"/>
      </w:pPr>
      <w:r>
        <w:rPr>
          <w:rStyle w:val="FootnoteReference"/>
        </w:rPr>
        <w:footnoteRef/>
      </w:r>
      <w:r>
        <w:t xml:space="preserve"> </w:t>
      </w:r>
      <w:r w:rsidRPr="00622050">
        <w:rPr>
          <w:i/>
        </w:rPr>
        <w:t>Id.</w:t>
      </w:r>
    </w:p>
  </w:footnote>
  <w:footnote w:id="21">
    <w:p w14:paraId="2C960EF8" w14:textId="11641120" w:rsidR="00622050" w:rsidRPr="00D331B5" w:rsidRDefault="00622050">
      <w:pPr>
        <w:pStyle w:val="FootnoteText"/>
      </w:pPr>
      <w:r w:rsidRPr="00D331B5">
        <w:rPr>
          <w:rStyle w:val="FootnoteReference"/>
        </w:rPr>
        <w:footnoteRef/>
      </w:r>
      <w:r w:rsidRPr="00D331B5">
        <w:t xml:space="preserve"> </w:t>
      </w:r>
      <w:r w:rsidRPr="00D331B5">
        <w:rPr>
          <w:i/>
        </w:rPr>
        <w:t>Id.</w:t>
      </w:r>
    </w:p>
  </w:footnote>
  <w:footnote w:id="22">
    <w:p w14:paraId="553A3E4D" w14:textId="0951A4AF" w:rsidR="004B5323" w:rsidRPr="00D331B5" w:rsidRDefault="004B5323">
      <w:pPr>
        <w:pStyle w:val="FootnoteText"/>
      </w:pPr>
      <w:r w:rsidRPr="00D331B5">
        <w:rPr>
          <w:rStyle w:val="FootnoteReference"/>
        </w:rPr>
        <w:footnoteRef/>
      </w:r>
      <w:r w:rsidRPr="00D331B5">
        <w:t xml:space="preserve"> National Institute of Mental Health, </w:t>
      </w:r>
      <w:r w:rsidRPr="00D331B5">
        <w:rPr>
          <w:i/>
        </w:rPr>
        <w:t>Eating Disorders</w:t>
      </w:r>
      <w:r w:rsidRPr="00D331B5">
        <w:t xml:space="preserve">, November 2017, available at </w:t>
      </w:r>
      <w:hyperlink r:id="rId13" w:history="1">
        <w:r w:rsidRPr="00D331B5">
          <w:rPr>
            <w:rStyle w:val="Hyperlink"/>
          </w:rPr>
          <w:t>https://www.nimh.nih.gov/health/statistics/eating-disorders.shtml</w:t>
        </w:r>
      </w:hyperlink>
    </w:p>
  </w:footnote>
  <w:footnote w:id="23">
    <w:p w14:paraId="3088570C" w14:textId="49412459" w:rsidR="00432D54" w:rsidRPr="00D331B5" w:rsidRDefault="00432D54">
      <w:pPr>
        <w:pStyle w:val="FootnoteText"/>
      </w:pPr>
      <w:r w:rsidRPr="00D331B5">
        <w:rPr>
          <w:rStyle w:val="FootnoteReference"/>
        </w:rPr>
        <w:footnoteRef/>
      </w:r>
      <w:r w:rsidRPr="00D331B5">
        <w:t xml:space="preserve"> National Association of Anorexia Nervosa and Associated Disorders, </w:t>
      </w:r>
      <w:r w:rsidRPr="00D331B5">
        <w:rPr>
          <w:i/>
        </w:rPr>
        <w:t>Eating Disorder Statistics</w:t>
      </w:r>
      <w:r w:rsidRPr="00D331B5">
        <w:t xml:space="preserve">, available at </w:t>
      </w:r>
      <w:hyperlink r:id="rId14" w:history="1">
        <w:r w:rsidRPr="00D331B5">
          <w:rPr>
            <w:rStyle w:val="Hyperlink"/>
          </w:rPr>
          <w:t>https://anad.org/education-and-awareness/about-eating-disorders/eating-disorders-statistics/</w:t>
        </w:r>
      </w:hyperlink>
    </w:p>
  </w:footnote>
  <w:footnote w:id="24">
    <w:p w14:paraId="3C2B30BA" w14:textId="762CC07D" w:rsidR="004B5323" w:rsidRPr="00D331B5" w:rsidRDefault="004B5323">
      <w:pPr>
        <w:pStyle w:val="FootnoteText"/>
      </w:pPr>
      <w:r w:rsidRPr="00D331B5">
        <w:rPr>
          <w:rStyle w:val="FootnoteReference"/>
        </w:rPr>
        <w:footnoteRef/>
      </w:r>
      <w:r w:rsidRPr="00D331B5">
        <w:t xml:space="preserve"> </w:t>
      </w:r>
      <w:r w:rsidR="00432D54" w:rsidRPr="00D331B5">
        <w:t xml:space="preserve">National Institute of Mental Health, </w:t>
      </w:r>
      <w:r w:rsidR="00432D54" w:rsidRPr="00D331B5">
        <w:rPr>
          <w:i/>
        </w:rPr>
        <w:t>Eating Disorders</w:t>
      </w:r>
      <w:r w:rsidR="00432D54" w:rsidRPr="00D331B5">
        <w:t xml:space="preserve">, November 2017, available at </w:t>
      </w:r>
      <w:hyperlink r:id="rId15" w:history="1">
        <w:r w:rsidR="00432D54" w:rsidRPr="00D331B5">
          <w:rPr>
            <w:rStyle w:val="Hyperlink"/>
          </w:rPr>
          <w:t>https://www.nimh.nih.gov/health/statistics/eating-disorders.shtml</w:t>
        </w:r>
      </w:hyperlink>
    </w:p>
  </w:footnote>
  <w:footnote w:id="25">
    <w:p w14:paraId="395C6880" w14:textId="2CAD6AD1" w:rsidR="00EA16A9" w:rsidRPr="00D331B5" w:rsidRDefault="00EA16A9">
      <w:pPr>
        <w:pStyle w:val="FootnoteText"/>
      </w:pPr>
      <w:r w:rsidRPr="00D331B5">
        <w:rPr>
          <w:rStyle w:val="FootnoteReference"/>
        </w:rPr>
        <w:footnoteRef/>
      </w:r>
      <w:r w:rsidRPr="00D331B5">
        <w:t xml:space="preserve"> </w:t>
      </w:r>
      <w:r w:rsidRPr="00D331B5">
        <w:rPr>
          <w:i/>
        </w:rPr>
        <w:t>Id.</w:t>
      </w:r>
    </w:p>
  </w:footnote>
  <w:footnote w:id="26">
    <w:p w14:paraId="107482DC" w14:textId="7E152296" w:rsidR="00432D54" w:rsidRPr="00D331B5" w:rsidRDefault="00432D54">
      <w:pPr>
        <w:pStyle w:val="FootnoteText"/>
      </w:pPr>
      <w:r w:rsidRPr="00D331B5">
        <w:rPr>
          <w:rStyle w:val="FootnoteReference"/>
        </w:rPr>
        <w:footnoteRef/>
      </w:r>
      <w:r w:rsidRPr="00D331B5">
        <w:t xml:space="preserve"> </w:t>
      </w:r>
      <w:r w:rsidRPr="00D331B5">
        <w:rPr>
          <w:i/>
        </w:rPr>
        <w:t>Id.</w:t>
      </w:r>
    </w:p>
  </w:footnote>
  <w:footnote w:id="27">
    <w:p w14:paraId="64EEF7AB" w14:textId="77777777" w:rsidR="00432D54" w:rsidRPr="00D331B5" w:rsidRDefault="00432D54" w:rsidP="00432D54">
      <w:pPr>
        <w:pStyle w:val="FootnoteText"/>
      </w:pPr>
      <w:r w:rsidRPr="00D331B5">
        <w:rPr>
          <w:rStyle w:val="FootnoteReference"/>
        </w:rPr>
        <w:footnoteRef/>
      </w:r>
      <w:r w:rsidRPr="00D331B5">
        <w:t xml:space="preserve"> </w:t>
      </w:r>
      <w:r w:rsidRPr="00D331B5">
        <w:rPr>
          <w:i/>
        </w:rPr>
        <w:t>Id.</w:t>
      </w:r>
    </w:p>
  </w:footnote>
  <w:footnote w:id="28">
    <w:p w14:paraId="0F89ABC4" w14:textId="019365BD" w:rsidR="001845E0" w:rsidRPr="00D331B5" w:rsidRDefault="001845E0">
      <w:pPr>
        <w:pStyle w:val="FootnoteText"/>
      </w:pPr>
      <w:r w:rsidRPr="00D331B5">
        <w:rPr>
          <w:rStyle w:val="FootnoteReference"/>
        </w:rPr>
        <w:footnoteRef/>
      </w:r>
      <w:r w:rsidRPr="00D331B5">
        <w:t xml:space="preserve"> National Association of Anorexia Nervosa and Associated Disorders, </w:t>
      </w:r>
      <w:r w:rsidRPr="00D331B5">
        <w:rPr>
          <w:i/>
        </w:rPr>
        <w:t>Eating Disorder Statistics</w:t>
      </w:r>
      <w:r w:rsidRPr="00D331B5">
        <w:t xml:space="preserve">, available at </w:t>
      </w:r>
      <w:hyperlink r:id="rId16" w:history="1">
        <w:r w:rsidRPr="00D331B5">
          <w:rPr>
            <w:rStyle w:val="Hyperlink"/>
          </w:rPr>
          <w:t>https://anad.org/education-and-awareness/about-eating-disorders/eating-disorders-statistics/</w:t>
        </w:r>
      </w:hyperlink>
    </w:p>
  </w:footnote>
  <w:footnote w:id="29">
    <w:p w14:paraId="1FFF7E66" w14:textId="5C336397" w:rsidR="008A71D4" w:rsidRPr="00A96FDB" w:rsidRDefault="008A71D4">
      <w:pPr>
        <w:pStyle w:val="FootnoteText"/>
      </w:pPr>
      <w:r w:rsidRPr="00D331B5">
        <w:rPr>
          <w:rStyle w:val="FootnoteReference"/>
        </w:rPr>
        <w:footnoteRef/>
      </w:r>
      <w:r w:rsidRPr="00D331B5">
        <w:t xml:space="preserve"> Sarah J. Thompson, </w:t>
      </w:r>
      <w:r w:rsidRPr="00D331B5">
        <w:rPr>
          <w:i/>
        </w:rPr>
        <w:t>Why Eating Disorder Treatment is Failing Us All</w:t>
      </w:r>
      <w:r w:rsidRPr="00D331B5">
        <w:t xml:space="preserve">, Resilient Fat </w:t>
      </w:r>
      <w:proofErr w:type="spellStart"/>
      <w:r w:rsidRPr="00D331B5">
        <w:t>Goddex</w:t>
      </w:r>
      <w:proofErr w:type="spellEnd"/>
      <w:r w:rsidRPr="00D331B5">
        <w:t xml:space="preserve">, available at </w:t>
      </w:r>
      <w:hyperlink r:id="rId17" w:history="1">
        <w:r w:rsidRPr="00D331B5">
          <w:rPr>
            <w:rStyle w:val="Hyperlink"/>
          </w:rPr>
          <w:t>https://www.resilientfatgoddess.com/blog/whyeatingdisordertreatmentisfailingusall</w:t>
        </w:r>
      </w:hyperlink>
      <w:r w:rsidR="00D331B5" w:rsidRPr="00D331B5">
        <w:t xml:space="preserve">; Zach Rawlings, </w:t>
      </w:r>
      <w:r w:rsidR="00D331B5" w:rsidRPr="00D331B5">
        <w:rPr>
          <w:i/>
        </w:rPr>
        <w:t xml:space="preserve">Transgender </w:t>
      </w:r>
      <w:r w:rsidR="00D331B5" w:rsidRPr="004B797F">
        <w:rPr>
          <w:i/>
        </w:rPr>
        <w:t>Mental Health: Offering Support</w:t>
      </w:r>
      <w:r w:rsidR="00D331B5" w:rsidRPr="004B797F">
        <w:t xml:space="preserve">, Eating Recovery Center, September 27, 2019, available at </w:t>
      </w:r>
      <w:hyperlink r:id="rId18" w:history="1">
        <w:r w:rsidR="00D331B5" w:rsidRPr="00A96FDB">
          <w:rPr>
            <w:rStyle w:val="Hyperlink"/>
          </w:rPr>
          <w:t>https://www.eatingrecoverycenter.com/blog/october-2017/transgender-mental-health</w:t>
        </w:r>
      </w:hyperlink>
    </w:p>
  </w:footnote>
  <w:footnote w:id="30">
    <w:p w14:paraId="2557C3CF" w14:textId="0D99507D" w:rsidR="008A71D4" w:rsidRPr="00A96FDB" w:rsidRDefault="008A71D4">
      <w:pPr>
        <w:pStyle w:val="FootnoteText"/>
        <w:rPr>
          <w:i/>
        </w:rPr>
      </w:pPr>
      <w:r w:rsidRPr="00A96FDB">
        <w:rPr>
          <w:rStyle w:val="FootnoteReference"/>
        </w:rPr>
        <w:footnoteRef/>
      </w:r>
      <w:r w:rsidRPr="00A96FDB">
        <w:t xml:space="preserve"> </w:t>
      </w:r>
      <w:r w:rsidR="0031544D" w:rsidRPr="00A96FDB">
        <w:t xml:space="preserve">Sarah J. Thompson, </w:t>
      </w:r>
      <w:r w:rsidR="0031544D" w:rsidRPr="00A96FDB">
        <w:rPr>
          <w:i/>
        </w:rPr>
        <w:t>Why Eating Disorder Treatment is Failing Us All</w:t>
      </w:r>
      <w:r w:rsidR="0031544D" w:rsidRPr="00A96FDB">
        <w:t xml:space="preserve">, Resilient Fat </w:t>
      </w:r>
      <w:proofErr w:type="spellStart"/>
      <w:r w:rsidR="0031544D" w:rsidRPr="00A96FDB">
        <w:t>Goddex</w:t>
      </w:r>
      <w:proofErr w:type="spellEnd"/>
      <w:r w:rsidR="0031544D" w:rsidRPr="00A96FDB">
        <w:t xml:space="preserve">, available at </w:t>
      </w:r>
      <w:hyperlink r:id="rId19" w:history="1">
        <w:r w:rsidR="0031544D" w:rsidRPr="00A96FDB">
          <w:rPr>
            <w:rStyle w:val="Hyperlink"/>
          </w:rPr>
          <w:t>https://www.resilientfatgoddess.com/blog/whyeatingdisordertreatmentisfailingusall</w:t>
        </w:r>
      </w:hyperlink>
      <w:r w:rsidRPr="00A96FDB">
        <w:rPr>
          <w:i/>
        </w:rPr>
        <w:t xml:space="preserve"> </w:t>
      </w:r>
    </w:p>
  </w:footnote>
  <w:footnote w:id="31">
    <w:p w14:paraId="7B4B1592" w14:textId="65C14EFB" w:rsidR="004B797F" w:rsidRPr="00A96FDB" w:rsidRDefault="004B797F">
      <w:pPr>
        <w:pStyle w:val="FootnoteText"/>
      </w:pPr>
      <w:r w:rsidRPr="00A96FDB">
        <w:rPr>
          <w:rStyle w:val="FootnoteReference"/>
        </w:rPr>
        <w:footnoteRef/>
      </w:r>
      <w:r w:rsidRPr="00A96FDB">
        <w:t xml:space="preserve"> </w:t>
      </w:r>
      <w:r w:rsidRPr="00A96FDB">
        <w:rPr>
          <w:i/>
        </w:rPr>
        <w:t>Id.</w:t>
      </w:r>
      <w:r w:rsidRPr="00A96FDB">
        <w:t xml:space="preserve">; The National Eating Disorders Association, </w:t>
      </w:r>
      <w:r w:rsidRPr="00A96FDB">
        <w:rPr>
          <w:i/>
        </w:rPr>
        <w:t xml:space="preserve">People of Color and Eating Disorders, </w:t>
      </w:r>
      <w:r w:rsidRPr="00A96FDB">
        <w:t xml:space="preserve">available at </w:t>
      </w:r>
      <w:hyperlink r:id="rId20" w:history="1">
        <w:r w:rsidRPr="00A96FDB">
          <w:rPr>
            <w:rStyle w:val="Hyperlink"/>
          </w:rPr>
          <w:t>https://www.nationaleatingdisorders.org/people-color-and-eating-disorders</w:t>
        </w:r>
      </w:hyperlink>
      <w:r w:rsidRPr="00A96FDB">
        <w:t xml:space="preserve"> </w:t>
      </w:r>
      <w:hyperlink r:id="rId21" w:history="1">
        <w:r w:rsidRPr="00A96FDB">
          <w:rPr>
            <w:rStyle w:val="Hyperlink"/>
          </w:rPr>
          <w:t>https://www.resilientfatgoddess.com/blog/whyeatingdisordertreatmentisfailingusall</w:t>
        </w:r>
      </w:hyperlink>
    </w:p>
  </w:footnote>
  <w:footnote w:id="32">
    <w:p w14:paraId="4292275F" w14:textId="3DD1B3E0" w:rsidR="00A96FDB" w:rsidRPr="00A96FDB" w:rsidRDefault="00A96FDB">
      <w:pPr>
        <w:pStyle w:val="FootnoteText"/>
      </w:pPr>
      <w:r w:rsidRPr="00A96FDB">
        <w:rPr>
          <w:rStyle w:val="FootnoteReference"/>
        </w:rPr>
        <w:footnoteRef/>
      </w:r>
      <w:r w:rsidRPr="00A96FDB">
        <w:t xml:space="preserve"> American Psychological Association, </w:t>
      </w:r>
      <w:r w:rsidRPr="00A96FDB">
        <w:rPr>
          <w:i/>
        </w:rPr>
        <w:t>Fat Shaming in the Doctor’s Office Can be Mentally and Physically Harmful</w:t>
      </w:r>
      <w:r w:rsidRPr="00A96FDB">
        <w:t xml:space="preserve">, August 3, 2017, available at </w:t>
      </w:r>
      <w:hyperlink r:id="rId22" w:history="1">
        <w:r w:rsidRPr="00A96FDB">
          <w:rPr>
            <w:rStyle w:val="Hyperlink"/>
          </w:rPr>
          <w:t>https://www.apa.org/news/press/releases/2017/08/fat-shaming</w:t>
        </w:r>
      </w:hyperlink>
    </w:p>
  </w:footnote>
  <w:footnote w:id="33">
    <w:p w14:paraId="5B5D5A04" w14:textId="23CC7F0B" w:rsidR="00360604" w:rsidRPr="00A96FDB" w:rsidRDefault="00360604">
      <w:pPr>
        <w:pStyle w:val="FootnoteText"/>
      </w:pPr>
      <w:r w:rsidRPr="00A96FDB">
        <w:rPr>
          <w:rStyle w:val="FootnoteReference"/>
        </w:rPr>
        <w:footnoteRef/>
      </w:r>
      <w:r w:rsidRPr="00A96FDB">
        <w:t xml:space="preserve"> Heather </w:t>
      </w:r>
      <w:proofErr w:type="spellStart"/>
      <w:r w:rsidRPr="00A96FDB">
        <w:t>Ashbach</w:t>
      </w:r>
      <w:proofErr w:type="spellEnd"/>
      <w:r w:rsidRPr="00A96FDB">
        <w:t xml:space="preserve">, </w:t>
      </w:r>
      <w:r w:rsidR="002B6512">
        <w:rPr>
          <w:i/>
        </w:rPr>
        <w:t>Fat</w:t>
      </w:r>
      <w:r w:rsidR="00067615">
        <w:rPr>
          <w:i/>
        </w:rPr>
        <w:t xml:space="preserve"> P</w:t>
      </w:r>
      <w:r w:rsidR="002B6512">
        <w:rPr>
          <w:i/>
        </w:rPr>
        <w:t>hobia</w:t>
      </w:r>
      <w:r w:rsidRPr="00A96FDB">
        <w:rPr>
          <w:i/>
        </w:rPr>
        <w:t xml:space="preserve">, </w:t>
      </w:r>
      <w:r w:rsidRPr="00A96FDB">
        <w:t xml:space="preserve">UCI News, University of California, Irvine, August 12, 2019, available at </w:t>
      </w:r>
      <w:hyperlink r:id="rId23" w:history="1">
        <w:r w:rsidRPr="00A96FDB">
          <w:rPr>
            <w:rStyle w:val="Hyperlink"/>
          </w:rPr>
          <w:t>https://news.uci.edu/2019/08/12/fat-phobia/</w:t>
        </w:r>
      </w:hyperlink>
    </w:p>
  </w:footnote>
  <w:footnote w:id="34">
    <w:p w14:paraId="4392CE61" w14:textId="58891B21" w:rsidR="00360604" w:rsidRPr="00CB26C9" w:rsidRDefault="00360604" w:rsidP="00360604">
      <w:pPr>
        <w:pStyle w:val="FootnoteText"/>
      </w:pPr>
      <w:r w:rsidRPr="00A96FDB">
        <w:rPr>
          <w:rStyle w:val="FootnoteReference"/>
        </w:rPr>
        <w:footnoteRef/>
      </w:r>
      <w:r w:rsidRPr="00A96FDB">
        <w:t xml:space="preserve"> </w:t>
      </w:r>
      <w:r w:rsidRPr="00A96FDB">
        <w:rPr>
          <w:i/>
        </w:rPr>
        <w:t>Id.</w:t>
      </w:r>
    </w:p>
  </w:footnote>
  <w:footnote w:id="35">
    <w:p w14:paraId="23EA8B58" w14:textId="2EFF182A" w:rsidR="00360604" w:rsidRPr="00CB26C9" w:rsidRDefault="00360604" w:rsidP="00360604">
      <w:pPr>
        <w:pStyle w:val="FootnoteText"/>
      </w:pPr>
      <w:r w:rsidRPr="00CB26C9">
        <w:rPr>
          <w:rStyle w:val="FootnoteReference"/>
        </w:rPr>
        <w:footnoteRef/>
      </w:r>
      <w:r w:rsidRPr="00CB26C9">
        <w:t xml:space="preserve"> The National Eating Disorders Association, </w:t>
      </w:r>
      <w:r w:rsidRPr="00CB26C9">
        <w:rPr>
          <w:i/>
        </w:rPr>
        <w:t xml:space="preserve">People of Color and Eating Disorders, </w:t>
      </w:r>
      <w:r w:rsidRPr="00CB26C9">
        <w:t xml:space="preserve">available at </w:t>
      </w:r>
      <w:hyperlink r:id="rId24" w:history="1">
        <w:r w:rsidRPr="00CB26C9">
          <w:rPr>
            <w:rStyle w:val="Hyperlink"/>
          </w:rPr>
          <w:t>https://www.nationaleatingdisorders.org/people-color-and-eating-disorders</w:t>
        </w:r>
      </w:hyperlink>
      <w:r w:rsidRPr="00CB26C9">
        <w:t xml:space="preserve"> </w:t>
      </w:r>
    </w:p>
  </w:footnote>
  <w:footnote w:id="36">
    <w:p w14:paraId="5F5E4B1B" w14:textId="77777777" w:rsidR="00E81F79" w:rsidRPr="00855A90" w:rsidRDefault="00E81F79" w:rsidP="00E81F79">
      <w:pPr>
        <w:pStyle w:val="FootnoteText"/>
      </w:pPr>
      <w:r w:rsidRPr="00CB26C9">
        <w:rPr>
          <w:rStyle w:val="FootnoteReference"/>
        </w:rPr>
        <w:footnoteRef/>
      </w:r>
      <w:r w:rsidRPr="00CB26C9">
        <w:t xml:space="preserve"> The National Eating Disorders Association, </w:t>
      </w:r>
      <w:r w:rsidRPr="00CB26C9">
        <w:rPr>
          <w:i/>
        </w:rPr>
        <w:t xml:space="preserve">Disability Community, </w:t>
      </w:r>
      <w:r w:rsidRPr="00CB26C9">
        <w:t xml:space="preserve">available at </w:t>
      </w:r>
      <w:hyperlink r:id="rId25" w:history="1">
        <w:r w:rsidRPr="00CB26C9">
          <w:rPr>
            <w:rStyle w:val="Hyperlink"/>
          </w:rPr>
          <w:t>https://www.nationaleatingdisorders.org/disability-community</w:t>
        </w:r>
      </w:hyperlink>
    </w:p>
  </w:footnote>
  <w:footnote w:id="37">
    <w:p w14:paraId="3E6CE58F" w14:textId="0F99A654" w:rsidR="00F13A0B" w:rsidRPr="00855A90" w:rsidRDefault="00F13A0B" w:rsidP="00F13A0B">
      <w:pPr>
        <w:pStyle w:val="FootnoteText"/>
      </w:pPr>
      <w:r w:rsidRPr="00855A90">
        <w:rPr>
          <w:rStyle w:val="FootnoteReference"/>
        </w:rPr>
        <w:footnoteRef/>
      </w:r>
      <w:r w:rsidRPr="00855A90">
        <w:t xml:space="preserve"> </w:t>
      </w:r>
      <w:r w:rsidRPr="00855A90">
        <w:rPr>
          <w:i/>
        </w:rPr>
        <w:t>The Report of the 2015 U.S. Transgender Survey</w:t>
      </w:r>
      <w:r w:rsidRPr="00855A90">
        <w:t xml:space="preserve">, The National Center for Transgender Equality (2016), available at </w:t>
      </w:r>
      <w:hyperlink r:id="rId26" w:history="1">
        <w:r w:rsidRPr="00855A90">
          <w:rPr>
            <w:rStyle w:val="Hyperlink"/>
          </w:rPr>
          <w:t>https://transequality.org/sites/default/files/docs/usts/USTS-Full-Report-Dec17.pdf</w:t>
        </w:r>
      </w:hyperlink>
      <w:r w:rsidRPr="00855A90">
        <w:rPr>
          <w:rStyle w:val="Hyperlink"/>
        </w:rPr>
        <w:t>.</w:t>
      </w:r>
    </w:p>
  </w:footnote>
  <w:footnote w:id="38">
    <w:p w14:paraId="72AF67DA" w14:textId="77777777" w:rsidR="00F13A0B" w:rsidRPr="004B797F" w:rsidRDefault="00F13A0B" w:rsidP="00F13A0B">
      <w:pPr>
        <w:pStyle w:val="FootnoteText"/>
      </w:pPr>
      <w:r w:rsidRPr="00855A90">
        <w:rPr>
          <w:rStyle w:val="FootnoteReference"/>
        </w:rPr>
        <w:footnoteRef/>
      </w:r>
      <w:r w:rsidRPr="00855A90">
        <w:t xml:space="preserve"> </w:t>
      </w:r>
      <w:r w:rsidRPr="00855A90">
        <w:rPr>
          <w:i/>
        </w:rPr>
        <w:t>Id</w:t>
      </w:r>
      <w:r w:rsidRPr="00855A90">
        <w:t>.</w:t>
      </w:r>
    </w:p>
  </w:footnote>
  <w:footnote w:id="39">
    <w:p w14:paraId="07C8C75E" w14:textId="205BA2E7" w:rsidR="00F56E01" w:rsidRPr="00F56E01" w:rsidRDefault="00F56E01">
      <w:pPr>
        <w:pStyle w:val="FootnoteText"/>
      </w:pPr>
      <w:r w:rsidRPr="004B797F">
        <w:rPr>
          <w:rStyle w:val="FootnoteReference"/>
        </w:rPr>
        <w:footnoteRef/>
      </w:r>
      <w:r w:rsidRPr="004B797F">
        <w:t xml:space="preserve"> </w:t>
      </w:r>
      <w:r w:rsidRPr="004B797F">
        <w:rPr>
          <w:i/>
        </w:rPr>
        <w:t>Id</w:t>
      </w:r>
      <w:r w:rsidRPr="004B797F">
        <w:t>.</w:t>
      </w:r>
    </w:p>
  </w:footnote>
  <w:footnote w:id="40">
    <w:p w14:paraId="457D09A2" w14:textId="566D6302" w:rsidR="00F56E01" w:rsidRPr="00F56E01" w:rsidRDefault="00F56E01">
      <w:pPr>
        <w:pStyle w:val="FootnoteText"/>
        <w:rPr>
          <w:i/>
        </w:rPr>
      </w:pPr>
      <w:r w:rsidRPr="00F56E01">
        <w:rPr>
          <w:rStyle w:val="FootnoteReference"/>
        </w:rPr>
        <w:footnoteRef/>
      </w:r>
      <w:r w:rsidRPr="00F56E01">
        <w:t xml:space="preserve"> </w:t>
      </w:r>
      <w:r w:rsidRPr="00F56E01">
        <w:rPr>
          <w:i/>
        </w:rPr>
        <w:t>Id.</w:t>
      </w:r>
      <w:r>
        <w:rPr>
          <w:i/>
        </w:rPr>
        <w:t xml:space="preserve"> </w:t>
      </w:r>
    </w:p>
  </w:footnote>
  <w:footnote w:id="41">
    <w:p w14:paraId="2783D91B" w14:textId="55152655" w:rsidR="0031544D" w:rsidRPr="00AF166B" w:rsidRDefault="0031544D">
      <w:pPr>
        <w:pStyle w:val="FootnoteText"/>
      </w:pPr>
      <w:r w:rsidRPr="00AF166B">
        <w:rPr>
          <w:rStyle w:val="FootnoteReference"/>
        </w:rPr>
        <w:footnoteRef/>
      </w:r>
      <w:r w:rsidRPr="00AF166B">
        <w:t xml:space="preserve"> Zach Rawlings, </w:t>
      </w:r>
      <w:r w:rsidRPr="00AF166B">
        <w:rPr>
          <w:i/>
        </w:rPr>
        <w:t>Transgender Mental Health: Offering Support</w:t>
      </w:r>
      <w:r w:rsidRPr="00AF166B">
        <w:t xml:space="preserve">, Eating Recovery Center, September 27, 2019, available at </w:t>
      </w:r>
      <w:hyperlink r:id="rId27" w:history="1">
        <w:r w:rsidRPr="00AF166B">
          <w:rPr>
            <w:rStyle w:val="Hyperlink"/>
          </w:rPr>
          <w:t>https://www.eatingrecoverycenter.com/blog/october-2017/transgender-mental-health</w:t>
        </w:r>
      </w:hyperlink>
    </w:p>
  </w:footnote>
  <w:footnote w:id="42">
    <w:p w14:paraId="570F9260" w14:textId="22075546" w:rsidR="003C1396" w:rsidRPr="00AF166B" w:rsidRDefault="003C1396">
      <w:pPr>
        <w:pStyle w:val="FootnoteText"/>
        <w:rPr>
          <w:i/>
        </w:rPr>
      </w:pPr>
      <w:r w:rsidRPr="00AF166B">
        <w:rPr>
          <w:rStyle w:val="FootnoteReference"/>
        </w:rPr>
        <w:footnoteRef/>
      </w:r>
      <w:r w:rsidRPr="00AF166B">
        <w:t xml:space="preserve"> </w:t>
      </w:r>
      <w:r w:rsidRPr="00AF166B">
        <w:rPr>
          <w:i/>
        </w:rPr>
        <w:t xml:space="preserve">Id. </w:t>
      </w:r>
    </w:p>
  </w:footnote>
  <w:footnote w:id="43">
    <w:p w14:paraId="1606CD9B" w14:textId="43D44E75" w:rsidR="001E6B91" w:rsidRPr="003A4CBD" w:rsidRDefault="001E6B91">
      <w:pPr>
        <w:pStyle w:val="FootnoteText"/>
      </w:pPr>
      <w:r w:rsidRPr="00AF166B">
        <w:rPr>
          <w:rStyle w:val="FootnoteReference"/>
        </w:rPr>
        <w:footnoteRef/>
      </w:r>
      <w:r w:rsidRPr="00AF166B">
        <w:t xml:space="preserve"> Penn Medicine News, </w:t>
      </w:r>
      <w:r w:rsidRPr="00AF166B">
        <w:rPr>
          <w:i/>
        </w:rPr>
        <w:t>Eating Disorders Do Not Discriminate: Trans Teens Face Greater Risk</w:t>
      </w:r>
      <w:r w:rsidRPr="00AF166B">
        <w:t xml:space="preserve">, March 28, 2019, available at </w:t>
      </w:r>
      <w:hyperlink r:id="rId28" w:history="1">
        <w:r w:rsidRPr="00AF166B">
          <w:rPr>
            <w:rStyle w:val="Hyperlink"/>
          </w:rPr>
          <w:t>https://www.pennmedicine.org/news/news-blog/2019/march/eating-disorders-do-not-discriminate-trans-teens-face-greater-risk</w:t>
        </w:r>
      </w:hyperlink>
    </w:p>
  </w:footnote>
  <w:footnote w:id="44">
    <w:p w14:paraId="0790820D" w14:textId="6976A07B" w:rsidR="00AF166B" w:rsidRPr="003A4CBD" w:rsidRDefault="00AF166B">
      <w:pPr>
        <w:pStyle w:val="FootnoteText"/>
      </w:pPr>
      <w:r w:rsidRPr="003A4CBD">
        <w:rPr>
          <w:rStyle w:val="FootnoteReference"/>
        </w:rPr>
        <w:footnoteRef/>
      </w:r>
      <w:r w:rsidRPr="003A4CBD">
        <w:t xml:space="preserve"> </w:t>
      </w:r>
      <w:r w:rsidRPr="003A4CBD">
        <w:rPr>
          <w:i/>
        </w:rPr>
        <w:t>Id.</w:t>
      </w:r>
    </w:p>
  </w:footnote>
  <w:footnote w:id="45">
    <w:p w14:paraId="07A9C430" w14:textId="7597341C" w:rsidR="003A4CBD" w:rsidRPr="003A4CBD" w:rsidRDefault="003A4CBD">
      <w:pPr>
        <w:pStyle w:val="FootnoteText"/>
      </w:pPr>
      <w:r w:rsidRPr="003A4CBD">
        <w:rPr>
          <w:rStyle w:val="FootnoteReference"/>
        </w:rPr>
        <w:footnoteRef/>
      </w:r>
      <w:r w:rsidRPr="003A4CBD">
        <w:t xml:space="preserve"> NYC Well website, available at </w:t>
      </w:r>
      <w:hyperlink r:id="rId29" w:history="1">
        <w:r w:rsidRPr="003A4CBD">
          <w:rPr>
            <w:rStyle w:val="Hyperlink"/>
          </w:rPr>
          <w:t>https://nycwell.cityofnewyork.us/en/</w:t>
        </w:r>
      </w:hyperlink>
      <w:r w:rsidRPr="003A4CBD">
        <w:t>.</w:t>
      </w:r>
    </w:p>
  </w:footnote>
  <w:footnote w:id="46">
    <w:p w14:paraId="6315C981" w14:textId="11521C34" w:rsidR="003A4CBD" w:rsidRPr="003A4CBD" w:rsidRDefault="003A4CBD">
      <w:pPr>
        <w:pStyle w:val="FootnoteText"/>
      </w:pPr>
      <w:r w:rsidRPr="003A4CBD">
        <w:rPr>
          <w:rStyle w:val="FootnoteReference"/>
        </w:rPr>
        <w:footnoteRef/>
      </w:r>
      <w:r w:rsidRPr="003A4CBD">
        <w:t xml:space="preserve"> “Eating Disorders,” DOHMH Website, available at </w:t>
      </w:r>
      <w:hyperlink r:id="rId30" w:history="1">
        <w:r w:rsidRPr="003A4CBD">
          <w:rPr>
            <w:rStyle w:val="Hyperlink"/>
          </w:rPr>
          <w:t>https://www1.nyc.gov/site/doh/health/health-topics/eating-disorders.page</w:t>
        </w:r>
      </w:hyperlink>
      <w:r w:rsidRPr="003A4CBD">
        <w:t xml:space="preserve">. </w:t>
      </w:r>
    </w:p>
  </w:footnote>
  <w:footnote w:id="47">
    <w:p w14:paraId="5D2DA0E1" w14:textId="4378D00B" w:rsidR="003A4CBD" w:rsidRPr="003A4CBD" w:rsidRDefault="003A4CBD">
      <w:pPr>
        <w:pStyle w:val="FootnoteText"/>
      </w:pPr>
      <w:r>
        <w:rPr>
          <w:rStyle w:val="FootnoteReference"/>
        </w:rPr>
        <w:footnoteRef/>
      </w:r>
      <w:r>
        <w:t xml:space="preserve"> </w:t>
      </w:r>
      <w:r>
        <w:rPr>
          <w:i/>
        </w:rPr>
        <w:t>See</w:t>
      </w:r>
      <w:r>
        <w:t xml:space="preserve"> “Additional Resources,” </w:t>
      </w:r>
      <w:r w:rsidRPr="003A4CBD">
        <w:t xml:space="preserve">DOHMH Website, available at </w:t>
      </w:r>
      <w:hyperlink r:id="rId31" w:history="1">
        <w:r w:rsidRPr="003A4CBD">
          <w:rPr>
            <w:rStyle w:val="Hyperlink"/>
          </w:rPr>
          <w:t>https://www1.nyc.gov/site/doh/health/health-topics/eating-disorders.page</w:t>
        </w:r>
      </w:hyperlink>
      <w:r w:rsidRPr="003A4CBD">
        <w:t xml:space="preserve">. </w:t>
      </w:r>
    </w:p>
  </w:footnote>
  <w:footnote w:id="48">
    <w:p w14:paraId="5A34548B" w14:textId="3820730B" w:rsidR="005B75D8" w:rsidRDefault="005B75D8">
      <w:pPr>
        <w:pStyle w:val="FootnoteText"/>
      </w:pPr>
      <w:r>
        <w:rPr>
          <w:rStyle w:val="FootnoteReference"/>
        </w:rPr>
        <w:footnoteRef/>
      </w:r>
      <w:r>
        <w:t xml:space="preserve"> </w:t>
      </w:r>
      <w:r w:rsidRPr="003A4CBD">
        <w:t>“</w:t>
      </w:r>
      <w:r>
        <w:t>Teen Health: Resources,” “Healthy Weight</w:t>
      </w:r>
      <w:r w:rsidRPr="003A4CBD">
        <w:t>,” DOHMH Website, available at</w:t>
      </w:r>
      <w:r>
        <w:t xml:space="preserve"> </w:t>
      </w:r>
      <w:hyperlink r:id="rId32" w:history="1">
        <w:r>
          <w:rPr>
            <w:rStyle w:val="Hyperlink"/>
          </w:rPr>
          <w:t>https://www1.nyc.gov/site/doh/health/health-topics/teen-resources.page</w:t>
        </w:r>
      </w:hyperlink>
      <w:r>
        <w:t>.</w:t>
      </w:r>
    </w:p>
  </w:footnote>
  <w:footnote w:id="49">
    <w:p w14:paraId="5136D98C" w14:textId="354C0101" w:rsidR="00630E29" w:rsidRPr="00630E29" w:rsidRDefault="00630E29" w:rsidP="00630E29">
      <w:pPr>
        <w:pStyle w:val="FootnoteText"/>
      </w:pPr>
      <w:r w:rsidRPr="00630E29">
        <w:rPr>
          <w:rStyle w:val="FootnoteReference"/>
        </w:rPr>
        <w:footnoteRef/>
      </w:r>
      <w:r w:rsidRPr="00630E29">
        <w:rPr>
          <w:color w:val="111111"/>
        </w:rPr>
        <w:t xml:space="preserve"> “Tackling Eating Disorders With School-Based Initiatives,” US News &amp; World Report, </w:t>
      </w:r>
      <w:proofErr w:type="spellStart"/>
      <w:r w:rsidRPr="00630E29">
        <w:rPr>
          <w:color w:val="111111"/>
        </w:rPr>
        <w:t>Magaly</w:t>
      </w:r>
      <w:proofErr w:type="spellEnd"/>
      <w:r w:rsidRPr="00630E29">
        <w:rPr>
          <w:color w:val="111111"/>
        </w:rPr>
        <w:t xml:space="preserve"> Olivero, Feb. 23, 2015, available at </w:t>
      </w:r>
      <w:hyperlink r:id="rId33" w:history="1">
        <w:r w:rsidRPr="00630E29">
          <w:rPr>
            <w:rStyle w:val="Hyperlink"/>
          </w:rPr>
          <w:t>https://health.usnews.com/health-news/health-wellness/articles/2015/02/23/tackling-eating-disorders-with-school-based-initiatives</w:t>
        </w:r>
      </w:hyperlink>
      <w:r w:rsidRPr="00630E29">
        <w:t>.</w:t>
      </w:r>
    </w:p>
  </w:footnote>
  <w:footnote w:id="50">
    <w:p w14:paraId="79C2BE53" w14:textId="7E935F43" w:rsidR="00D92392" w:rsidRDefault="00D92392">
      <w:pPr>
        <w:pStyle w:val="FootnoteText"/>
      </w:pPr>
      <w:r>
        <w:rPr>
          <w:rStyle w:val="FootnoteReference"/>
        </w:rPr>
        <w:footnoteRef/>
      </w:r>
      <w:r>
        <w:t xml:space="preserve"> FTC, 16 CFR Part 255, Guides Concerning the Use of Endorsements and Testimonials in Advertising, available at </w:t>
      </w:r>
      <w:hyperlink r:id="rId34" w:history="1">
        <w:r>
          <w:rPr>
            <w:rStyle w:val="Hyperlink"/>
          </w:rPr>
          <w:t>https://www.ftc.gov/sites/default/files/attachments/press-releases/ftc-publishes-final-guides-governing-endorsements-testimonials/091005revisedendorsementguides.pdf</w:t>
        </w:r>
      </w:hyperlink>
      <w:r>
        <w:t>.</w:t>
      </w:r>
    </w:p>
  </w:footnote>
  <w:footnote w:id="51">
    <w:p w14:paraId="31121AC6" w14:textId="77777777" w:rsidR="00D92392" w:rsidRDefault="00D92392" w:rsidP="00D92392">
      <w:pPr>
        <w:pStyle w:val="FootnoteText"/>
      </w:pPr>
      <w:r>
        <w:rPr>
          <w:rStyle w:val="FootnoteReference"/>
        </w:rPr>
        <w:footnoteRef/>
      </w:r>
      <w:r>
        <w:t xml:space="preserve"> “Disclosures 101 for Social Media Influencers,” FTC, available at </w:t>
      </w:r>
      <w:hyperlink r:id="rId35" w:history="1">
        <w:r>
          <w:rPr>
            <w:rStyle w:val="Hyperlink"/>
          </w:rPr>
          <w:t>https://www.ftc.gov/system/files/documents/plain-language/1001a-influencer-guide-508_1.pdf</w:t>
        </w:r>
      </w:hyperlink>
      <w:r>
        <w:t>.</w:t>
      </w:r>
    </w:p>
  </w:footnote>
  <w:footnote w:id="52">
    <w:p w14:paraId="367ACAD4" w14:textId="1557979D" w:rsidR="00E31A27" w:rsidRDefault="00E31A27">
      <w:pPr>
        <w:pStyle w:val="FootnoteText"/>
      </w:pPr>
      <w:r>
        <w:rPr>
          <w:rStyle w:val="FootnoteReference"/>
        </w:rPr>
        <w:footnoteRef/>
      </w:r>
      <w:r>
        <w:t xml:space="preserve"> “Disclosures 101 for Social Media Influencers,” FTC, available at </w:t>
      </w:r>
      <w:hyperlink r:id="rId36" w:history="1">
        <w:r>
          <w:rPr>
            <w:rStyle w:val="Hyperlink"/>
          </w:rPr>
          <w:t>https://www.ftc.gov/tips-advice/business-center/guidance/disclosures-101-social-media-influencers</w:t>
        </w:r>
      </w:hyperlink>
      <w:r>
        <w:t>.</w:t>
      </w:r>
    </w:p>
  </w:footnote>
  <w:footnote w:id="53">
    <w:p w14:paraId="0F1DBFA4" w14:textId="58B226F9" w:rsidR="00A02039" w:rsidRPr="00A02039" w:rsidRDefault="00A02039">
      <w:pPr>
        <w:pStyle w:val="FootnoteText"/>
      </w:pPr>
      <w:r>
        <w:rPr>
          <w:rStyle w:val="FootnoteReference"/>
        </w:rPr>
        <w:footnoteRef/>
      </w:r>
      <w:r>
        <w:t xml:space="preserve"> “Disclosures 101 for Social Media Influencers,” FTC, available at </w:t>
      </w:r>
      <w:hyperlink r:id="rId37" w:history="1">
        <w:r>
          <w:rPr>
            <w:rStyle w:val="Hyperlink"/>
          </w:rPr>
          <w:t>https://www.ftc.gov/system/files/documents/plain-language/1001a-influencer-guide-508_1.pdf</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6A9C"/>
    <w:multiLevelType w:val="hybridMultilevel"/>
    <w:tmpl w:val="BC606484"/>
    <w:lvl w:ilvl="0" w:tplc="87181AF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D759CA"/>
    <w:multiLevelType w:val="multilevel"/>
    <w:tmpl w:val="A6F4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91C03"/>
    <w:multiLevelType w:val="hybridMultilevel"/>
    <w:tmpl w:val="9260F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EA3B67"/>
    <w:multiLevelType w:val="hybridMultilevel"/>
    <w:tmpl w:val="826873CE"/>
    <w:lvl w:ilvl="0" w:tplc="239C8708">
      <w:start w:val="1"/>
      <w:numFmt w:val="upperRoman"/>
      <w:lvlText w:val="%1."/>
      <w:lvlJc w:val="left"/>
      <w:pPr>
        <w:ind w:left="0" w:hanging="720"/>
      </w:pPr>
      <w:rPr>
        <w:rFonts w:hint="default"/>
        <w:b/>
        <w:i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368122F2"/>
    <w:multiLevelType w:val="multilevel"/>
    <w:tmpl w:val="B822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A3202C"/>
    <w:multiLevelType w:val="hybridMultilevel"/>
    <w:tmpl w:val="DC567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67CE1"/>
    <w:multiLevelType w:val="multilevel"/>
    <w:tmpl w:val="0E66B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4977CD"/>
    <w:multiLevelType w:val="hybridMultilevel"/>
    <w:tmpl w:val="98F2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CA25D7"/>
    <w:multiLevelType w:val="hybridMultilevel"/>
    <w:tmpl w:val="C7521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CD5F29"/>
    <w:multiLevelType w:val="multilevel"/>
    <w:tmpl w:val="E522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5B25A0"/>
    <w:multiLevelType w:val="hybridMultilevel"/>
    <w:tmpl w:val="42DC8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ED90827"/>
    <w:multiLevelType w:val="hybridMultilevel"/>
    <w:tmpl w:val="6596B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90A19"/>
    <w:multiLevelType w:val="hybridMultilevel"/>
    <w:tmpl w:val="99586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985C20"/>
    <w:multiLevelType w:val="hybridMultilevel"/>
    <w:tmpl w:val="68CE0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564F0"/>
    <w:multiLevelType w:val="hybridMultilevel"/>
    <w:tmpl w:val="CC989972"/>
    <w:lvl w:ilvl="0" w:tplc="E35A8D14">
      <w:start w:val="6"/>
      <w:numFmt w:val="upperRoman"/>
      <w:lvlText w:val="%1."/>
      <w:lvlJc w:val="left"/>
      <w:pPr>
        <w:ind w:left="0" w:hanging="720"/>
      </w:pPr>
      <w:rPr>
        <w:rFonts w:hint="default"/>
        <w:b/>
        <w:u w:val="singl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3"/>
  </w:num>
  <w:num w:numId="2">
    <w:abstractNumId w:val="7"/>
  </w:num>
  <w:num w:numId="3">
    <w:abstractNumId w:val="13"/>
  </w:num>
  <w:num w:numId="4">
    <w:abstractNumId w:val="12"/>
  </w:num>
  <w:num w:numId="5">
    <w:abstractNumId w:val="5"/>
  </w:num>
  <w:num w:numId="6">
    <w:abstractNumId w:val="11"/>
  </w:num>
  <w:num w:numId="7">
    <w:abstractNumId w:val="6"/>
  </w:num>
  <w:num w:numId="8">
    <w:abstractNumId w:val="14"/>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9"/>
  </w:num>
  <w:num w:numId="14">
    <w:abstractNumId w:val="8"/>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41"/>
    <w:rsid w:val="00007678"/>
    <w:rsid w:val="00010C4B"/>
    <w:rsid w:val="00014012"/>
    <w:rsid w:val="00021ABB"/>
    <w:rsid w:val="000378C3"/>
    <w:rsid w:val="00037A55"/>
    <w:rsid w:val="0004156D"/>
    <w:rsid w:val="00045CD1"/>
    <w:rsid w:val="000460B3"/>
    <w:rsid w:val="000603CE"/>
    <w:rsid w:val="000651F4"/>
    <w:rsid w:val="00067615"/>
    <w:rsid w:val="00091CB1"/>
    <w:rsid w:val="000936BA"/>
    <w:rsid w:val="0009602B"/>
    <w:rsid w:val="000B3B50"/>
    <w:rsid w:val="000B484F"/>
    <w:rsid w:val="000B6E0A"/>
    <w:rsid w:val="000D47A6"/>
    <w:rsid w:val="000E25C7"/>
    <w:rsid w:val="000E57DC"/>
    <w:rsid w:val="000F0D65"/>
    <w:rsid w:val="000F7BEA"/>
    <w:rsid w:val="00104F6A"/>
    <w:rsid w:val="00113110"/>
    <w:rsid w:val="001165C3"/>
    <w:rsid w:val="001216EF"/>
    <w:rsid w:val="00123417"/>
    <w:rsid w:val="0012440B"/>
    <w:rsid w:val="0012749A"/>
    <w:rsid w:val="00134446"/>
    <w:rsid w:val="00134483"/>
    <w:rsid w:val="001363BC"/>
    <w:rsid w:val="00152DDE"/>
    <w:rsid w:val="00154DB1"/>
    <w:rsid w:val="00155075"/>
    <w:rsid w:val="00157922"/>
    <w:rsid w:val="00160EDE"/>
    <w:rsid w:val="00161955"/>
    <w:rsid w:val="00166487"/>
    <w:rsid w:val="00167605"/>
    <w:rsid w:val="00172893"/>
    <w:rsid w:val="00174C4E"/>
    <w:rsid w:val="001778CA"/>
    <w:rsid w:val="0018273F"/>
    <w:rsid w:val="001845E0"/>
    <w:rsid w:val="0018620A"/>
    <w:rsid w:val="00187800"/>
    <w:rsid w:val="00194BBE"/>
    <w:rsid w:val="001A2CD9"/>
    <w:rsid w:val="001B3DBE"/>
    <w:rsid w:val="001B7874"/>
    <w:rsid w:val="001C18E6"/>
    <w:rsid w:val="001C5992"/>
    <w:rsid w:val="001C75EC"/>
    <w:rsid w:val="001D2773"/>
    <w:rsid w:val="001D662D"/>
    <w:rsid w:val="001E08E6"/>
    <w:rsid w:val="001E129D"/>
    <w:rsid w:val="001E6B91"/>
    <w:rsid w:val="001F1475"/>
    <w:rsid w:val="001F1AAE"/>
    <w:rsid w:val="001F1BBB"/>
    <w:rsid w:val="001F3777"/>
    <w:rsid w:val="002006E0"/>
    <w:rsid w:val="00215D2F"/>
    <w:rsid w:val="0022098F"/>
    <w:rsid w:val="0022102A"/>
    <w:rsid w:val="00223369"/>
    <w:rsid w:val="00225768"/>
    <w:rsid w:val="002257A1"/>
    <w:rsid w:val="00225867"/>
    <w:rsid w:val="00230A08"/>
    <w:rsid w:val="00235FE1"/>
    <w:rsid w:val="00240CCE"/>
    <w:rsid w:val="0024193D"/>
    <w:rsid w:val="00242534"/>
    <w:rsid w:val="0025010E"/>
    <w:rsid w:val="0025334A"/>
    <w:rsid w:val="00253EC6"/>
    <w:rsid w:val="002542F5"/>
    <w:rsid w:val="00260D10"/>
    <w:rsid w:val="00283D08"/>
    <w:rsid w:val="002868A2"/>
    <w:rsid w:val="00292A77"/>
    <w:rsid w:val="00293D44"/>
    <w:rsid w:val="00293D72"/>
    <w:rsid w:val="00295765"/>
    <w:rsid w:val="002A0134"/>
    <w:rsid w:val="002A3875"/>
    <w:rsid w:val="002A42AC"/>
    <w:rsid w:val="002A5B79"/>
    <w:rsid w:val="002B5AD7"/>
    <w:rsid w:val="002B5D4F"/>
    <w:rsid w:val="002B646D"/>
    <w:rsid w:val="002B6512"/>
    <w:rsid w:val="002B76A0"/>
    <w:rsid w:val="002C0C91"/>
    <w:rsid w:val="002C0D42"/>
    <w:rsid w:val="002C2C18"/>
    <w:rsid w:val="002C67E6"/>
    <w:rsid w:val="002D4E6C"/>
    <w:rsid w:val="002E1F0B"/>
    <w:rsid w:val="002F37DF"/>
    <w:rsid w:val="002F575C"/>
    <w:rsid w:val="002F7C52"/>
    <w:rsid w:val="0030293B"/>
    <w:rsid w:val="00302C4A"/>
    <w:rsid w:val="003056F6"/>
    <w:rsid w:val="00306496"/>
    <w:rsid w:val="00312FF5"/>
    <w:rsid w:val="003142F5"/>
    <w:rsid w:val="0031480E"/>
    <w:rsid w:val="0031544D"/>
    <w:rsid w:val="00326356"/>
    <w:rsid w:val="00331EB9"/>
    <w:rsid w:val="003324B3"/>
    <w:rsid w:val="00332C21"/>
    <w:rsid w:val="003353AB"/>
    <w:rsid w:val="003367F3"/>
    <w:rsid w:val="00354CBD"/>
    <w:rsid w:val="003566DC"/>
    <w:rsid w:val="00360604"/>
    <w:rsid w:val="00360B9E"/>
    <w:rsid w:val="00361D27"/>
    <w:rsid w:val="0036479D"/>
    <w:rsid w:val="00365EBF"/>
    <w:rsid w:val="00380416"/>
    <w:rsid w:val="003863D9"/>
    <w:rsid w:val="00386432"/>
    <w:rsid w:val="00391DD9"/>
    <w:rsid w:val="003975FA"/>
    <w:rsid w:val="003A4CBD"/>
    <w:rsid w:val="003B2141"/>
    <w:rsid w:val="003C047C"/>
    <w:rsid w:val="003C0EFF"/>
    <w:rsid w:val="003C1396"/>
    <w:rsid w:val="003C142B"/>
    <w:rsid w:val="003D06C1"/>
    <w:rsid w:val="003D4037"/>
    <w:rsid w:val="003D6574"/>
    <w:rsid w:val="003D66F5"/>
    <w:rsid w:val="003D67AA"/>
    <w:rsid w:val="003E4DAA"/>
    <w:rsid w:val="003F26A1"/>
    <w:rsid w:val="003F3156"/>
    <w:rsid w:val="003F58F1"/>
    <w:rsid w:val="003F6FEB"/>
    <w:rsid w:val="00403C7B"/>
    <w:rsid w:val="00407367"/>
    <w:rsid w:val="0041375A"/>
    <w:rsid w:val="00414CC0"/>
    <w:rsid w:val="0042623E"/>
    <w:rsid w:val="004267B9"/>
    <w:rsid w:val="00430A99"/>
    <w:rsid w:val="00432A93"/>
    <w:rsid w:val="00432D54"/>
    <w:rsid w:val="00436319"/>
    <w:rsid w:val="0043684A"/>
    <w:rsid w:val="00437DC2"/>
    <w:rsid w:val="00440731"/>
    <w:rsid w:val="00445781"/>
    <w:rsid w:val="004468E7"/>
    <w:rsid w:val="004514B1"/>
    <w:rsid w:val="004517B1"/>
    <w:rsid w:val="00453CCB"/>
    <w:rsid w:val="00454F4E"/>
    <w:rsid w:val="004564E1"/>
    <w:rsid w:val="00460337"/>
    <w:rsid w:val="00460917"/>
    <w:rsid w:val="004611A8"/>
    <w:rsid w:val="004630EC"/>
    <w:rsid w:val="00463273"/>
    <w:rsid w:val="00474601"/>
    <w:rsid w:val="0047593B"/>
    <w:rsid w:val="00476007"/>
    <w:rsid w:val="00477CE2"/>
    <w:rsid w:val="004806D2"/>
    <w:rsid w:val="004854A7"/>
    <w:rsid w:val="004932A9"/>
    <w:rsid w:val="0049643B"/>
    <w:rsid w:val="004A600C"/>
    <w:rsid w:val="004B498C"/>
    <w:rsid w:val="004B5027"/>
    <w:rsid w:val="004B5323"/>
    <w:rsid w:val="004B797F"/>
    <w:rsid w:val="004C28FB"/>
    <w:rsid w:val="004C2C37"/>
    <w:rsid w:val="004C53AA"/>
    <w:rsid w:val="004C73E2"/>
    <w:rsid w:val="004E4720"/>
    <w:rsid w:val="004E53C8"/>
    <w:rsid w:val="004F2BCD"/>
    <w:rsid w:val="005003C7"/>
    <w:rsid w:val="0050255F"/>
    <w:rsid w:val="005121F7"/>
    <w:rsid w:val="005172B8"/>
    <w:rsid w:val="005347F6"/>
    <w:rsid w:val="00535142"/>
    <w:rsid w:val="00541707"/>
    <w:rsid w:val="00541DAF"/>
    <w:rsid w:val="00541E7F"/>
    <w:rsid w:val="00542174"/>
    <w:rsid w:val="005467BC"/>
    <w:rsid w:val="00550E93"/>
    <w:rsid w:val="005519DB"/>
    <w:rsid w:val="00551EE9"/>
    <w:rsid w:val="005521C6"/>
    <w:rsid w:val="005602FF"/>
    <w:rsid w:val="00564322"/>
    <w:rsid w:val="00572909"/>
    <w:rsid w:val="005749EC"/>
    <w:rsid w:val="0057667C"/>
    <w:rsid w:val="00581CFD"/>
    <w:rsid w:val="00586454"/>
    <w:rsid w:val="00595B00"/>
    <w:rsid w:val="005A40FD"/>
    <w:rsid w:val="005B75D8"/>
    <w:rsid w:val="005C4119"/>
    <w:rsid w:val="005C4B27"/>
    <w:rsid w:val="005C6AB0"/>
    <w:rsid w:val="005D346F"/>
    <w:rsid w:val="005D43E8"/>
    <w:rsid w:val="005E095C"/>
    <w:rsid w:val="005E2162"/>
    <w:rsid w:val="005E51FA"/>
    <w:rsid w:val="005F0A7E"/>
    <w:rsid w:val="005F295E"/>
    <w:rsid w:val="00604B0F"/>
    <w:rsid w:val="00617118"/>
    <w:rsid w:val="00622050"/>
    <w:rsid w:val="006231F7"/>
    <w:rsid w:val="00627859"/>
    <w:rsid w:val="00630E29"/>
    <w:rsid w:val="00635EBE"/>
    <w:rsid w:val="006451D0"/>
    <w:rsid w:val="00645D04"/>
    <w:rsid w:val="00646B35"/>
    <w:rsid w:val="00650614"/>
    <w:rsid w:val="00662E5A"/>
    <w:rsid w:val="00663F37"/>
    <w:rsid w:val="00672646"/>
    <w:rsid w:val="00681130"/>
    <w:rsid w:val="00681F6F"/>
    <w:rsid w:val="00682F7A"/>
    <w:rsid w:val="00683908"/>
    <w:rsid w:val="00692044"/>
    <w:rsid w:val="0069437A"/>
    <w:rsid w:val="00696221"/>
    <w:rsid w:val="006A33FD"/>
    <w:rsid w:val="006A71F6"/>
    <w:rsid w:val="006B6943"/>
    <w:rsid w:val="006B698C"/>
    <w:rsid w:val="006C3138"/>
    <w:rsid w:val="006C547A"/>
    <w:rsid w:val="006C63AA"/>
    <w:rsid w:val="006C7B77"/>
    <w:rsid w:val="006D1C8C"/>
    <w:rsid w:val="006D2278"/>
    <w:rsid w:val="006D59AF"/>
    <w:rsid w:val="006E00CC"/>
    <w:rsid w:val="006E3EC8"/>
    <w:rsid w:val="006E5EB0"/>
    <w:rsid w:val="006F1878"/>
    <w:rsid w:val="006F553F"/>
    <w:rsid w:val="00700298"/>
    <w:rsid w:val="00700E71"/>
    <w:rsid w:val="00722FCC"/>
    <w:rsid w:val="0073738D"/>
    <w:rsid w:val="007403AF"/>
    <w:rsid w:val="00740657"/>
    <w:rsid w:val="00741CAE"/>
    <w:rsid w:val="007513EC"/>
    <w:rsid w:val="00753004"/>
    <w:rsid w:val="00754556"/>
    <w:rsid w:val="0075551E"/>
    <w:rsid w:val="007611BD"/>
    <w:rsid w:val="00761628"/>
    <w:rsid w:val="0076201C"/>
    <w:rsid w:val="00762872"/>
    <w:rsid w:val="00775B5B"/>
    <w:rsid w:val="00775F99"/>
    <w:rsid w:val="0079062E"/>
    <w:rsid w:val="00792712"/>
    <w:rsid w:val="007963B0"/>
    <w:rsid w:val="007A04DC"/>
    <w:rsid w:val="007A5993"/>
    <w:rsid w:val="007A7692"/>
    <w:rsid w:val="007A7741"/>
    <w:rsid w:val="007B096D"/>
    <w:rsid w:val="007B389A"/>
    <w:rsid w:val="007B4BA0"/>
    <w:rsid w:val="007C5CB6"/>
    <w:rsid w:val="007D2AE7"/>
    <w:rsid w:val="007E29FD"/>
    <w:rsid w:val="007E459D"/>
    <w:rsid w:val="007E62E1"/>
    <w:rsid w:val="007E7989"/>
    <w:rsid w:val="007F3374"/>
    <w:rsid w:val="007F6A8B"/>
    <w:rsid w:val="008004E0"/>
    <w:rsid w:val="00814D6E"/>
    <w:rsid w:val="00816847"/>
    <w:rsid w:val="00816E43"/>
    <w:rsid w:val="00825C59"/>
    <w:rsid w:val="0083206A"/>
    <w:rsid w:val="008530B3"/>
    <w:rsid w:val="00853A28"/>
    <w:rsid w:val="008549DF"/>
    <w:rsid w:val="00855A90"/>
    <w:rsid w:val="00863100"/>
    <w:rsid w:val="0086462A"/>
    <w:rsid w:val="00866025"/>
    <w:rsid w:val="00874A52"/>
    <w:rsid w:val="008820A6"/>
    <w:rsid w:val="008837AF"/>
    <w:rsid w:val="008874BB"/>
    <w:rsid w:val="00896649"/>
    <w:rsid w:val="0089704C"/>
    <w:rsid w:val="008976A7"/>
    <w:rsid w:val="008A08EB"/>
    <w:rsid w:val="008A48B1"/>
    <w:rsid w:val="008A71D4"/>
    <w:rsid w:val="008A7D44"/>
    <w:rsid w:val="008B0AD6"/>
    <w:rsid w:val="008B1E5D"/>
    <w:rsid w:val="008B68FC"/>
    <w:rsid w:val="008C0F7F"/>
    <w:rsid w:val="008C39EF"/>
    <w:rsid w:val="008C45B7"/>
    <w:rsid w:val="008C7BE1"/>
    <w:rsid w:val="008D73CE"/>
    <w:rsid w:val="008F23DD"/>
    <w:rsid w:val="0090177D"/>
    <w:rsid w:val="00916E1F"/>
    <w:rsid w:val="0092554F"/>
    <w:rsid w:val="009428D0"/>
    <w:rsid w:val="00960BA7"/>
    <w:rsid w:val="00974B80"/>
    <w:rsid w:val="00992E5F"/>
    <w:rsid w:val="00995FBB"/>
    <w:rsid w:val="009A2408"/>
    <w:rsid w:val="009A2AA4"/>
    <w:rsid w:val="009B41B5"/>
    <w:rsid w:val="009B7035"/>
    <w:rsid w:val="009C4DD3"/>
    <w:rsid w:val="009D2180"/>
    <w:rsid w:val="009D5252"/>
    <w:rsid w:val="009F18D1"/>
    <w:rsid w:val="009F22AF"/>
    <w:rsid w:val="009F6ACE"/>
    <w:rsid w:val="00A00682"/>
    <w:rsid w:val="00A02039"/>
    <w:rsid w:val="00A06379"/>
    <w:rsid w:val="00A170C9"/>
    <w:rsid w:val="00A22EF4"/>
    <w:rsid w:val="00A22F83"/>
    <w:rsid w:val="00A25AB3"/>
    <w:rsid w:val="00A2600D"/>
    <w:rsid w:val="00A30CFF"/>
    <w:rsid w:val="00A3161C"/>
    <w:rsid w:val="00A317B6"/>
    <w:rsid w:val="00A33F9A"/>
    <w:rsid w:val="00A45EEE"/>
    <w:rsid w:val="00A51AD3"/>
    <w:rsid w:val="00A52FE3"/>
    <w:rsid w:val="00A5550F"/>
    <w:rsid w:val="00A64657"/>
    <w:rsid w:val="00A64F41"/>
    <w:rsid w:val="00A66CA9"/>
    <w:rsid w:val="00A70A80"/>
    <w:rsid w:val="00A71569"/>
    <w:rsid w:val="00A732E4"/>
    <w:rsid w:val="00A96FDB"/>
    <w:rsid w:val="00AA245E"/>
    <w:rsid w:val="00AB21F1"/>
    <w:rsid w:val="00AC0CFF"/>
    <w:rsid w:val="00AD3142"/>
    <w:rsid w:val="00AD33D5"/>
    <w:rsid w:val="00AD7070"/>
    <w:rsid w:val="00AE07F1"/>
    <w:rsid w:val="00AF166B"/>
    <w:rsid w:val="00AF3D03"/>
    <w:rsid w:val="00AF7D6F"/>
    <w:rsid w:val="00B00EFF"/>
    <w:rsid w:val="00B05C3C"/>
    <w:rsid w:val="00B23FE1"/>
    <w:rsid w:val="00B3215F"/>
    <w:rsid w:val="00B33985"/>
    <w:rsid w:val="00B3412C"/>
    <w:rsid w:val="00B41BDF"/>
    <w:rsid w:val="00B534A2"/>
    <w:rsid w:val="00B66B4C"/>
    <w:rsid w:val="00B72193"/>
    <w:rsid w:val="00B72C36"/>
    <w:rsid w:val="00B91E8B"/>
    <w:rsid w:val="00B938C3"/>
    <w:rsid w:val="00BA0C6C"/>
    <w:rsid w:val="00BA13AB"/>
    <w:rsid w:val="00BA1AF7"/>
    <w:rsid w:val="00BA3335"/>
    <w:rsid w:val="00BA467A"/>
    <w:rsid w:val="00BA4C85"/>
    <w:rsid w:val="00BA7B30"/>
    <w:rsid w:val="00BC6995"/>
    <w:rsid w:val="00BC7EEB"/>
    <w:rsid w:val="00BD5A2E"/>
    <w:rsid w:val="00C01E31"/>
    <w:rsid w:val="00C01F78"/>
    <w:rsid w:val="00C15DC6"/>
    <w:rsid w:val="00C15FC4"/>
    <w:rsid w:val="00C22636"/>
    <w:rsid w:val="00C262AD"/>
    <w:rsid w:val="00C32779"/>
    <w:rsid w:val="00C3293D"/>
    <w:rsid w:val="00C42316"/>
    <w:rsid w:val="00C52781"/>
    <w:rsid w:val="00C6255A"/>
    <w:rsid w:val="00C628FE"/>
    <w:rsid w:val="00C65F2E"/>
    <w:rsid w:val="00C66D92"/>
    <w:rsid w:val="00C66EB6"/>
    <w:rsid w:val="00C70627"/>
    <w:rsid w:val="00C823AC"/>
    <w:rsid w:val="00C854A0"/>
    <w:rsid w:val="00C8685F"/>
    <w:rsid w:val="00C87912"/>
    <w:rsid w:val="00C937D9"/>
    <w:rsid w:val="00CA36DE"/>
    <w:rsid w:val="00CA4519"/>
    <w:rsid w:val="00CA45FC"/>
    <w:rsid w:val="00CA5EDF"/>
    <w:rsid w:val="00CA615C"/>
    <w:rsid w:val="00CA6433"/>
    <w:rsid w:val="00CA7E1B"/>
    <w:rsid w:val="00CB26C9"/>
    <w:rsid w:val="00CB2826"/>
    <w:rsid w:val="00CB4D32"/>
    <w:rsid w:val="00CB5AD2"/>
    <w:rsid w:val="00CC0345"/>
    <w:rsid w:val="00CC1AE1"/>
    <w:rsid w:val="00CC38EF"/>
    <w:rsid w:val="00CC6367"/>
    <w:rsid w:val="00CD0414"/>
    <w:rsid w:val="00CD07FC"/>
    <w:rsid w:val="00CD1164"/>
    <w:rsid w:val="00CE71DE"/>
    <w:rsid w:val="00CF1176"/>
    <w:rsid w:val="00CF134F"/>
    <w:rsid w:val="00CF4B98"/>
    <w:rsid w:val="00CF65F7"/>
    <w:rsid w:val="00D040B9"/>
    <w:rsid w:val="00D0580A"/>
    <w:rsid w:val="00D108E3"/>
    <w:rsid w:val="00D14A7D"/>
    <w:rsid w:val="00D14C7E"/>
    <w:rsid w:val="00D21788"/>
    <w:rsid w:val="00D259E8"/>
    <w:rsid w:val="00D26223"/>
    <w:rsid w:val="00D331B5"/>
    <w:rsid w:val="00D3706F"/>
    <w:rsid w:val="00D407A5"/>
    <w:rsid w:val="00D44487"/>
    <w:rsid w:val="00D56829"/>
    <w:rsid w:val="00D5746F"/>
    <w:rsid w:val="00D7075C"/>
    <w:rsid w:val="00D70CD1"/>
    <w:rsid w:val="00D72E6F"/>
    <w:rsid w:val="00D769F1"/>
    <w:rsid w:val="00D86AC6"/>
    <w:rsid w:val="00D86DBF"/>
    <w:rsid w:val="00D86E6E"/>
    <w:rsid w:val="00D92392"/>
    <w:rsid w:val="00D92832"/>
    <w:rsid w:val="00D97A57"/>
    <w:rsid w:val="00DA55B6"/>
    <w:rsid w:val="00DB014D"/>
    <w:rsid w:val="00DB0B3E"/>
    <w:rsid w:val="00DB57BD"/>
    <w:rsid w:val="00DB68BD"/>
    <w:rsid w:val="00DB6BA6"/>
    <w:rsid w:val="00DC4689"/>
    <w:rsid w:val="00DD3CE1"/>
    <w:rsid w:val="00DD4E09"/>
    <w:rsid w:val="00DE072F"/>
    <w:rsid w:val="00DE1F73"/>
    <w:rsid w:val="00DE4747"/>
    <w:rsid w:val="00DF4F6A"/>
    <w:rsid w:val="00DF609B"/>
    <w:rsid w:val="00DF6337"/>
    <w:rsid w:val="00DF7C82"/>
    <w:rsid w:val="00E13FA0"/>
    <w:rsid w:val="00E2197D"/>
    <w:rsid w:val="00E239B7"/>
    <w:rsid w:val="00E23CF0"/>
    <w:rsid w:val="00E2586B"/>
    <w:rsid w:val="00E31A27"/>
    <w:rsid w:val="00E33341"/>
    <w:rsid w:val="00E3506B"/>
    <w:rsid w:val="00E37E0D"/>
    <w:rsid w:val="00E42B02"/>
    <w:rsid w:val="00E44368"/>
    <w:rsid w:val="00E464A0"/>
    <w:rsid w:val="00E47559"/>
    <w:rsid w:val="00E53703"/>
    <w:rsid w:val="00E61567"/>
    <w:rsid w:val="00E71B9D"/>
    <w:rsid w:val="00E73E5B"/>
    <w:rsid w:val="00E753E0"/>
    <w:rsid w:val="00E75F69"/>
    <w:rsid w:val="00E77682"/>
    <w:rsid w:val="00E816A6"/>
    <w:rsid w:val="00E81F79"/>
    <w:rsid w:val="00E834A7"/>
    <w:rsid w:val="00E86FBF"/>
    <w:rsid w:val="00E919C7"/>
    <w:rsid w:val="00E9555E"/>
    <w:rsid w:val="00E95A74"/>
    <w:rsid w:val="00EA0610"/>
    <w:rsid w:val="00EA16A9"/>
    <w:rsid w:val="00EA6C3C"/>
    <w:rsid w:val="00EB4FF8"/>
    <w:rsid w:val="00EB609E"/>
    <w:rsid w:val="00EB7A2A"/>
    <w:rsid w:val="00EC1200"/>
    <w:rsid w:val="00ED1589"/>
    <w:rsid w:val="00ED2594"/>
    <w:rsid w:val="00ED54BD"/>
    <w:rsid w:val="00EE31F8"/>
    <w:rsid w:val="00EE3A98"/>
    <w:rsid w:val="00EE6ECB"/>
    <w:rsid w:val="00EF61DC"/>
    <w:rsid w:val="00F06E5A"/>
    <w:rsid w:val="00F10A06"/>
    <w:rsid w:val="00F11574"/>
    <w:rsid w:val="00F13A0B"/>
    <w:rsid w:val="00F14E42"/>
    <w:rsid w:val="00F156CD"/>
    <w:rsid w:val="00F2105E"/>
    <w:rsid w:val="00F23107"/>
    <w:rsid w:val="00F31BC9"/>
    <w:rsid w:val="00F36E44"/>
    <w:rsid w:val="00F41F15"/>
    <w:rsid w:val="00F50BCA"/>
    <w:rsid w:val="00F56E01"/>
    <w:rsid w:val="00F5752C"/>
    <w:rsid w:val="00F74FE9"/>
    <w:rsid w:val="00F8316A"/>
    <w:rsid w:val="00F83CB9"/>
    <w:rsid w:val="00F83DFC"/>
    <w:rsid w:val="00F865C3"/>
    <w:rsid w:val="00F95977"/>
    <w:rsid w:val="00FA2E75"/>
    <w:rsid w:val="00FA71B3"/>
    <w:rsid w:val="00FB2CB2"/>
    <w:rsid w:val="00FB3E37"/>
    <w:rsid w:val="00FC1342"/>
    <w:rsid w:val="00FC4076"/>
    <w:rsid w:val="00FC5CF2"/>
    <w:rsid w:val="00FD13E6"/>
    <w:rsid w:val="00FD5E85"/>
    <w:rsid w:val="00FE6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7B36B03"/>
  <w15:docId w15:val="{178DCEBF-C7DF-4D31-AE2C-CAC8C79B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ootnoteText"/>
    <w:qFormat/>
    <w:rsid w:val="003A4CBD"/>
    <w:pPr>
      <w:spacing w:after="160" w:line="259" w:lineRule="auto"/>
    </w:pPr>
    <w:rPr>
      <w:rFonts w:ascii="Times New Roman" w:eastAsia="Calibri" w:hAnsi="Times New Roman" w:cs="Times New Roman"/>
      <w:sz w:val="20"/>
    </w:rPr>
  </w:style>
  <w:style w:type="paragraph" w:styleId="Heading1">
    <w:name w:val="heading 1"/>
    <w:basedOn w:val="Normal"/>
    <w:next w:val="Normal"/>
    <w:link w:val="Heading1Char"/>
    <w:uiPriority w:val="9"/>
    <w:qFormat/>
    <w:rsid w:val="003C14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13E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41"/>
    <w:pPr>
      <w:ind w:left="720"/>
      <w:contextualSpacing/>
    </w:pPr>
  </w:style>
  <w:style w:type="paragraph" w:styleId="FootnoteText">
    <w:name w:val="footnote text"/>
    <w:aliases w:val="FT"/>
    <w:basedOn w:val="Normal"/>
    <w:link w:val="FootnoteTextChar"/>
    <w:uiPriority w:val="99"/>
    <w:unhideWhenUsed/>
    <w:rsid w:val="00EE6ECB"/>
    <w:pPr>
      <w:spacing w:after="0" w:line="240" w:lineRule="auto"/>
    </w:pPr>
    <w:rPr>
      <w:szCs w:val="20"/>
    </w:rPr>
  </w:style>
  <w:style w:type="character" w:customStyle="1" w:styleId="FootnoteTextChar">
    <w:name w:val="Footnote Text Char"/>
    <w:aliases w:val="FT Char"/>
    <w:basedOn w:val="DefaultParagraphFont"/>
    <w:link w:val="FootnoteText"/>
    <w:uiPriority w:val="99"/>
    <w:rsid w:val="00EE6ECB"/>
    <w:rPr>
      <w:rFonts w:ascii="Calibri" w:eastAsia="Calibri" w:hAnsi="Calibri" w:cs="Times New Roman"/>
      <w:sz w:val="20"/>
      <w:szCs w:val="20"/>
    </w:rPr>
  </w:style>
  <w:style w:type="character" w:styleId="FootnoteReference">
    <w:name w:val="footnote reference"/>
    <w:basedOn w:val="DefaultParagraphFont"/>
    <w:uiPriority w:val="99"/>
    <w:unhideWhenUsed/>
    <w:rsid w:val="00EE6ECB"/>
    <w:rPr>
      <w:vertAlign w:val="superscript"/>
    </w:rPr>
  </w:style>
  <w:style w:type="character" w:styleId="Hyperlink">
    <w:name w:val="Hyperlink"/>
    <w:basedOn w:val="DefaultParagraphFont"/>
    <w:uiPriority w:val="99"/>
    <w:unhideWhenUsed/>
    <w:rsid w:val="00EE6ECB"/>
    <w:rPr>
      <w:color w:val="0000FF" w:themeColor="hyperlink"/>
      <w:u w:val="single"/>
    </w:rPr>
  </w:style>
  <w:style w:type="paragraph" w:styleId="NormalWeb">
    <w:name w:val="Normal (Web)"/>
    <w:basedOn w:val="Normal"/>
    <w:uiPriority w:val="99"/>
    <w:unhideWhenUsed/>
    <w:rsid w:val="006F1878"/>
    <w:rPr>
      <w:sz w:val="24"/>
      <w:szCs w:val="24"/>
    </w:rPr>
  </w:style>
  <w:style w:type="paragraph" w:styleId="BalloonText">
    <w:name w:val="Balloon Text"/>
    <w:basedOn w:val="Normal"/>
    <w:link w:val="BalloonTextChar"/>
    <w:uiPriority w:val="99"/>
    <w:semiHidden/>
    <w:unhideWhenUsed/>
    <w:rsid w:val="00A52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FE3"/>
    <w:rPr>
      <w:rFonts w:ascii="Segoe UI" w:eastAsia="Calibri" w:hAnsi="Segoe UI" w:cs="Segoe UI"/>
      <w:sz w:val="18"/>
      <w:szCs w:val="18"/>
    </w:rPr>
  </w:style>
  <w:style w:type="character" w:styleId="FollowedHyperlink">
    <w:name w:val="FollowedHyperlink"/>
    <w:basedOn w:val="DefaultParagraphFont"/>
    <w:uiPriority w:val="99"/>
    <w:semiHidden/>
    <w:unhideWhenUsed/>
    <w:rsid w:val="00741CAE"/>
    <w:rPr>
      <w:color w:val="800080" w:themeColor="followedHyperlink"/>
      <w:u w:val="single"/>
    </w:rPr>
  </w:style>
  <w:style w:type="paragraph" w:styleId="Footer">
    <w:name w:val="footer"/>
    <w:basedOn w:val="Normal"/>
    <w:link w:val="FooterChar"/>
    <w:uiPriority w:val="99"/>
    <w:rsid w:val="00460337"/>
    <w:pPr>
      <w:tabs>
        <w:tab w:val="center" w:pos="4320"/>
        <w:tab w:val="right" w:pos="8640"/>
      </w:tabs>
      <w:spacing w:after="0" w:line="240" w:lineRule="auto"/>
      <w:ind w:firstLine="720"/>
    </w:pPr>
    <w:rPr>
      <w:rFonts w:eastAsia="Times New Roman"/>
      <w:sz w:val="24"/>
      <w:szCs w:val="24"/>
    </w:rPr>
  </w:style>
  <w:style w:type="character" w:customStyle="1" w:styleId="FooterChar">
    <w:name w:val="Footer Char"/>
    <w:basedOn w:val="DefaultParagraphFont"/>
    <w:link w:val="Footer"/>
    <w:uiPriority w:val="99"/>
    <w:rsid w:val="00460337"/>
    <w:rPr>
      <w:rFonts w:ascii="Times New Roman" w:eastAsia="Times New Roman" w:hAnsi="Times New Roman" w:cs="Times New Roman"/>
      <w:sz w:val="24"/>
      <w:szCs w:val="24"/>
    </w:rPr>
  </w:style>
  <w:style w:type="paragraph" w:styleId="BodyText">
    <w:name w:val="Body Text"/>
    <w:basedOn w:val="Normal"/>
    <w:link w:val="BodyTextChar"/>
    <w:uiPriority w:val="99"/>
    <w:rsid w:val="00460337"/>
    <w:pPr>
      <w:spacing w:after="0" w:line="480" w:lineRule="auto"/>
      <w:ind w:firstLine="720"/>
      <w:jc w:val="both"/>
    </w:pPr>
    <w:rPr>
      <w:rFonts w:eastAsia="Times New Roman"/>
      <w:sz w:val="24"/>
      <w:szCs w:val="24"/>
    </w:rPr>
  </w:style>
  <w:style w:type="character" w:customStyle="1" w:styleId="BodyTextChar">
    <w:name w:val="Body Text Char"/>
    <w:basedOn w:val="DefaultParagraphFont"/>
    <w:link w:val="BodyText"/>
    <w:uiPriority w:val="99"/>
    <w:rsid w:val="00460337"/>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460337"/>
  </w:style>
  <w:style w:type="character" w:customStyle="1" w:styleId="st1">
    <w:name w:val="st1"/>
    <w:basedOn w:val="DefaultParagraphFont"/>
    <w:rsid w:val="007E29FD"/>
  </w:style>
  <w:style w:type="paragraph" w:styleId="Header">
    <w:name w:val="header"/>
    <w:basedOn w:val="Normal"/>
    <w:link w:val="HeaderChar"/>
    <w:uiPriority w:val="99"/>
    <w:unhideWhenUsed/>
    <w:rsid w:val="00BA0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C6C"/>
    <w:rPr>
      <w:rFonts w:ascii="Calibri" w:eastAsia="Calibri" w:hAnsi="Calibri" w:cs="Times New Roman"/>
    </w:rPr>
  </w:style>
  <w:style w:type="character" w:styleId="CommentReference">
    <w:name w:val="annotation reference"/>
    <w:basedOn w:val="DefaultParagraphFont"/>
    <w:uiPriority w:val="99"/>
    <w:semiHidden/>
    <w:unhideWhenUsed/>
    <w:rsid w:val="00A45EEE"/>
    <w:rPr>
      <w:sz w:val="16"/>
      <w:szCs w:val="16"/>
    </w:rPr>
  </w:style>
  <w:style w:type="paragraph" w:styleId="CommentText">
    <w:name w:val="annotation text"/>
    <w:basedOn w:val="Normal"/>
    <w:link w:val="CommentTextChar"/>
    <w:uiPriority w:val="99"/>
    <w:semiHidden/>
    <w:unhideWhenUsed/>
    <w:rsid w:val="00A45EEE"/>
    <w:pPr>
      <w:spacing w:line="240" w:lineRule="auto"/>
    </w:pPr>
    <w:rPr>
      <w:szCs w:val="20"/>
    </w:rPr>
  </w:style>
  <w:style w:type="character" w:customStyle="1" w:styleId="CommentTextChar">
    <w:name w:val="Comment Text Char"/>
    <w:basedOn w:val="DefaultParagraphFont"/>
    <w:link w:val="CommentText"/>
    <w:uiPriority w:val="99"/>
    <w:semiHidden/>
    <w:rsid w:val="00A45EE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5EEE"/>
    <w:rPr>
      <w:b/>
      <w:bCs/>
    </w:rPr>
  </w:style>
  <w:style w:type="character" w:customStyle="1" w:styleId="CommentSubjectChar">
    <w:name w:val="Comment Subject Char"/>
    <w:basedOn w:val="CommentTextChar"/>
    <w:link w:val="CommentSubject"/>
    <w:uiPriority w:val="99"/>
    <w:semiHidden/>
    <w:rsid w:val="00A45EEE"/>
    <w:rPr>
      <w:rFonts w:ascii="Calibri" w:eastAsia="Calibri" w:hAnsi="Calibri" w:cs="Times New Roman"/>
      <w:b/>
      <w:bCs/>
      <w:sz w:val="20"/>
      <w:szCs w:val="20"/>
    </w:rPr>
  </w:style>
  <w:style w:type="paragraph" w:customStyle="1" w:styleId="FreeForm">
    <w:name w:val="Free Form"/>
    <w:rsid w:val="00DE4747"/>
    <w:pPr>
      <w:pBdr>
        <w:top w:val="nil"/>
        <w:left w:val="nil"/>
        <w:bottom w:val="nil"/>
        <w:right w:val="nil"/>
        <w:between w:val="nil"/>
        <w:bar w:val="nil"/>
      </w:pBdr>
      <w:spacing w:after="0" w:line="240" w:lineRule="auto"/>
    </w:pPr>
    <w:rPr>
      <w:rFonts w:ascii="Calibri" w:eastAsia="Arial Unicode MS" w:hAnsi="Calibri" w:cs="Arial Unicode MS"/>
      <w:color w:val="000000"/>
      <w:sz w:val="20"/>
      <w:szCs w:val="20"/>
      <w:bdr w:val="nil"/>
    </w:rPr>
  </w:style>
  <w:style w:type="character" w:customStyle="1" w:styleId="Heading2Char">
    <w:name w:val="Heading 2 Char"/>
    <w:basedOn w:val="DefaultParagraphFont"/>
    <w:link w:val="Heading2"/>
    <w:uiPriority w:val="9"/>
    <w:rsid w:val="00FD13E6"/>
    <w:rPr>
      <w:rFonts w:asciiTheme="majorHAnsi" w:eastAsiaTheme="majorEastAsia" w:hAnsiTheme="majorHAnsi" w:cstheme="majorBidi"/>
      <w:color w:val="365F91" w:themeColor="accent1" w:themeShade="BF"/>
      <w:sz w:val="26"/>
      <w:szCs w:val="26"/>
    </w:rPr>
  </w:style>
  <w:style w:type="character" w:customStyle="1" w:styleId="Hyperlink1">
    <w:name w:val="Hyperlink1"/>
    <w:uiPriority w:val="99"/>
    <w:unhideWhenUsed/>
    <w:rsid w:val="00863100"/>
    <w:rPr>
      <w:color w:val="0563C1"/>
      <w:u w:val="single"/>
    </w:rPr>
  </w:style>
  <w:style w:type="character" w:customStyle="1" w:styleId="author">
    <w:name w:val="author"/>
    <w:basedOn w:val="DefaultParagraphFont"/>
    <w:rsid w:val="00FE6AAD"/>
  </w:style>
  <w:style w:type="character" w:customStyle="1" w:styleId="articletitle">
    <w:name w:val="articletitle"/>
    <w:basedOn w:val="DefaultParagraphFont"/>
    <w:rsid w:val="00FE6AAD"/>
  </w:style>
  <w:style w:type="character" w:customStyle="1" w:styleId="othertitle">
    <w:name w:val="othertitle"/>
    <w:basedOn w:val="DefaultParagraphFont"/>
    <w:rsid w:val="00FE6AAD"/>
  </w:style>
  <w:style w:type="character" w:customStyle="1" w:styleId="vol">
    <w:name w:val="vol"/>
    <w:basedOn w:val="DefaultParagraphFont"/>
    <w:rsid w:val="00FE6AAD"/>
  </w:style>
  <w:style w:type="character" w:customStyle="1" w:styleId="citedissue">
    <w:name w:val="citedissue"/>
    <w:basedOn w:val="DefaultParagraphFont"/>
    <w:rsid w:val="00FE6AAD"/>
  </w:style>
  <w:style w:type="paragraph" w:customStyle="1" w:styleId="mol-para-with-font">
    <w:name w:val="mol-para-with-font"/>
    <w:basedOn w:val="Normal"/>
    <w:rsid w:val="004C73E2"/>
    <w:pPr>
      <w:spacing w:before="100" w:beforeAutospacing="1" w:after="100" w:afterAutospacing="1" w:line="240" w:lineRule="auto"/>
    </w:pPr>
    <w:rPr>
      <w:rFonts w:eastAsia="Times New Roman"/>
      <w:sz w:val="24"/>
      <w:szCs w:val="24"/>
    </w:rPr>
  </w:style>
  <w:style w:type="paragraph" w:styleId="Revision">
    <w:name w:val="Revision"/>
    <w:hidden/>
    <w:uiPriority w:val="99"/>
    <w:semiHidden/>
    <w:rsid w:val="00CD1164"/>
    <w:pPr>
      <w:spacing w:after="0" w:line="240" w:lineRule="auto"/>
    </w:pPr>
    <w:rPr>
      <w:rFonts w:ascii="Calibri" w:eastAsia="Calibri" w:hAnsi="Calibri" w:cs="Times New Roman"/>
    </w:rPr>
  </w:style>
  <w:style w:type="paragraph" w:styleId="BodyTextIndent2">
    <w:name w:val="Body Text Indent 2"/>
    <w:basedOn w:val="Normal"/>
    <w:link w:val="BodyTextIndent2Char"/>
    <w:uiPriority w:val="99"/>
    <w:semiHidden/>
    <w:unhideWhenUsed/>
    <w:rsid w:val="00D92392"/>
    <w:pPr>
      <w:spacing w:after="120" w:line="480" w:lineRule="auto"/>
      <w:ind w:left="360"/>
    </w:pPr>
  </w:style>
  <w:style w:type="character" w:customStyle="1" w:styleId="BodyTextIndent2Char">
    <w:name w:val="Body Text Indent 2 Char"/>
    <w:basedOn w:val="DefaultParagraphFont"/>
    <w:link w:val="BodyTextIndent2"/>
    <w:uiPriority w:val="99"/>
    <w:semiHidden/>
    <w:rsid w:val="00D92392"/>
    <w:rPr>
      <w:rFonts w:ascii="Times New Roman" w:eastAsia="Calibri" w:hAnsi="Times New Roman" w:cs="Times New Roman"/>
      <w:sz w:val="20"/>
    </w:rPr>
  </w:style>
  <w:style w:type="character" w:styleId="Strong">
    <w:name w:val="Strong"/>
    <w:basedOn w:val="DefaultParagraphFont"/>
    <w:uiPriority w:val="22"/>
    <w:qFormat/>
    <w:rsid w:val="00D92392"/>
    <w:rPr>
      <w:b/>
      <w:bCs/>
    </w:rPr>
  </w:style>
  <w:style w:type="character" w:styleId="Emphasis">
    <w:name w:val="Emphasis"/>
    <w:basedOn w:val="DefaultParagraphFont"/>
    <w:uiPriority w:val="20"/>
    <w:qFormat/>
    <w:rsid w:val="00D92392"/>
    <w:rPr>
      <w:i/>
      <w:iCs/>
    </w:rPr>
  </w:style>
  <w:style w:type="character" w:customStyle="1" w:styleId="Heading1Char">
    <w:name w:val="Heading 1 Char"/>
    <w:basedOn w:val="DefaultParagraphFont"/>
    <w:link w:val="Heading1"/>
    <w:uiPriority w:val="9"/>
    <w:rsid w:val="003C142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6306">
      <w:bodyDiv w:val="1"/>
      <w:marLeft w:val="0"/>
      <w:marRight w:val="0"/>
      <w:marTop w:val="0"/>
      <w:marBottom w:val="0"/>
      <w:divBdr>
        <w:top w:val="none" w:sz="0" w:space="0" w:color="auto"/>
        <w:left w:val="none" w:sz="0" w:space="0" w:color="auto"/>
        <w:bottom w:val="none" w:sz="0" w:space="0" w:color="auto"/>
        <w:right w:val="none" w:sz="0" w:space="0" w:color="auto"/>
      </w:divBdr>
    </w:div>
    <w:div w:id="228925427">
      <w:bodyDiv w:val="1"/>
      <w:marLeft w:val="0"/>
      <w:marRight w:val="0"/>
      <w:marTop w:val="0"/>
      <w:marBottom w:val="0"/>
      <w:divBdr>
        <w:top w:val="none" w:sz="0" w:space="0" w:color="auto"/>
        <w:left w:val="none" w:sz="0" w:space="0" w:color="auto"/>
        <w:bottom w:val="none" w:sz="0" w:space="0" w:color="auto"/>
        <w:right w:val="none" w:sz="0" w:space="0" w:color="auto"/>
      </w:divBdr>
    </w:div>
    <w:div w:id="251283179">
      <w:bodyDiv w:val="1"/>
      <w:marLeft w:val="0"/>
      <w:marRight w:val="0"/>
      <w:marTop w:val="0"/>
      <w:marBottom w:val="0"/>
      <w:divBdr>
        <w:top w:val="none" w:sz="0" w:space="0" w:color="auto"/>
        <w:left w:val="none" w:sz="0" w:space="0" w:color="auto"/>
        <w:bottom w:val="none" w:sz="0" w:space="0" w:color="auto"/>
        <w:right w:val="none" w:sz="0" w:space="0" w:color="auto"/>
      </w:divBdr>
    </w:div>
    <w:div w:id="386536085">
      <w:bodyDiv w:val="1"/>
      <w:marLeft w:val="0"/>
      <w:marRight w:val="0"/>
      <w:marTop w:val="0"/>
      <w:marBottom w:val="0"/>
      <w:divBdr>
        <w:top w:val="none" w:sz="0" w:space="0" w:color="auto"/>
        <w:left w:val="none" w:sz="0" w:space="0" w:color="auto"/>
        <w:bottom w:val="none" w:sz="0" w:space="0" w:color="auto"/>
        <w:right w:val="none" w:sz="0" w:space="0" w:color="auto"/>
      </w:divBdr>
    </w:div>
    <w:div w:id="632294370">
      <w:bodyDiv w:val="1"/>
      <w:marLeft w:val="0"/>
      <w:marRight w:val="0"/>
      <w:marTop w:val="0"/>
      <w:marBottom w:val="0"/>
      <w:divBdr>
        <w:top w:val="none" w:sz="0" w:space="0" w:color="auto"/>
        <w:left w:val="none" w:sz="0" w:space="0" w:color="auto"/>
        <w:bottom w:val="none" w:sz="0" w:space="0" w:color="auto"/>
        <w:right w:val="none" w:sz="0" w:space="0" w:color="auto"/>
      </w:divBdr>
      <w:divsChild>
        <w:div w:id="1952011227">
          <w:marLeft w:val="0"/>
          <w:marRight w:val="0"/>
          <w:marTop w:val="0"/>
          <w:marBottom w:val="0"/>
          <w:divBdr>
            <w:top w:val="none" w:sz="0" w:space="0" w:color="auto"/>
            <w:left w:val="none" w:sz="0" w:space="0" w:color="auto"/>
            <w:bottom w:val="none" w:sz="0" w:space="0" w:color="auto"/>
            <w:right w:val="none" w:sz="0" w:space="0" w:color="auto"/>
          </w:divBdr>
          <w:divsChild>
            <w:div w:id="1013922102">
              <w:marLeft w:val="0"/>
              <w:marRight w:val="0"/>
              <w:marTop w:val="0"/>
              <w:marBottom w:val="0"/>
              <w:divBdr>
                <w:top w:val="none" w:sz="0" w:space="0" w:color="auto"/>
                <w:left w:val="none" w:sz="0" w:space="0" w:color="auto"/>
                <w:bottom w:val="none" w:sz="0" w:space="0" w:color="auto"/>
                <w:right w:val="none" w:sz="0" w:space="0" w:color="auto"/>
              </w:divBdr>
              <w:divsChild>
                <w:div w:id="1147086415">
                  <w:marLeft w:val="0"/>
                  <w:marRight w:val="0"/>
                  <w:marTop w:val="0"/>
                  <w:marBottom w:val="0"/>
                  <w:divBdr>
                    <w:top w:val="none" w:sz="0" w:space="0" w:color="auto"/>
                    <w:left w:val="none" w:sz="0" w:space="0" w:color="auto"/>
                    <w:bottom w:val="none" w:sz="0" w:space="0" w:color="auto"/>
                    <w:right w:val="none" w:sz="0" w:space="0" w:color="auto"/>
                  </w:divBdr>
                  <w:divsChild>
                    <w:div w:id="616256119">
                      <w:marLeft w:val="0"/>
                      <w:marRight w:val="0"/>
                      <w:marTop w:val="0"/>
                      <w:marBottom w:val="0"/>
                      <w:divBdr>
                        <w:top w:val="none" w:sz="0" w:space="0" w:color="auto"/>
                        <w:left w:val="none" w:sz="0" w:space="0" w:color="auto"/>
                        <w:bottom w:val="none" w:sz="0" w:space="0" w:color="auto"/>
                        <w:right w:val="none" w:sz="0" w:space="0" w:color="auto"/>
                      </w:divBdr>
                      <w:divsChild>
                        <w:div w:id="1990818833">
                          <w:marLeft w:val="0"/>
                          <w:marRight w:val="0"/>
                          <w:marTop w:val="0"/>
                          <w:marBottom w:val="0"/>
                          <w:divBdr>
                            <w:top w:val="none" w:sz="0" w:space="0" w:color="auto"/>
                            <w:left w:val="none" w:sz="0" w:space="0" w:color="auto"/>
                            <w:bottom w:val="none" w:sz="0" w:space="0" w:color="auto"/>
                            <w:right w:val="none" w:sz="0" w:space="0" w:color="auto"/>
                          </w:divBdr>
                          <w:divsChild>
                            <w:div w:id="1223756784">
                              <w:marLeft w:val="0"/>
                              <w:marRight w:val="0"/>
                              <w:marTop w:val="0"/>
                              <w:marBottom w:val="0"/>
                              <w:divBdr>
                                <w:top w:val="none" w:sz="0" w:space="0" w:color="C0C0C0"/>
                                <w:left w:val="none" w:sz="0" w:space="0" w:color="C0C0C0"/>
                                <w:bottom w:val="none" w:sz="0" w:space="0" w:color="C0C0C0"/>
                                <w:right w:val="none" w:sz="0" w:space="0" w:color="C0C0C0"/>
                              </w:divBdr>
                              <w:divsChild>
                                <w:div w:id="1887840074">
                                  <w:marLeft w:val="0"/>
                                  <w:marRight w:val="0"/>
                                  <w:marTop w:val="0"/>
                                  <w:marBottom w:val="0"/>
                                  <w:divBdr>
                                    <w:top w:val="none" w:sz="0" w:space="0" w:color="auto"/>
                                    <w:left w:val="none" w:sz="0" w:space="0" w:color="auto"/>
                                    <w:bottom w:val="none" w:sz="0" w:space="0" w:color="auto"/>
                                    <w:right w:val="none" w:sz="0" w:space="0" w:color="auto"/>
                                  </w:divBdr>
                                  <w:divsChild>
                                    <w:div w:id="1071655822">
                                      <w:marLeft w:val="0"/>
                                      <w:marRight w:val="0"/>
                                      <w:marTop w:val="0"/>
                                      <w:marBottom w:val="0"/>
                                      <w:divBdr>
                                        <w:top w:val="none" w:sz="0" w:space="0" w:color="auto"/>
                                        <w:left w:val="none" w:sz="0" w:space="0" w:color="auto"/>
                                        <w:bottom w:val="none" w:sz="0" w:space="0" w:color="auto"/>
                                        <w:right w:val="none" w:sz="0" w:space="0" w:color="auto"/>
                                      </w:divBdr>
                                      <w:divsChild>
                                        <w:div w:id="350767191">
                                          <w:marLeft w:val="150"/>
                                          <w:marRight w:val="150"/>
                                          <w:marTop w:val="150"/>
                                          <w:marBottom w:val="150"/>
                                          <w:divBdr>
                                            <w:top w:val="none" w:sz="0" w:space="0" w:color="auto"/>
                                            <w:left w:val="none" w:sz="0" w:space="0" w:color="auto"/>
                                            <w:bottom w:val="none" w:sz="0" w:space="0" w:color="auto"/>
                                            <w:right w:val="none" w:sz="0" w:space="0" w:color="auto"/>
                                          </w:divBdr>
                                          <w:divsChild>
                                            <w:div w:id="1717310232">
                                              <w:marLeft w:val="0"/>
                                              <w:marRight w:val="0"/>
                                              <w:marTop w:val="0"/>
                                              <w:marBottom w:val="0"/>
                                              <w:divBdr>
                                                <w:top w:val="none" w:sz="0" w:space="0" w:color="auto"/>
                                                <w:left w:val="none" w:sz="0" w:space="0" w:color="auto"/>
                                                <w:bottom w:val="none" w:sz="0" w:space="0" w:color="auto"/>
                                                <w:right w:val="none" w:sz="0" w:space="0" w:color="auto"/>
                                              </w:divBdr>
                                              <w:divsChild>
                                                <w:div w:id="2304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10959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25114359">
      <w:bodyDiv w:val="1"/>
      <w:marLeft w:val="0"/>
      <w:marRight w:val="0"/>
      <w:marTop w:val="0"/>
      <w:marBottom w:val="0"/>
      <w:divBdr>
        <w:top w:val="none" w:sz="0" w:space="0" w:color="auto"/>
        <w:left w:val="none" w:sz="0" w:space="0" w:color="auto"/>
        <w:bottom w:val="none" w:sz="0" w:space="0" w:color="auto"/>
        <w:right w:val="none" w:sz="0" w:space="0" w:color="auto"/>
      </w:divBdr>
      <w:divsChild>
        <w:div w:id="1802843178">
          <w:marLeft w:val="0"/>
          <w:marRight w:val="0"/>
          <w:marTop w:val="0"/>
          <w:marBottom w:val="0"/>
          <w:divBdr>
            <w:top w:val="none" w:sz="0" w:space="0" w:color="auto"/>
            <w:left w:val="none" w:sz="0" w:space="0" w:color="auto"/>
            <w:bottom w:val="none" w:sz="0" w:space="0" w:color="auto"/>
            <w:right w:val="none" w:sz="0" w:space="0" w:color="auto"/>
          </w:divBdr>
          <w:divsChild>
            <w:div w:id="1838962450">
              <w:marLeft w:val="0"/>
              <w:marRight w:val="0"/>
              <w:marTop w:val="0"/>
              <w:marBottom w:val="0"/>
              <w:divBdr>
                <w:top w:val="none" w:sz="0" w:space="0" w:color="auto"/>
                <w:left w:val="none" w:sz="0" w:space="0" w:color="auto"/>
                <w:bottom w:val="none" w:sz="0" w:space="0" w:color="auto"/>
                <w:right w:val="none" w:sz="0" w:space="0" w:color="auto"/>
              </w:divBdr>
              <w:divsChild>
                <w:div w:id="327484145">
                  <w:marLeft w:val="0"/>
                  <w:marRight w:val="0"/>
                  <w:marTop w:val="0"/>
                  <w:marBottom w:val="0"/>
                  <w:divBdr>
                    <w:top w:val="none" w:sz="0" w:space="0" w:color="auto"/>
                    <w:left w:val="none" w:sz="0" w:space="0" w:color="auto"/>
                    <w:bottom w:val="none" w:sz="0" w:space="0" w:color="auto"/>
                    <w:right w:val="none" w:sz="0" w:space="0" w:color="auto"/>
                  </w:divBdr>
                  <w:divsChild>
                    <w:div w:id="745806413">
                      <w:marLeft w:val="0"/>
                      <w:marRight w:val="0"/>
                      <w:marTop w:val="0"/>
                      <w:marBottom w:val="0"/>
                      <w:divBdr>
                        <w:top w:val="none" w:sz="0" w:space="0" w:color="auto"/>
                        <w:left w:val="none" w:sz="0" w:space="0" w:color="auto"/>
                        <w:bottom w:val="none" w:sz="0" w:space="0" w:color="auto"/>
                        <w:right w:val="none" w:sz="0" w:space="0" w:color="auto"/>
                      </w:divBdr>
                      <w:divsChild>
                        <w:div w:id="334889935">
                          <w:marLeft w:val="0"/>
                          <w:marRight w:val="0"/>
                          <w:marTop w:val="0"/>
                          <w:marBottom w:val="0"/>
                          <w:divBdr>
                            <w:top w:val="none" w:sz="0" w:space="0" w:color="auto"/>
                            <w:left w:val="none" w:sz="0" w:space="0" w:color="auto"/>
                            <w:bottom w:val="none" w:sz="0" w:space="0" w:color="auto"/>
                            <w:right w:val="none" w:sz="0" w:space="0" w:color="auto"/>
                          </w:divBdr>
                          <w:divsChild>
                            <w:div w:id="922950648">
                              <w:marLeft w:val="0"/>
                              <w:marRight w:val="0"/>
                              <w:marTop w:val="0"/>
                              <w:marBottom w:val="0"/>
                              <w:divBdr>
                                <w:top w:val="none" w:sz="0" w:space="0" w:color="C0C0C0"/>
                                <w:left w:val="none" w:sz="0" w:space="0" w:color="C0C0C0"/>
                                <w:bottom w:val="none" w:sz="0" w:space="0" w:color="C0C0C0"/>
                                <w:right w:val="none" w:sz="0" w:space="0" w:color="C0C0C0"/>
                              </w:divBdr>
                              <w:divsChild>
                                <w:div w:id="2143493834">
                                  <w:marLeft w:val="0"/>
                                  <w:marRight w:val="0"/>
                                  <w:marTop w:val="0"/>
                                  <w:marBottom w:val="0"/>
                                  <w:divBdr>
                                    <w:top w:val="none" w:sz="0" w:space="0" w:color="auto"/>
                                    <w:left w:val="none" w:sz="0" w:space="0" w:color="auto"/>
                                    <w:bottom w:val="none" w:sz="0" w:space="0" w:color="auto"/>
                                    <w:right w:val="none" w:sz="0" w:space="0" w:color="auto"/>
                                  </w:divBdr>
                                  <w:divsChild>
                                    <w:div w:id="548764040">
                                      <w:marLeft w:val="0"/>
                                      <w:marRight w:val="0"/>
                                      <w:marTop w:val="0"/>
                                      <w:marBottom w:val="0"/>
                                      <w:divBdr>
                                        <w:top w:val="none" w:sz="0" w:space="0" w:color="auto"/>
                                        <w:left w:val="none" w:sz="0" w:space="0" w:color="auto"/>
                                        <w:bottom w:val="none" w:sz="0" w:space="0" w:color="auto"/>
                                        <w:right w:val="none" w:sz="0" w:space="0" w:color="auto"/>
                                      </w:divBdr>
                                      <w:divsChild>
                                        <w:div w:id="1174800552">
                                          <w:marLeft w:val="150"/>
                                          <w:marRight w:val="150"/>
                                          <w:marTop w:val="150"/>
                                          <w:marBottom w:val="150"/>
                                          <w:divBdr>
                                            <w:top w:val="none" w:sz="0" w:space="0" w:color="auto"/>
                                            <w:left w:val="none" w:sz="0" w:space="0" w:color="auto"/>
                                            <w:bottom w:val="none" w:sz="0" w:space="0" w:color="auto"/>
                                            <w:right w:val="none" w:sz="0" w:space="0" w:color="auto"/>
                                          </w:divBdr>
                                          <w:divsChild>
                                            <w:div w:id="1329409956">
                                              <w:marLeft w:val="0"/>
                                              <w:marRight w:val="0"/>
                                              <w:marTop w:val="0"/>
                                              <w:marBottom w:val="0"/>
                                              <w:divBdr>
                                                <w:top w:val="none" w:sz="0" w:space="0" w:color="auto"/>
                                                <w:left w:val="none" w:sz="0" w:space="0" w:color="auto"/>
                                                <w:bottom w:val="none" w:sz="0" w:space="0" w:color="auto"/>
                                                <w:right w:val="none" w:sz="0" w:space="0" w:color="auto"/>
                                              </w:divBdr>
                                              <w:divsChild>
                                                <w:div w:id="11719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847944">
      <w:bodyDiv w:val="1"/>
      <w:marLeft w:val="0"/>
      <w:marRight w:val="0"/>
      <w:marTop w:val="0"/>
      <w:marBottom w:val="0"/>
      <w:divBdr>
        <w:top w:val="none" w:sz="0" w:space="0" w:color="auto"/>
        <w:left w:val="none" w:sz="0" w:space="0" w:color="auto"/>
        <w:bottom w:val="none" w:sz="0" w:space="0" w:color="auto"/>
        <w:right w:val="none" w:sz="0" w:space="0" w:color="auto"/>
      </w:divBdr>
    </w:div>
    <w:div w:id="1334994888">
      <w:bodyDiv w:val="1"/>
      <w:marLeft w:val="0"/>
      <w:marRight w:val="0"/>
      <w:marTop w:val="0"/>
      <w:marBottom w:val="0"/>
      <w:divBdr>
        <w:top w:val="none" w:sz="0" w:space="0" w:color="auto"/>
        <w:left w:val="none" w:sz="0" w:space="0" w:color="auto"/>
        <w:bottom w:val="none" w:sz="0" w:space="0" w:color="auto"/>
        <w:right w:val="none" w:sz="0" w:space="0" w:color="auto"/>
      </w:divBdr>
    </w:div>
    <w:div w:id="1391542373">
      <w:bodyDiv w:val="1"/>
      <w:marLeft w:val="0"/>
      <w:marRight w:val="0"/>
      <w:marTop w:val="0"/>
      <w:marBottom w:val="0"/>
      <w:divBdr>
        <w:top w:val="none" w:sz="0" w:space="0" w:color="auto"/>
        <w:left w:val="none" w:sz="0" w:space="0" w:color="auto"/>
        <w:bottom w:val="none" w:sz="0" w:space="0" w:color="auto"/>
        <w:right w:val="none" w:sz="0" w:space="0" w:color="auto"/>
      </w:divBdr>
    </w:div>
    <w:div w:id="1439329544">
      <w:bodyDiv w:val="1"/>
      <w:marLeft w:val="0"/>
      <w:marRight w:val="0"/>
      <w:marTop w:val="0"/>
      <w:marBottom w:val="0"/>
      <w:divBdr>
        <w:top w:val="none" w:sz="0" w:space="0" w:color="auto"/>
        <w:left w:val="none" w:sz="0" w:space="0" w:color="auto"/>
        <w:bottom w:val="none" w:sz="0" w:space="0" w:color="auto"/>
        <w:right w:val="none" w:sz="0" w:space="0" w:color="auto"/>
      </w:divBdr>
      <w:divsChild>
        <w:div w:id="618684862">
          <w:marLeft w:val="0"/>
          <w:marRight w:val="0"/>
          <w:marTop w:val="0"/>
          <w:marBottom w:val="0"/>
          <w:divBdr>
            <w:top w:val="none" w:sz="0" w:space="0" w:color="auto"/>
            <w:left w:val="none" w:sz="0" w:space="0" w:color="auto"/>
            <w:bottom w:val="none" w:sz="0" w:space="0" w:color="auto"/>
            <w:right w:val="none" w:sz="0" w:space="0" w:color="auto"/>
          </w:divBdr>
          <w:divsChild>
            <w:div w:id="224994174">
              <w:marLeft w:val="0"/>
              <w:marRight w:val="0"/>
              <w:marTop w:val="0"/>
              <w:marBottom w:val="0"/>
              <w:divBdr>
                <w:top w:val="none" w:sz="0" w:space="0" w:color="auto"/>
                <w:left w:val="none" w:sz="0" w:space="0" w:color="auto"/>
                <w:bottom w:val="none" w:sz="0" w:space="0" w:color="auto"/>
                <w:right w:val="none" w:sz="0" w:space="0" w:color="auto"/>
              </w:divBdr>
              <w:divsChild>
                <w:div w:id="361787313">
                  <w:marLeft w:val="0"/>
                  <w:marRight w:val="0"/>
                  <w:marTop w:val="0"/>
                  <w:marBottom w:val="0"/>
                  <w:divBdr>
                    <w:top w:val="none" w:sz="0" w:space="0" w:color="auto"/>
                    <w:left w:val="none" w:sz="0" w:space="0" w:color="auto"/>
                    <w:bottom w:val="none" w:sz="0" w:space="0" w:color="auto"/>
                    <w:right w:val="none" w:sz="0" w:space="0" w:color="auto"/>
                  </w:divBdr>
                  <w:divsChild>
                    <w:div w:id="204677556">
                      <w:marLeft w:val="0"/>
                      <w:marRight w:val="0"/>
                      <w:marTop w:val="0"/>
                      <w:marBottom w:val="0"/>
                      <w:divBdr>
                        <w:top w:val="none" w:sz="0" w:space="0" w:color="auto"/>
                        <w:left w:val="none" w:sz="0" w:space="0" w:color="auto"/>
                        <w:bottom w:val="none" w:sz="0" w:space="0" w:color="auto"/>
                        <w:right w:val="none" w:sz="0" w:space="0" w:color="auto"/>
                      </w:divBdr>
                      <w:divsChild>
                        <w:div w:id="1417627654">
                          <w:marLeft w:val="0"/>
                          <w:marRight w:val="0"/>
                          <w:marTop w:val="0"/>
                          <w:marBottom w:val="0"/>
                          <w:divBdr>
                            <w:top w:val="none" w:sz="0" w:space="0" w:color="auto"/>
                            <w:left w:val="none" w:sz="0" w:space="0" w:color="auto"/>
                            <w:bottom w:val="none" w:sz="0" w:space="0" w:color="auto"/>
                            <w:right w:val="none" w:sz="0" w:space="0" w:color="auto"/>
                          </w:divBdr>
                          <w:divsChild>
                            <w:div w:id="233012238">
                              <w:marLeft w:val="0"/>
                              <w:marRight w:val="0"/>
                              <w:marTop w:val="0"/>
                              <w:marBottom w:val="0"/>
                              <w:divBdr>
                                <w:top w:val="none" w:sz="0" w:space="0" w:color="C0C0C0"/>
                                <w:left w:val="none" w:sz="0" w:space="0" w:color="C0C0C0"/>
                                <w:bottom w:val="none" w:sz="0" w:space="0" w:color="C0C0C0"/>
                                <w:right w:val="none" w:sz="0" w:space="0" w:color="C0C0C0"/>
                              </w:divBdr>
                              <w:divsChild>
                                <w:div w:id="603539965">
                                  <w:marLeft w:val="0"/>
                                  <w:marRight w:val="0"/>
                                  <w:marTop w:val="0"/>
                                  <w:marBottom w:val="0"/>
                                  <w:divBdr>
                                    <w:top w:val="none" w:sz="0" w:space="0" w:color="auto"/>
                                    <w:left w:val="none" w:sz="0" w:space="0" w:color="auto"/>
                                    <w:bottom w:val="none" w:sz="0" w:space="0" w:color="auto"/>
                                    <w:right w:val="none" w:sz="0" w:space="0" w:color="auto"/>
                                  </w:divBdr>
                                  <w:divsChild>
                                    <w:div w:id="1961254202">
                                      <w:marLeft w:val="0"/>
                                      <w:marRight w:val="0"/>
                                      <w:marTop w:val="0"/>
                                      <w:marBottom w:val="0"/>
                                      <w:divBdr>
                                        <w:top w:val="none" w:sz="0" w:space="0" w:color="auto"/>
                                        <w:left w:val="none" w:sz="0" w:space="0" w:color="auto"/>
                                        <w:bottom w:val="none" w:sz="0" w:space="0" w:color="auto"/>
                                        <w:right w:val="none" w:sz="0" w:space="0" w:color="auto"/>
                                      </w:divBdr>
                                      <w:divsChild>
                                        <w:div w:id="1933080367">
                                          <w:marLeft w:val="150"/>
                                          <w:marRight w:val="150"/>
                                          <w:marTop w:val="150"/>
                                          <w:marBottom w:val="150"/>
                                          <w:divBdr>
                                            <w:top w:val="none" w:sz="0" w:space="0" w:color="auto"/>
                                            <w:left w:val="none" w:sz="0" w:space="0" w:color="auto"/>
                                            <w:bottom w:val="none" w:sz="0" w:space="0" w:color="auto"/>
                                            <w:right w:val="none" w:sz="0" w:space="0" w:color="auto"/>
                                          </w:divBdr>
                                          <w:divsChild>
                                            <w:div w:id="917635652">
                                              <w:marLeft w:val="0"/>
                                              <w:marRight w:val="0"/>
                                              <w:marTop w:val="0"/>
                                              <w:marBottom w:val="0"/>
                                              <w:divBdr>
                                                <w:top w:val="none" w:sz="0" w:space="0" w:color="auto"/>
                                                <w:left w:val="none" w:sz="0" w:space="0" w:color="auto"/>
                                                <w:bottom w:val="none" w:sz="0" w:space="0" w:color="auto"/>
                                                <w:right w:val="none" w:sz="0" w:space="0" w:color="auto"/>
                                              </w:divBdr>
                                              <w:divsChild>
                                                <w:div w:id="15061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83813">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1460025208">
      <w:bodyDiv w:val="1"/>
      <w:marLeft w:val="0"/>
      <w:marRight w:val="0"/>
      <w:marTop w:val="0"/>
      <w:marBottom w:val="0"/>
      <w:divBdr>
        <w:top w:val="none" w:sz="0" w:space="0" w:color="auto"/>
        <w:left w:val="none" w:sz="0" w:space="0" w:color="auto"/>
        <w:bottom w:val="none" w:sz="0" w:space="0" w:color="auto"/>
        <w:right w:val="none" w:sz="0" w:space="0" w:color="auto"/>
      </w:divBdr>
    </w:div>
    <w:div w:id="1715274900">
      <w:bodyDiv w:val="1"/>
      <w:marLeft w:val="0"/>
      <w:marRight w:val="0"/>
      <w:marTop w:val="0"/>
      <w:marBottom w:val="0"/>
      <w:divBdr>
        <w:top w:val="none" w:sz="0" w:space="0" w:color="auto"/>
        <w:left w:val="none" w:sz="0" w:space="0" w:color="auto"/>
        <w:bottom w:val="none" w:sz="0" w:space="0" w:color="auto"/>
        <w:right w:val="none" w:sz="0" w:space="0" w:color="auto"/>
      </w:divBdr>
    </w:div>
    <w:div w:id="1829242964">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66156690">
      <w:bodyDiv w:val="1"/>
      <w:marLeft w:val="0"/>
      <w:marRight w:val="0"/>
      <w:marTop w:val="0"/>
      <w:marBottom w:val="0"/>
      <w:divBdr>
        <w:top w:val="none" w:sz="0" w:space="0" w:color="auto"/>
        <w:left w:val="none" w:sz="0" w:space="0" w:color="auto"/>
        <w:bottom w:val="none" w:sz="0" w:space="0" w:color="auto"/>
        <w:right w:val="none" w:sz="0" w:space="0" w:color="auto"/>
      </w:divBdr>
    </w:div>
    <w:div w:id="1974171186">
      <w:bodyDiv w:val="1"/>
      <w:marLeft w:val="0"/>
      <w:marRight w:val="0"/>
      <w:marTop w:val="0"/>
      <w:marBottom w:val="0"/>
      <w:divBdr>
        <w:top w:val="none" w:sz="0" w:space="0" w:color="auto"/>
        <w:left w:val="none" w:sz="0" w:space="0" w:color="auto"/>
        <w:bottom w:val="none" w:sz="0" w:space="0" w:color="auto"/>
        <w:right w:val="none" w:sz="0" w:space="0" w:color="auto"/>
      </w:divBdr>
      <w:divsChild>
        <w:div w:id="397479366">
          <w:marLeft w:val="0"/>
          <w:marRight w:val="0"/>
          <w:marTop w:val="0"/>
          <w:marBottom w:val="0"/>
          <w:divBdr>
            <w:top w:val="none" w:sz="0" w:space="0" w:color="auto"/>
            <w:left w:val="none" w:sz="0" w:space="0" w:color="auto"/>
            <w:bottom w:val="none" w:sz="0" w:space="0" w:color="auto"/>
            <w:right w:val="none" w:sz="0" w:space="0" w:color="auto"/>
          </w:divBdr>
        </w:div>
      </w:divsChild>
    </w:div>
    <w:div w:id="199645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nimh.nih.gov/health/statistics/eating-disorders.shtml" TargetMode="External"/><Relationship Id="rId18" Type="http://schemas.openxmlformats.org/officeDocument/2006/relationships/hyperlink" Target="https://www.eatingrecoverycenter.com/blog/october-2017/transgender-mental-health" TargetMode="External"/><Relationship Id="rId26" Type="http://schemas.openxmlformats.org/officeDocument/2006/relationships/hyperlink" Target="https://transequality.org/sites/default/files/docs/usts/USTS-Full-Report-Dec17.pdf" TargetMode="External"/><Relationship Id="rId21" Type="http://schemas.openxmlformats.org/officeDocument/2006/relationships/hyperlink" Target="https://www.resilientfatgoddess.com/blog/whyeatingdisordertreatmentisfailingusall" TargetMode="External"/><Relationship Id="rId34" Type="http://schemas.openxmlformats.org/officeDocument/2006/relationships/hyperlink" Target="https://www.ftc.gov/sites/default/files/attachments/press-releases/ftc-publishes-final-guides-governing-endorsements-testimonials/091005revisedendorsementguides.pdf" TargetMode="External"/><Relationship Id="rId7" Type="http://schemas.openxmlformats.org/officeDocument/2006/relationships/hyperlink" Target="https://www.washingtonpost.com/national/health-science/what-you-should-know-about-teatox-as-a-way-to-detox/2018/08/17/424915b4-796a-11e8-93cc-6d3beccdd7a3_story.html" TargetMode="External"/><Relationship Id="rId12" Type="http://schemas.openxmlformats.org/officeDocument/2006/relationships/hyperlink" Target="https://www.psychiatry.org/patients-families/eating-disorders/what-are-eating-disorders" TargetMode="External"/><Relationship Id="rId17" Type="http://schemas.openxmlformats.org/officeDocument/2006/relationships/hyperlink" Target="https://www.resilientfatgoddess.com/blog/whyeatingdisordertreatmentisfailingusall" TargetMode="External"/><Relationship Id="rId25" Type="http://schemas.openxmlformats.org/officeDocument/2006/relationships/hyperlink" Target="https://www.nationaleatingdisorders.org/disability-community" TargetMode="External"/><Relationship Id="rId33" Type="http://schemas.openxmlformats.org/officeDocument/2006/relationships/hyperlink" Target="https://health.usnews.com/health-news/health-wellness/articles/2015/02/23/tackling-eating-disorders-with-school-based-initiatives" TargetMode="External"/><Relationship Id="rId2" Type="http://schemas.openxmlformats.org/officeDocument/2006/relationships/hyperlink" Target="https://www.nimh.nih.gov/health/statistics/eating-disorders.shtml" TargetMode="External"/><Relationship Id="rId16" Type="http://schemas.openxmlformats.org/officeDocument/2006/relationships/hyperlink" Target="https://anad.org/education-and-awareness/about-eating-disorders/eating-disorders-statistics/" TargetMode="External"/><Relationship Id="rId20" Type="http://schemas.openxmlformats.org/officeDocument/2006/relationships/hyperlink" Target="https://www.nationaleatingdisorders.org/people-color-and-eating-disorders" TargetMode="External"/><Relationship Id="rId29" Type="http://schemas.openxmlformats.org/officeDocument/2006/relationships/hyperlink" Target="https://nycwell.cityofnewyork.us/en/" TargetMode="External"/><Relationship Id="rId1" Type="http://schemas.openxmlformats.org/officeDocument/2006/relationships/hyperlink" Target="https://www.nationaleatingdisorders.org/body-image-0" TargetMode="External"/><Relationship Id="rId6" Type="http://schemas.openxmlformats.org/officeDocument/2006/relationships/hyperlink" Target="https://www.prevention.com/weight-loss/a20717523/kim-kardashian-flat-tummy-lollipops/" TargetMode="External"/><Relationship Id="rId11" Type="http://schemas.openxmlformats.org/officeDocument/2006/relationships/hyperlink" Target="https://www.washingtonpost.com/national/health-science/what-you-should-know-about-teatox-as-a-way-to-detox/2018/08/17/424915b4-796a-11e8-93cc-6d3beccdd7a3_story.html" TargetMode="External"/><Relationship Id="rId24" Type="http://schemas.openxmlformats.org/officeDocument/2006/relationships/hyperlink" Target="https://www.nationaleatingdisorders.org/people-color-and-eating-disorders" TargetMode="External"/><Relationship Id="rId32" Type="http://schemas.openxmlformats.org/officeDocument/2006/relationships/hyperlink" Target="https://www1.nyc.gov/site/doh/health/health-topics/teen-resources.page" TargetMode="External"/><Relationship Id="rId37" Type="http://schemas.openxmlformats.org/officeDocument/2006/relationships/hyperlink" Target="https://www.ftc.gov/system/files/documents/plain-language/1001a-influencer-guide-508_1.pdf" TargetMode="External"/><Relationship Id="rId5" Type="http://schemas.openxmlformats.org/officeDocument/2006/relationships/hyperlink" Target="https://www.marieclaire.com/health-fitness/a23306006/appetite-suppressing-lollipops-outrage/" TargetMode="External"/><Relationship Id="rId15" Type="http://schemas.openxmlformats.org/officeDocument/2006/relationships/hyperlink" Target="https://www.nimh.nih.gov/health/statistics/eating-disorders.shtml" TargetMode="External"/><Relationship Id="rId23" Type="http://schemas.openxmlformats.org/officeDocument/2006/relationships/hyperlink" Target="https://news.uci.edu/2019/08/12/fat-phobia/" TargetMode="External"/><Relationship Id="rId28" Type="http://schemas.openxmlformats.org/officeDocument/2006/relationships/hyperlink" Target="https://www.pennmedicine.org/news/news-blog/2019/march/eating-disorders-do-not-discriminate-trans-teens-face-greater-risk" TargetMode="External"/><Relationship Id="rId36" Type="http://schemas.openxmlformats.org/officeDocument/2006/relationships/hyperlink" Target="https://www.ftc.gov/tips-advice/business-center/guidance/disclosures-101-social-media-influencers" TargetMode="External"/><Relationship Id="rId10" Type="http://schemas.openxmlformats.org/officeDocument/2006/relationships/hyperlink" Target="https://www.independent.co.uk/life-style/women/skinny-tea-detox-cleansing-instagram-kylie-jenner-laxative-a9080961.html" TargetMode="External"/><Relationship Id="rId19" Type="http://schemas.openxmlformats.org/officeDocument/2006/relationships/hyperlink" Target="https://www.resilientfatgoddess.com/blog/whyeatingdisordertreatmentisfailingusall" TargetMode="External"/><Relationship Id="rId31" Type="http://schemas.openxmlformats.org/officeDocument/2006/relationships/hyperlink" Target="https://www1.nyc.gov/site/doh/health/health-topics/eating-disorders.page" TargetMode="External"/><Relationship Id="rId4" Type="http://schemas.openxmlformats.org/officeDocument/2006/relationships/hyperlink" Target="https://www.independent.co.uk/life-style/women/skinny-tea-detox-cleansing-instagram-kylie-jenner-laxative-a9080961.html" TargetMode="External"/><Relationship Id="rId9" Type="http://schemas.openxmlformats.org/officeDocument/2006/relationships/hyperlink" Target="https://www.washingtonpost.com/national/health-science/what-you-should-know-about-teatox-as-a-way-to-detox/2018/08/17/424915b4-796a-11e8-93cc-6d3beccdd7a3_story.html" TargetMode="External"/><Relationship Id="rId14" Type="http://schemas.openxmlformats.org/officeDocument/2006/relationships/hyperlink" Target="https://anad.org/education-and-awareness/about-eating-disorders/eating-disorders-statistics/" TargetMode="External"/><Relationship Id="rId22" Type="http://schemas.openxmlformats.org/officeDocument/2006/relationships/hyperlink" Target="https://www.apa.org/news/press/releases/2017/08/fat-shaming" TargetMode="External"/><Relationship Id="rId27" Type="http://schemas.openxmlformats.org/officeDocument/2006/relationships/hyperlink" Target="https://www.eatingrecoverycenter.com/blog/october-2017/transgender-mental-health" TargetMode="External"/><Relationship Id="rId30" Type="http://schemas.openxmlformats.org/officeDocument/2006/relationships/hyperlink" Target="https://www1.nyc.gov/site/doh/health/health-topics/eating-disorders.page" TargetMode="External"/><Relationship Id="rId35" Type="http://schemas.openxmlformats.org/officeDocument/2006/relationships/hyperlink" Target="https://www.ftc.gov/system/files/documents/plain-language/1001a-influencer-guide-508_1.pdf" TargetMode="External"/><Relationship Id="rId8" Type="http://schemas.openxmlformats.org/officeDocument/2006/relationships/hyperlink" Target="https://www.independent.co.uk/life-style/women/skinny-tea-detox-cleansing-instagram-kylie-jenner-laxative-a9080961.html" TargetMode="External"/><Relationship Id="rId3" Type="http://schemas.openxmlformats.org/officeDocument/2006/relationships/hyperlink" Target="https://www.washingtonpost.com/national/health-science/what-you-should-know-about-teatox-as-a-way-to-detox/2018/08/17/424915b4-796a-11e8-93cc-6d3beccdd7a3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45F52-55ED-4290-9C35-3C8C9393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2613</Words>
  <Characters>14895</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Casie</dc:creator>
  <cp:keywords/>
  <dc:description/>
  <cp:lastModifiedBy>DelFranco, Ruthie</cp:lastModifiedBy>
  <cp:revision>2</cp:revision>
  <cp:lastPrinted>2018-06-07T20:52:00Z</cp:lastPrinted>
  <dcterms:created xsi:type="dcterms:W3CDTF">2020-01-28T17:21:00Z</dcterms:created>
  <dcterms:modified xsi:type="dcterms:W3CDTF">2020-01-28T17:21:00Z</dcterms:modified>
</cp:coreProperties>
</file>