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8" w:type="dxa"/>
        <w:jc w:val="center"/>
        <w:tblLook w:val="0600" w:firstRow="0" w:lastRow="0" w:firstColumn="0" w:lastColumn="0" w:noHBand="1" w:noVBand="1"/>
      </w:tblPr>
      <w:tblGrid>
        <w:gridCol w:w="5924"/>
        <w:gridCol w:w="5034"/>
      </w:tblGrid>
      <w:tr w:rsidR="00A329CC" w:rsidRPr="00012730" w14:paraId="5C611C7E" w14:textId="77777777" w:rsidTr="00EF0A62">
        <w:trPr>
          <w:trHeight w:val="1717"/>
          <w:jc w:val="center"/>
        </w:trPr>
        <w:tc>
          <w:tcPr>
            <w:tcW w:w="5924" w:type="dxa"/>
            <w:tcBorders>
              <w:bottom w:val="single" w:sz="4" w:space="0" w:color="auto"/>
            </w:tcBorders>
          </w:tcPr>
          <w:p w14:paraId="4D5BB82E" w14:textId="77777777" w:rsidR="00A329CC" w:rsidRPr="00012730" w:rsidRDefault="00A329CC" w:rsidP="000A7CE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6F0D2EB4" wp14:editId="67C59597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52B596C6" w14:textId="77777777" w:rsidR="00A329CC" w:rsidRDefault="00A329CC" w:rsidP="000A7CEA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1B661082" w14:textId="77777777" w:rsidR="00A329CC" w:rsidRDefault="00A329CC" w:rsidP="000A7CEA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35941841" w14:textId="77777777" w:rsidR="00A329CC" w:rsidRDefault="00A329CC" w:rsidP="000A7CEA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14:paraId="0D7344F7" w14:textId="77777777" w:rsidR="00A329CC" w:rsidRDefault="00A329CC" w:rsidP="000A7CEA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14:paraId="1A2978EC" w14:textId="77777777" w:rsidR="00A329CC" w:rsidRPr="00ED74D9" w:rsidRDefault="00A329CC" w:rsidP="000A7CEA">
            <w:pPr>
              <w:rPr>
                <w:b/>
                <w:bCs/>
                <w:sz w:val="16"/>
                <w:szCs w:val="16"/>
              </w:rPr>
            </w:pPr>
          </w:p>
          <w:p w14:paraId="4410AA42" w14:textId="77777777" w:rsidR="00A329CC" w:rsidRDefault="00A329CC" w:rsidP="000A7CEA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Pr="00EE2325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 xml:space="preserve">: </w:t>
            </w:r>
            <w:r w:rsidRPr="00581C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919-A</w:t>
            </w:r>
          </w:p>
          <w:p w14:paraId="4E608C7A" w14:textId="77777777" w:rsidR="00A329CC" w:rsidRPr="00A267C7" w:rsidRDefault="00A329CC" w:rsidP="000A7CEA">
            <w:pPr>
              <w:rPr>
                <w:color w:val="FF0000"/>
                <w:sz w:val="16"/>
                <w:szCs w:val="16"/>
              </w:rPr>
            </w:pPr>
          </w:p>
          <w:p w14:paraId="68FA10BD" w14:textId="77777777" w:rsidR="00A329CC" w:rsidRPr="00A267C7" w:rsidRDefault="00A329CC" w:rsidP="000A7CEA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A329CC" w:rsidRPr="00012730" w14:paraId="071FF0AF" w14:textId="77777777" w:rsidTr="00EF0A62">
        <w:trPr>
          <w:trHeight w:val="1075"/>
          <w:jc w:val="center"/>
        </w:trPr>
        <w:tc>
          <w:tcPr>
            <w:tcW w:w="5924" w:type="dxa"/>
            <w:tcBorders>
              <w:top w:val="single" w:sz="4" w:space="0" w:color="auto"/>
            </w:tcBorders>
          </w:tcPr>
          <w:p w14:paraId="148EF4F4" w14:textId="77777777" w:rsidR="00A329CC" w:rsidRPr="001D6E9B" w:rsidRDefault="00A329CC" w:rsidP="000A7CEA">
            <w:pPr>
              <w:widowControl w:val="0"/>
              <w:suppressLineNumbers/>
              <w:autoSpaceDE w:val="0"/>
              <w:autoSpaceDN w:val="0"/>
              <w:adjustRightInd w:val="0"/>
            </w:pPr>
            <w:proofErr w:type="spellStart"/>
            <w:r w:rsidRPr="00012730">
              <w:rPr>
                <w:b/>
                <w:bCs/>
                <w:smallCaps/>
              </w:rPr>
              <w:t>Title</w:t>
            </w:r>
            <w:proofErr w:type="gramStart"/>
            <w:r w:rsidRPr="00012730">
              <w:rPr>
                <w:b/>
                <w:bCs/>
                <w:smallCaps/>
              </w:rPr>
              <w:t>:</w:t>
            </w:r>
            <w:r w:rsidRPr="003D46A0">
              <w:rPr>
                <w:vanish/>
                <w:color w:val="000000"/>
              </w:rPr>
              <w:t>..</w:t>
            </w:r>
            <w:proofErr w:type="gramEnd"/>
            <w:r w:rsidRPr="003D46A0">
              <w:rPr>
                <w:vanish/>
                <w:color w:val="000000"/>
              </w:rPr>
              <w:t>Title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A Local Law </w:t>
            </w:r>
            <w:r w:rsidRPr="00A329CC">
              <w:t>to amend the administrative code of the city of New York, in relation to investigations of lead-based paint hazards by independent and certified inspectors, and contractor certifications for construction activities that disturb lead-based paint, and to repeal subdivision 9 of section 20-386 and subdivision 15 of section 20-393 of such administrative code, relating to salespersons for home improvement businesses</w:t>
            </w:r>
          </w:p>
        </w:tc>
        <w:tc>
          <w:tcPr>
            <w:tcW w:w="5034" w:type="dxa"/>
            <w:tcBorders>
              <w:top w:val="single" w:sz="4" w:space="0" w:color="auto"/>
            </w:tcBorders>
          </w:tcPr>
          <w:p w14:paraId="4B57ECB0" w14:textId="77777777" w:rsidR="00A329CC" w:rsidRPr="00D52DC0" w:rsidRDefault="00A329CC" w:rsidP="000A7CEA">
            <w:pPr>
              <w:tabs>
                <w:tab w:val="left" w:pos="1008"/>
                <w:tab w:val="left" w:pos="1728"/>
                <w:tab w:val="left" w:pos="2448"/>
                <w:tab w:val="left" w:pos="4608"/>
                <w:tab w:val="left" w:pos="6048"/>
              </w:tabs>
              <w:ind w:right="144"/>
            </w:pPr>
            <w:r>
              <w:rPr>
                <w:b/>
                <w:smallCaps/>
              </w:rPr>
              <w:t>Sponsors</w:t>
            </w:r>
            <w:r>
              <w:rPr>
                <w:b/>
              </w:rPr>
              <w:t xml:space="preserve">: </w:t>
            </w:r>
            <w:r>
              <w:t xml:space="preserve">By Council Members </w:t>
            </w:r>
            <w:r w:rsidRPr="00A329CC">
              <w:t>Torres, Treyger, Holden, Cumbo, Kallos and Lander</w:t>
            </w:r>
          </w:p>
        </w:tc>
      </w:tr>
    </w:tbl>
    <w:p w14:paraId="6F612DC2" w14:textId="77777777" w:rsidR="00270940" w:rsidRDefault="00A329CC" w:rsidP="00EF0A62">
      <w:pPr>
        <w:spacing w:before="120"/>
      </w:pPr>
      <w:r>
        <w:rPr>
          <w:b/>
          <w:smallCaps/>
        </w:rPr>
        <w:t>Summary of Legislation:</w:t>
      </w:r>
      <w:r>
        <w:t xml:space="preserve"> Proposed Int. No. 919-A </w:t>
      </w:r>
      <w:r w:rsidRPr="00A127B3">
        <w:t xml:space="preserve">would </w:t>
      </w:r>
      <w:r>
        <w:t xml:space="preserve">require that, within five years of the bill’s effective date, a thorough inspection be conducted by an </w:t>
      </w:r>
      <w:r w:rsidR="00F828C7">
        <w:t xml:space="preserve">inspector certified by the federal Environmental Protection Agency (EPA) </w:t>
      </w:r>
      <w:r>
        <w:t xml:space="preserve">and include a specified inspection protocol. The bill would also require home improvement contractors to show that they are EPA-certified to ensure that they are prepared to follow lead-related safety standards.  </w:t>
      </w:r>
      <w:r w:rsidR="00270940">
        <w:t>Lastly, the bill would require pro</w:t>
      </w:r>
      <w:r w:rsidR="00D863AC">
        <w:t>perty owners to keep a record of</w:t>
      </w:r>
      <w:r w:rsidR="00270940">
        <w:t xml:space="preserve"> unit turnover, the person who performed lead based paint investigations and</w:t>
      </w:r>
      <w:r w:rsidR="00432414">
        <w:t xml:space="preserve"> all testing results for</w:t>
      </w:r>
      <w:r w:rsidR="00270940">
        <w:t xml:space="preserve"> </w:t>
      </w:r>
      <w:r w:rsidR="00432414">
        <w:t>each applicable residential</w:t>
      </w:r>
      <w:r w:rsidR="00270940">
        <w:t xml:space="preserve"> unit. </w:t>
      </w:r>
    </w:p>
    <w:p w14:paraId="7E25508D" w14:textId="77777777" w:rsidR="00A329CC" w:rsidRDefault="00A329CC" w:rsidP="00A329CC">
      <w:pPr>
        <w:pStyle w:val="NoSpacing"/>
      </w:pPr>
    </w:p>
    <w:p w14:paraId="789032C5" w14:textId="77777777" w:rsidR="00A329CC" w:rsidRDefault="00A329CC" w:rsidP="00A329CC">
      <w:pPr>
        <w:widowControl w:val="0"/>
        <w:autoSpaceDE w:val="0"/>
        <w:autoSpaceDN w:val="0"/>
        <w:adjustRightInd w:val="0"/>
      </w:pPr>
      <w:r w:rsidRPr="00012730">
        <w:rPr>
          <w:b/>
          <w:smallCaps/>
        </w:rPr>
        <w:t>Effective Date:</w:t>
      </w:r>
      <w:r>
        <w:t xml:space="preserve"> </w:t>
      </w:r>
      <w:r w:rsidRPr="00A329CC">
        <w:t xml:space="preserve">This local law </w:t>
      </w:r>
      <w:r>
        <w:t>would take</w:t>
      </w:r>
      <w:r w:rsidRPr="00A329CC">
        <w:t xml:space="preserve"> effect 180 days after i</w:t>
      </w:r>
      <w:r>
        <w:t>t becomes law, except that the Commissioner of Housing Preservation and Development</w:t>
      </w:r>
      <w:r w:rsidR="0020458C">
        <w:t xml:space="preserve"> (HPD)</w:t>
      </w:r>
      <w:r>
        <w:t>, the C</w:t>
      </w:r>
      <w:r w:rsidRPr="00A329CC">
        <w:t>ommissioner o</w:t>
      </w:r>
      <w:r>
        <w:t>f Health and Mental Hygiene and the Commissioner of Consumer A</w:t>
      </w:r>
      <w:r w:rsidRPr="00A329CC">
        <w:t>ffairs shall take such actions as are necessary for the implementation of this local law, including the promulgation of rules, before such date.</w:t>
      </w:r>
    </w:p>
    <w:p w14:paraId="4EF8B204" w14:textId="77777777" w:rsidR="00A329CC" w:rsidRPr="009E6971" w:rsidRDefault="00A329CC" w:rsidP="00A329CC"/>
    <w:p w14:paraId="35D2266F" w14:textId="77777777" w:rsidR="00A329CC" w:rsidRPr="00012730" w:rsidRDefault="00A329CC" w:rsidP="00A329CC">
      <w:pPr>
        <w:pStyle w:val="FlushLeft"/>
      </w:pPr>
      <w:r w:rsidRPr="00012730">
        <w:rPr>
          <w:b/>
          <w:smallCaps/>
        </w:rPr>
        <w:t>Fiscal Year In Which Full Fiscal Impact Anticipated:</w:t>
      </w:r>
      <w:r>
        <w:t xml:space="preserve"> Fiscal 2021</w:t>
      </w:r>
    </w:p>
    <w:p w14:paraId="5A194824" w14:textId="77777777" w:rsidR="00A329CC" w:rsidRDefault="00A329CC" w:rsidP="00A329CC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16F1626D" w14:textId="77777777" w:rsidR="00A329CC" w:rsidRPr="00012730" w:rsidRDefault="00A329CC" w:rsidP="00A329CC">
      <w:pPr>
        <w:pStyle w:val="NoSpacing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D322CC" w:rsidRPr="00012730" w14:paraId="299A0630" w14:textId="77777777" w:rsidTr="00723EDD">
        <w:trPr>
          <w:jc w:val="center"/>
        </w:trPr>
        <w:tc>
          <w:tcPr>
            <w:tcW w:w="16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45599ECD" w14:textId="77777777" w:rsidR="00D322CC" w:rsidRPr="0045016D" w:rsidRDefault="00D322CC" w:rsidP="000A7CEA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14:paraId="1A2E08F3" w14:textId="77777777" w:rsidR="00D322CC" w:rsidRPr="0045016D" w:rsidRDefault="00D322CC" w:rsidP="000A7C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731A0A05" w14:textId="77777777" w:rsidR="00D322CC" w:rsidRPr="0045016D" w:rsidRDefault="00D322CC" w:rsidP="000A7CEA">
            <w:pPr>
              <w:jc w:val="center"/>
              <w:rPr>
                <w:b/>
                <w:bCs/>
                <w:sz w:val="22"/>
                <w:szCs w:val="22"/>
              </w:rPr>
            </w:pPr>
            <w:r w:rsidRPr="0045016D">
              <w:rPr>
                <w:b/>
                <w:bCs/>
                <w:sz w:val="22"/>
                <w:szCs w:val="22"/>
              </w:rPr>
              <w:t xml:space="preserve">Effective </w:t>
            </w:r>
            <w:r w:rsidR="00A2140E">
              <w:rPr>
                <w:b/>
                <w:bCs/>
                <w:sz w:val="22"/>
                <w:szCs w:val="22"/>
              </w:rPr>
              <w:t>FY21</w:t>
            </w:r>
          </w:p>
          <w:p w14:paraId="48FF676A" w14:textId="77777777" w:rsidR="00D322CC" w:rsidRPr="0045016D" w:rsidRDefault="00D322CC" w:rsidP="000A7C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092F2241" w14:textId="77777777" w:rsidR="00D322CC" w:rsidRPr="0045016D" w:rsidRDefault="00A2140E" w:rsidP="000A7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Succeeding Effective FY22</w:t>
            </w:r>
          </w:p>
        </w:tc>
        <w:tc>
          <w:tcPr>
            <w:tcW w:w="1754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041DBCC" w14:textId="77777777" w:rsidR="00D322CC" w:rsidRPr="0045016D" w:rsidRDefault="00D322CC" w:rsidP="000A7CEA">
            <w:pPr>
              <w:jc w:val="center"/>
              <w:rPr>
                <w:b/>
                <w:bCs/>
                <w:sz w:val="22"/>
                <w:szCs w:val="22"/>
              </w:rPr>
            </w:pPr>
            <w:r w:rsidRPr="0045016D">
              <w:rPr>
                <w:b/>
                <w:bCs/>
                <w:sz w:val="22"/>
                <w:szCs w:val="22"/>
              </w:rPr>
              <w:t>Full Fiscal Impact FY21</w:t>
            </w:r>
          </w:p>
        </w:tc>
      </w:tr>
      <w:tr w:rsidR="00D322CC" w:rsidRPr="00B56409" w14:paraId="2BE9C74E" w14:textId="77777777" w:rsidTr="00723EDD">
        <w:trPr>
          <w:jc w:val="center"/>
        </w:trPr>
        <w:tc>
          <w:tcPr>
            <w:tcW w:w="16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3AA1" w14:textId="77777777" w:rsidR="00D322CC" w:rsidRPr="0045016D" w:rsidRDefault="00D322CC" w:rsidP="000A7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Capital </w:t>
            </w:r>
            <w:r w:rsidRPr="0045016D">
              <w:rPr>
                <w:b/>
                <w:bCs/>
                <w:sz w:val="22"/>
                <w:szCs w:val="22"/>
              </w:rPr>
              <w:t>Expenditures</w:t>
            </w:r>
            <w:r>
              <w:rPr>
                <w:rStyle w:val="FootnoteReference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E823" w14:textId="77777777" w:rsidR="00D322CC" w:rsidRPr="0045016D" w:rsidRDefault="00D322CC" w:rsidP="00A2140E">
            <w:pPr>
              <w:jc w:val="center"/>
              <w:rPr>
                <w:bCs/>
                <w:sz w:val="22"/>
                <w:szCs w:val="22"/>
              </w:rPr>
            </w:pPr>
            <w:r w:rsidRPr="0045016D">
              <w:rPr>
                <w:bCs/>
                <w:sz w:val="22"/>
                <w:szCs w:val="22"/>
              </w:rPr>
              <w:t>$</w:t>
            </w:r>
            <w:r w:rsidR="00A2140E">
              <w:rPr>
                <w:bCs/>
                <w:sz w:val="22"/>
                <w:szCs w:val="22"/>
              </w:rPr>
              <w:t>1,000,000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62A8" w14:textId="77777777" w:rsidR="00D322CC" w:rsidRPr="0045016D" w:rsidRDefault="00A2140E" w:rsidP="000A7CEA">
            <w:pPr>
              <w:jc w:val="center"/>
              <w:rPr>
                <w:bCs/>
                <w:sz w:val="22"/>
                <w:szCs w:val="22"/>
              </w:rPr>
            </w:pPr>
            <w:r w:rsidRPr="0045016D">
              <w:rPr>
                <w:bCs/>
                <w:sz w:val="22"/>
                <w:szCs w:val="22"/>
              </w:rPr>
              <w:t>$</w:t>
            </w:r>
            <w:r>
              <w:rPr>
                <w:bCs/>
                <w:sz w:val="22"/>
                <w:szCs w:val="22"/>
              </w:rPr>
              <w:t>1,000,000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06C75A4" w14:textId="77777777" w:rsidR="00D322CC" w:rsidRPr="0045016D" w:rsidRDefault="00A2140E" w:rsidP="000A7CEA">
            <w:pPr>
              <w:jc w:val="center"/>
              <w:rPr>
                <w:bCs/>
                <w:sz w:val="22"/>
                <w:szCs w:val="22"/>
              </w:rPr>
            </w:pPr>
            <w:r w:rsidRPr="0045016D">
              <w:rPr>
                <w:bCs/>
                <w:sz w:val="22"/>
                <w:szCs w:val="22"/>
              </w:rPr>
              <w:t>$</w:t>
            </w:r>
            <w:r>
              <w:rPr>
                <w:bCs/>
                <w:sz w:val="22"/>
                <w:szCs w:val="22"/>
              </w:rPr>
              <w:t>1,000,000</w:t>
            </w:r>
          </w:p>
        </w:tc>
      </w:tr>
    </w:tbl>
    <w:p w14:paraId="428FD40D" w14:textId="77777777" w:rsidR="00A329CC" w:rsidRPr="00012730" w:rsidRDefault="00A329CC" w:rsidP="00A329CC">
      <w:pPr>
        <w:pStyle w:val="NoSpacing"/>
      </w:pPr>
    </w:p>
    <w:p w14:paraId="22C6D2F6" w14:textId="77777777" w:rsidR="00A329CC" w:rsidRDefault="00A329CC" w:rsidP="00A329CC">
      <w:r w:rsidRPr="00012730">
        <w:rPr>
          <w:b/>
          <w:smallCaps/>
        </w:rPr>
        <w:t xml:space="preserve">Impact on Revenues: </w:t>
      </w:r>
      <w:r>
        <w:rPr>
          <w:b/>
          <w:smallCaps/>
        </w:rPr>
        <w:t xml:space="preserve"> </w:t>
      </w:r>
      <w:r w:rsidRPr="00C072F0">
        <w:t xml:space="preserve">It is estimated that there would be no impact on revenues resulting from the enactment of this legislation. </w:t>
      </w:r>
    </w:p>
    <w:p w14:paraId="4097F1D9" w14:textId="77777777" w:rsidR="00A2140E" w:rsidRDefault="00A329CC" w:rsidP="00A329CC">
      <w:pPr>
        <w:spacing w:before="240"/>
      </w:pPr>
      <w:r w:rsidRPr="00D863AC">
        <w:rPr>
          <w:b/>
          <w:smallCaps/>
        </w:rPr>
        <w:t>Impact on Expenditures:</w:t>
      </w:r>
      <w:r w:rsidR="00A2140E">
        <w:t xml:space="preserve"> </w:t>
      </w:r>
      <w:r w:rsidR="00A2140E" w:rsidRPr="00A2140E">
        <w:t xml:space="preserve">It is anticipated that </w:t>
      </w:r>
      <w:r w:rsidR="00A2140E">
        <w:t>HPD</w:t>
      </w:r>
      <w:r w:rsidR="00A2140E" w:rsidRPr="00A2140E">
        <w:t xml:space="preserve"> would use existing </w:t>
      </w:r>
      <w:r w:rsidR="00644414">
        <w:t xml:space="preserve">expense budget </w:t>
      </w:r>
      <w:r w:rsidR="00A2140E" w:rsidRPr="00A2140E">
        <w:t>resources to comply with the</w:t>
      </w:r>
      <w:r w:rsidR="00A2140E">
        <w:t xml:space="preserve"> provisions of this legislation</w:t>
      </w:r>
      <w:r w:rsidR="001A2DAC">
        <w:t>. While this estimate assumes that</w:t>
      </w:r>
      <w:r w:rsidR="00A2140E">
        <w:t xml:space="preserve"> </w:t>
      </w:r>
      <w:r w:rsidR="00A2140E" w:rsidRPr="00432414">
        <w:t>non-City entities would</w:t>
      </w:r>
      <w:r w:rsidR="00A2140E">
        <w:t xml:space="preserve"> largely</w:t>
      </w:r>
      <w:r w:rsidR="00A2140E" w:rsidRPr="00432414">
        <w:t xml:space="preserve"> bear the costs of </w:t>
      </w:r>
      <w:r w:rsidR="00A2140E">
        <w:t xml:space="preserve">hiring an EPA-certified inspector to perform lead-based paint investigations </w:t>
      </w:r>
      <w:r w:rsidR="00A2140E" w:rsidRPr="00432414">
        <w:t xml:space="preserve">in </w:t>
      </w:r>
      <w:r w:rsidR="001A2DAC">
        <w:t xml:space="preserve">accordance with the legislation, </w:t>
      </w:r>
      <w:r w:rsidR="00A2140E">
        <w:t>it is estimated that</w:t>
      </w:r>
      <w:r w:rsidR="00A2140E" w:rsidRPr="00A2140E">
        <w:t xml:space="preserve"> the enactment of this legislation would result in additional </w:t>
      </w:r>
      <w:r w:rsidR="005D180B">
        <w:t xml:space="preserve">city </w:t>
      </w:r>
      <w:r w:rsidR="00A2140E" w:rsidRPr="00A2140E">
        <w:t xml:space="preserve">capital expenditures for </w:t>
      </w:r>
      <w:r w:rsidR="00BE6939">
        <w:t xml:space="preserve">covered </w:t>
      </w:r>
      <w:r w:rsidR="00A2140E">
        <w:t>units managed by</w:t>
      </w:r>
      <w:r w:rsidR="00A2140E" w:rsidRPr="00A2140E">
        <w:t xml:space="preserve"> the New York City Housing </w:t>
      </w:r>
      <w:r w:rsidR="00A2140E">
        <w:t>Authority (NYCHA</w:t>
      </w:r>
      <w:r w:rsidR="00A2140E" w:rsidRPr="00A2140E">
        <w:t>).</w:t>
      </w:r>
      <w:r w:rsidR="005D180B">
        <w:t xml:space="preserve"> The New York City Mayor’s Office of Management and Budget estimates </w:t>
      </w:r>
      <w:r w:rsidR="005D180B" w:rsidRPr="005D180B">
        <w:t>the additional cost of remediation repairs would total $</w:t>
      </w:r>
      <w:r w:rsidR="005D180B">
        <w:t>1</w:t>
      </w:r>
      <w:r w:rsidR="005D180B" w:rsidRPr="005D180B">
        <w:t xml:space="preserve"> million per year</w:t>
      </w:r>
      <w:r w:rsidR="005D180B">
        <w:t xml:space="preserve"> over the next five years. </w:t>
      </w:r>
    </w:p>
    <w:p w14:paraId="2025DA71" w14:textId="77777777" w:rsidR="00A329CC" w:rsidRDefault="00A329CC" w:rsidP="00A329CC">
      <w:pPr>
        <w:spacing w:before="240"/>
      </w:pPr>
      <w:r w:rsidRPr="009C1D40">
        <w:rPr>
          <w:b/>
          <w:smallCaps/>
        </w:rPr>
        <w:t>Source of Funds To</w:t>
      </w:r>
      <w:r w:rsidRPr="00012730">
        <w:rPr>
          <w:b/>
          <w:smallCaps/>
        </w:rPr>
        <w:t xml:space="preserve"> Cover Estimated </w:t>
      </w:r>
      <w:r w:rsidRPr="00D863AC">
        <w:rPr>
          <w:b/>
          <w:smallCaps/>
        </w:rPr>
        <w:t>Costs:</w:t>
      </w:r>
      <w:r w:rsidRPr="00D863AC">
        <w:t xml:space="preserve"> </w:t>
      </w:r>
      <w:r w:rsidR="00D322CC" w:rsidRPr="00D322CC">
        <w:t>City Capital Budget</w:t>
      </w:r>
    </w:p>
    <w:p w14:paraId="6739D4E6" w14:textId="77777777" w:rsidR="00A2140E" w:rsidRDefault="00A2140E" w:rsidP="00A329CC">
      <w:pPr>
        <w:pStyle w:val="NoSpacing"/>
        <w:rPr>
          <w:b/>
          <w:smallCaps/>
        </w:rPr>
      </w:pPr>
    </w:p>
    <w:p w14:paraId="30A97012" w14:textId="77777777" w:rsidR="00A329CC" w:rsidRDefault="00A329CC" w:rsidP="00A329CC">
      <w:pPr>
        <w:pStyle w:val="NoSpacing"/>
      </w:pPr>
      <w:r w:rsidRPr="00ED532F">
        <w:rPr>
          <w:b/>
          <w:smallCaps/>
        </w:rPr>
        <w:t>Source of Information:</w:t>
      </w:r>
      <w:r w:rsidRPr="00ED532F">
        <w:t xml:space="preserve">  New</w:t>
      </w:r>
      <w:r w:rsidRPr="006941EE">
        <w:t xml:space="preserve"> York City Council Finance Division</w:t>
      </w:r>
    </w:p>
    <w:p w14:paraId="6F3D2752" w14:textId="77777777" w:rsidR="00D322CC" w:rsidRPr="006E2827" w:rsidRDefault="00D322CC" w:rsidP="00D322CC">
      <w:pPr>
        <w:pStyle w:val="NoSpacing"/>
        <w:ind w:left="2160"/>
      </w:pPr>
      <w:r>
        <w:t xml:space="preserve">           </w:t>
      </w:r>
      <w:r w:rsidRPr="006E2827">
        <w:t xml:space="preserve">New York City Mayor’s Office of Management and Budget </w:t>
      </w:r>
    </w:p>
    <w:p w14:paraId="181A6B41" w14:textId="77777777" w:rsidR="00D322CC" w:rsidRDefault="00D322CC" w:rsidP="00D322CC">
      <w:pPr>
        <w:pStyle w:val="NoSpacing"/>
      </w:pPr>
      <w:r w:rsidRPr="006E2827">
        <w:tab/>
      </w:r>
      <w:r w:rsidRPr="006E2827">
        <w:tab/>
      </w:r>
      <w:r w:rsidRPr="006E2827">
        <w:tab/>
        <w:t xml:space="preserve">           Mayor’s Office of City Legislative Affairs</w:t>
      </w:r>
    </w:p>
    <w:p w14:paraId="489156D5" w14:textId="77777777" w:rsidR="00A329CC" w:rsidRDefault="00A329CC" w:rsidP="00A329CC">
      <w:pPr>
        <w:pStyle w:val="NoSpacing"/>
      </w:pPr>
      <w:r w:rsidRPr="00BD56AF">
        <w:tab/>
      </w:r>
    </w:p>
    <w:p w14:paraId="0ABD0864" w14:textId="77777777" w:rsidR="00A329CC" w:rsidRDefault="00A329CC" w:rsidP="00A329CC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 xml:space="preserve">by:      </w:t>
      </w:r>
      <w:r>
        <w:t xml:space="preserve">Sarah Gastelum, Principal Financial Analyst </w:t>
      </w:r>
    </w:p>
    <w:p w14:paraId="10F7A418" w14:textId="77777777" w:rsidR="00A329CC" w:rsidRPr="00012730" w:rsidRDefault="00A329CC" w:rsidP="00A329CC">
      <w:pPr>
        <w:pStyle w:val="NoSpacing"/>
      </w:pPr>
      <w:r>
        <w:tab/>
        <w:t xml:space="preserve"> </w:t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075EF64D" w14:textId="77777777" w:rsidR="00A329CC" w:rsidRDefault="00A329CC" w:rsidP="00A329CC">
      <w:r w:rsidRPr="00012730">
        <w:rPr>
          <w:b/>
          <w:smallCaps/>
        </w:rPr>
        <w:t xml:space="preserve">Estimated Reviewed </w:t>
      </w:r>
      <w:r>
        <w:rPr>
          <w:b/>
          <w:smallCaps/>
        </w:rPr>
        <w:t xml:space="preserve">by:  </w:t>
      </w:r>
      <w:r>
        <w:t>Chima Obichere, Unit Head</w:t>
      </w:r>
    </w:p>
    <w:p w14:paraId="611BA9AF" w14:textId="77777777" w:rsidR="00A329CC" w:rsidRDefault="00A329CC" w:rsidP="00A329CC">
      <w:r>
        <w:tab/>
      </w:r>
      <w:r>
        <w:tab/>
      </w:r>
      <w:r>
        <w:tab/>
        <w:t xml:space="preserve">           </w:t>
      </w:r>
      <w:r w:rsidR="0020458C">
        <w:t>Stephanie Ruiz</w:t>
      </w:r>
      <w:r>
        <w:t xml:space="preserve">, </w:t>
      </w:r>
      <w:r w:rsidR="0020458C">
        <w:t xml:space="preserve">Assistant </w:t>
      </w:r>
      <w:r>
        <w:t xml:space="preserve">Counsel  </w:t>
      </w:r>
    </w:p>
    <w:p w14:paraId="7D4983E0" w14:textId="77777777" w:rsidR="00A329CC" w:rsidRDefault="00A329CC" w:rsidP="00A329CC">
      <w:pPr>
        <w:rPr>
          <w:b/>
          <w:smallCaps/>
        </w:rPr>
      </w:pPr>
    </w:p>
    <w:p w14:paraId="08551866" w14:textId="77777777" w:rsidR="00A329CC" w:rsidRDefault="00A329CC" w:rsidP="00A329CC">
      <w:r w:rsidRPr="00012730">
        <w:rPr>
          <w:b/>
          <w:smallCaps/>
        </w:rPr>
        <w:t>Legislative History:</w:t>
      </w:r>
      <w:r>
        <w:rPr>
          <w:b/>
          <w:smallCaps/>
        </w:rPr>
        <w:t xml:space="preserve"> </w:t>
      </w:r>
      <w:r w:rsidRPr="00CE66C1">
        <w:t xml:space="preserve">This legislation was introduced to the full council </w:t>
      </w:r>
      <w:r w:rsidR="00E50615">
        <w:t>as Int</w:t>
      </w:r>
      <w:r w:rsidR="00E50615" w:rsidRPr="00CE66C1">
        <w:t>.</w:t>
      </w:r>
      <w:r w:rsidR="00E50615">
        <w:t xml:space="preserve"> No.</w:t>
      </w:r>
      <w:r w:rsidR="00E50615" w:rsidRPr="00CE66C1">
        <w:t xml:space="preserve"> </w:t>
      </w:r>
      <w:r w:rsidR="00E50615">
        <w:t>919</w:t>
      </w:r>
      <w:r w:rsidR="00E50615" w:rsidRPr="00CE66C1">
        <w:t xml:space="preserve"> </w:t>
      </w:r>
      <w:r w:rsidRPr="00CE66C1">
        <w:t>on</w:t>
      </w:r>
      <w:r>
        <w:t xml:space="preserve"> May 9, 2018 </w:t>
      </w:r>
      <w:r w:rsidRPr="00CE66C1">
        <w:t>and was referred to the Committee on Housing and Buildings</w:t>
      </w:r>
      <w:r>
        <w:t xml:space="preserve"> (Committee</w:t>
      </w:r>
      <w:r w:rsidRPr="008F532E">
        <w:t>).</w:t>
      </w:r>
      <w:r w:rsidRPr="00CE66C1">
        <w:t xml:space="preserve"> </w:t>
      </w:r>
      <w:r>
        <w:t xml:space="preserve">A joint hearing was held by the Committee, </w:t>
      </w:r>
      <w:r w:rsidRPr="00C072F0">
        <w:t>the Committee on Health, and the Committee on Environmental Protection on September 27, 2</w:t>
      </w:r>
      <w:r>
        <w:t xml:space="preserve">018, and the bill was laid over. </w:t>
      </w:r>
      <w:r w:rsidRPr="009C7D2D">
        <w:t xml:space="preserve">The legislation was subsequently amended </w:t>
      </w:r>
      <w:r w:rsidRPr="00E1434B">
        <w:t xml:space="preserve">and the amended version, Proposed Intro. No. </w:t>
      </w:r>
      <w:r>
        <w:t>919</w:t>
      </w:r>
      <w:r w:rsidRPr="00E1434B">
        <w:t xml:space="preserve">-A, will be considered by the Committee on </w:t>
      </w:r>
      <w:r>
        <w:t>January 23, 2020</w:t>
      </w:r>
      <w:r w:rsidRPr="00E1434B">
        <w:t>. Following a successful vote</w:t>
      </w:r>
      <w:r>
        <w:t xml:space="preserve"> by the Committee</w:t>
      </w:r>
      <w:r w:rsidRPr="00E1434B">
        <w:t xml:space="preserve">, </w:t>
      </w:r>
      <w:r w:rsidRPr="00471B8D">
        <w:t xml:space="preserve">Proposed Intro. No. </w:t>
      </w:r>
      <w:r>
        <w:t>919</w:t>
      </w:r>
      <w:r w:rsidRPr="00471B8D">
        <w:t>-A</w:t>
      </w:r>
      <w:r w:rsidRPr="00471B8D" w:rsidDel="00471B8D">
        <w:t xml:space="preserve"> </w:t>
      </w:r>
      <w:r w:rsidRPr="00E1434B">
        <w:t xml:space="preserve">will be submitted to the full Council for a vote on </w:t>
      </w:r>
      <w:r>
        <w:t>January 23, 2020</w:t>
      </w:r>
      <w:r w:rsidRPr="00E1434B">
        <w:t>.</w:t>
      </w:r>
      <w:r w:rsidRPr="003C616E">
        <w:t xml:space="preserve">      </w:t>
      </w:r>
    </w:p>
    <w:p w14:paraId="4395A372" w14:textId="77777777" w:rsidR="00A329CC" w:rsidRDefault="00A329CC" w:rsidP="00A329CC">
      <w:pPr>
        <w:rPr>
          <w:b/>
          <w:smallCaps/>
        </w:rPr>
      </w:pPr>
    </w:p>
    <w:p w14:paraId="5EAC3490" w14:textId="77777777" w:rsidR="00A329CC" w:rsidRDefault="00A329CC" w:rsidP="00A329CC">
      <w:r>
        <w:rPr>
          <w:b/>
          <w:smallCaps/>
        </w:rPr>
        <w:t>Date</w:t>
      </w:r>
      <w:r w:rsidRPr="00012730">
        <w:rPr>
          <w:b/>
          <w:smallCaps/>
        </w:rPr>
        <w:t xml:space="preserve"> Prepared</w:t>
      </w:r>
      <w:r>
        <w:rPr>
          <w:b/>
          <w:smallCaps/>
        </w:rPr>
        <w:t>:</w:t>
      </w:r>
      <w:r w:rsidRPr="00685FE7">
        <w:t xml:space="preserve"> </w:t>
      </w:r>
      <w:r w:rsidR="00A2140E">
        <w:t>January 22</w:t>
      </w:r>
      <w:r>
        <w:t>, 2020</w:t>
      </w:r>
    </w:p>
    <w:p w14:paraId="0F696496" w14:textId="77777777" w:rsidR="00A329CC" w:rsidRDefault="00A329CC" w:rsidP="00A329CC"/>
    <w:p w14:paraId="59449406" w14:textId="77777777" w:rsidR="00A329CC" w:rsidRDefault="00A329CC" w:rsidP="00A329CC"/>
    <w:p w14:paraId="36EF9999" w14:textId="77777777" w:rsidR="00A329CC" w:rsidRDefault="00A329CC" w:rsidP="00A329CC"/>
    <w:p w14:paraId="20E4603F" w14:textId="77777777" w:rsidR="00A329CC" w:rsidRDefault="00A329CC" w:rsidP="00A329CC"/>
    <w:p w14:paraId="744D064F" w14:textId="77777777" w:rsidR="00A329CC" w:rsidRDefault="00A329CC" w:rsidP="00A329CC"/>
    <w:p w14:paraId="49F7F218" w14:textId="77777777" w:rsidR="00A329CC" w:rsidRDefault="00A329CC" w:rsidP="00A329CC"/>
    <w:p w14:paraId="480F640D" w14:textId="77777777" w:rsidR="00A329CC" w:rsidRDefault="00A329CC" w:rsidP="00A329CC"/>
    <w:p w14:paraId="117E1EB1" w14:textId="77777777" w:rsidR="00A329CC" w:rsidRDefault="00A329CC" w:rsidP="00A329CC"/>
    <w:p w14:paraId="2E6C2938" w14:textId="77777777" w:rsidR="00A329CC" w:rsidRDefault="00A329CC" w:rsidP="00A329CC"/>
    <w:p w14:paraId="067616AC" w14:textId="77777777" w:rsidR="00A329CC" w:rsidRDefault="00A329CC" w:rsidP="00A329CC"/>
    <w:p w14:paraId="7B508957" w14:textId="77777777" w:rsidR="00A329CC" w:rsidRDefault="00A329CC" w:rsidP="00A329CC"/>
    <w:p w14:paraId="5BB1CC09" w14:textId="77777777" w:rsidR="00A329CC" w:rsidRDefault="00A329CC" w:rsidP="00A329CC"/>
    <w:p w14:paraId="4EED51CE" w14:textId="77777777" w:rsidR="00A329CC" w:rsidRDefault="00A329CC" w:rsidP="00A329CC"/>
    <w:p w14:paraId="01683231" w14:textId="77777777" w:rsidR="00A329CC" w:rsidRDefault="00A329CC" w:rsidP="00A329CC"/>
    <w:p w14:paraId="155A39ED" w14:textId="77777777" w:rsidR="00A329CC" w:rsidRDefault="00A329CC" w:rsidP="00A329CC"/>
    <w:p w14:paraId="416CEE73" w14:textId="77777777" w:rsidR="00A329CC" w:rsidRDefault="00A329CC" w:rsidP="00A329CC"/>
    <w:p w14:paraId="0B047D59" w14:textId="77777777" w:rsidR="00A329CC" w:rsidRDefault="00A329CC" w:rsidP="00A329CC"/>
    <w:p w14:paraId="464966BF" w14:textId="77777777" w:rsidR="00A329CC" w:rsidRDefault="00A329CC" w:rsidP="00A329CC"/>
    <w:p w14:paraId="08F775B2" w14:textId="77777777" w:rsidR="00A329CC" w:rsidRDefault="00A329CC" w:rsidP="00A329CC"/>
    <w:p w14:paraId="186AEC02" w14:textId="77777777" w:rsidR="00A329CC" w:rsidRDefault="00A329CC" w:rsidP="00A329CC"/>
    <w:p w14:paraId="58ECC0FF" w14:textId="77777777" w:rsidR="00A329CC" w:rsidRDefault="00A329CC" w:rsidP="00A329CC"/>
    <w:p w14:paraId="0DB4E04A" w14:textId="77777777" w:rsidR="006474F4" w:rsidRDefault="00723EDD">
      <w:bookmarkStart w:id="0" w:name="_GoBack"/>
      <w:bookmarkEnd w:id="0"/>
    </w:p>
    <w:sectPr w:rsidR="006474F4" w:rsidSect="006A0996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8B6FC" w14:textId="77777777" w:rsidR="00AD1414" w:rsidRDefault="00AD1414" w:rsidP="00A329CC">
      <w:r>
        <w:separator/>
      </w:r>
    </w:p>
  </w:endnote>
  <w:endnote w:type="continuationSeparator" w:id="0">
    <w:p w14:paraId="4EEAFD7F" w14:textId="77777777" w:rsidR="00AD1414" w:rsidRDefault="00AD1414" w:rsidP="00A3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ADA23" w14:textId="15B45696" w:rsidR="00284CB5" w:rsidRPr="0080234B" w:rsidRDefault="00AD1414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80234B">
      <w:t xml:space="preserve">Proposed </w:t>
    </w:r>
    <w:r>
      <w:t>Int</w:t>
    </w:r>
    <w:r w:rsidRPr="0080234B">
      <w:t>.</w:t>
    </w:r>
    <w:r>
      <w:t xml:space="preserve"> No.</w:t>
    </w:r>
    <w:r w:rsidRPr="0080234B">
      <w:t xml:space="preserve"> </w:t>
    </w:r>
    <w:r w:rsidR="00A329CC">
      <w:t>919</w:t>
    </w:r>
    <w:r>
      <w:t>-A</w:t>
    </w:r>
    <w:r w:rsidRPr="0080234B">
      <w:rPr>
        <w:rFonts w:eastAsiaTheme="majorEastAsia"/>
      </w:rPr>
      <w:ptab w:relativeTo="margin" w:alignment="right" w:leader="none"/>
    </w:r>
    <w:r w:rsidRPr="0080234B">
      <w:rPr>
        <w:rFonts w:eastAsiaTheme="majorEastAsia"/>
      </w:rPr>
      <w:t xml:space="preserve">Page </w:t>
    </w:r>
    <w:r w:rsidRPr="0080234B">
      <w:rPr>
        <w:rFonts w:eastAsiaTheme="minorEastAsia"/>
      </w:rPr>
      <w:fldChar w:fldCharType="begin"/>
    </w:r>
    <w:r w:rsidRPr="0080234B">
      <w:instrText xml:space="preserve"> PAGE   \* MERGEFORMAT </w:instrText>
    </w:r>
    <w:r w:rsidRPr="0080234B">
      <w:rPr>
        <w:rFonts w:eastAsiaTheme="minorEastAsia"/>
      </w:rPr>
      <w:fldChar w:fldCharType="separate"/>
    </w:r>
    <w:r w:rsidR="00723EDD" w:rsidRPr="00723EDD">
      <w:rPr>
        <w:rFonts w:eastAsiaTheme="majorEastAsia"/>
        <w:noProof/>
      </w:rPr>
      <w:t>2</w:t>
    </w:r>
    <w:r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AE4C0" w14:textId="77777777" w:rsidR="00AD1414" w:rsidRDefault="00AD1414" w:rsidP="00A329CC">
      <w:r>
        <w:separator/>
      </w:r>
    </w:p>
  </w:footnote>
  <w:footnote w:type="continuationSeparator" w:id="0">
    <w:p w14:paraId="71A4387D" w14:textId="77777777" w:rsidR="00AD1414" w:rsidRDefault="00AD1414" w:rsidP="00A329CC">
      <w:r>
        <w:continuationSeparator/>
      </w:r>
    </w:p>
  </w:footnote>
  <w:footnote w:id="1">
    <w:p w14:paraId="3AD9CF27" w14:textId="77777777" w:rsidR="00D322CC" w:rsidRDefault="00D322CC" w:rsidP="00D322CC">
      <w:pPr>
        <w:pStyle w:val="FootnoteText"/>
      </w:pPr>
      <w:r>
        <w:rPr>
          <w:rStyle w:val="FootnoteReference"/>
        </w:rPr>
        <w:footnoteRef/>
      </w:r>
      <w:r>
        <w:t xml:space="preserve"> Capital Expenditures as a component of the City’s Capital Budget.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CC"/>
    <w:rsid w:val="000D5189"/>
    <w:rsid w:val="0017053E"/>
    <w:rsid w:val="001A2DAC"/>
    <w:rsid w:val="0020458C"/>
    <w:rsid w:val="00270940"/>
    <w:rsid w:val="003B0A0B"/>
    <w:rsid w:val="00432414"/>
    <w:rsid w:val="004369E2"/>
    <w:rsid w:val="004F45A9"/>
    <w:rsid w:val="00575D32"/>
    <w:rsid w:val="005D180B"/>
    <w:rsid w:val="00644414"/>
    <w:rsid w:val="00723EDD"/>
    <w:rsid w:val="00752E8A"/>
    <w:rsid w:val="009B685F"/>
    <w:rsid w:val="00A2140E"/>
    <w:rsid w:val="00A329CC"/>
    <w:rsid w:val="00AC2E53"/>
    <w:rsid w:val="00AD1414"/>
    <w:rsid w:val="00B370C6"/>
    <w:rsid w:val="00B75EF4"/>
    <w:rsid w:val="00BE6939"/>
    <w:rsid w:val="00BF61F4"/>
    <w:rsid w:val="00D322CC"/>
    <w:rsid w:val="00D34816"/>
    <w:rsid w:val="00D6731D"/>
    <w:rsid w:val="00D863AC"/>
    <w:rsid w:val="00E40B8A"/>
    <w:rsid w:val="00E50615"/>
    <w:rsid w:val="00EF0A62"/>
    <w:rsid w:val="00F8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3E38"/>
  <w15:chartTrackingRefBased/>
  <w15:docId w15:val="{863B8AB0-0CE6-4612-856F-F29CE21A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2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9C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29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A329CC"/>
    <w:pPr>
      <w:suppressAutoHyphens/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A32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9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15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2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2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2C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4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4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4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Gastelum</dc:creator>
  <cp:keywords/>
  <dc:description/>
  <cp:lastModifiedBy>Pagan, Maria</cp:lastModifiedBy>
  <cp:revision>4</cp:revision>
  <dcterms:created xsi:type="dcterms:W3CDTF">2020-01-22T19:32:00Z</dcterms:created>
  <dcterms:modified xsi:type="dcterms:W3CDTF">2020-01-23T15:17:00Z</dcterms:modified>
</cp:coreProperties>
</file>