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7FA1B2C1"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0D5C5B">
        <w:rPr>
          <w:rFonts w:ascii="Times New Roman" w:eastAsia="Times New Roman" w:hAnsi="Times New Roman" w:cs="Times New Roman"/>
          <w:sz w:val="24"/>
          <w:szCs w:val="24"/>
        </w:rPr>
        <w:t xml:space="preserve"> 1232</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68C9B170" w:rsidR="001A39FD"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FD5643" w:rsidRPr="00FD5643">
        <w:rPr>
          <w:rFonts w:ascii="Times New Roman" w:eastAsia="Times New Roman" w:hAnsi="Times New Roman" w:cs="Times New Roman"/>
          <w:sz w:val="24"/>
          <w:szCs w:val="24"/>
        </w:rPr>
        <w:t>Block 762, p/o Lot 23</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FD5643">
        <w:rPr>
          <w:rFonts w:ascii="Times New Roman" w:eastAsia="Times New Roman" w:hAnsi="Times New Roman" w:cs="Times New Roman"/>
          <w:sz w:val="24"/>
          <w:szCs w:val="24"/>
        </w:rPr>
        <w:t>Manhattan</w:t>
      </w:r>
      <w:r w:rsidRPr="001271DF">
        <w:rPr>
          <w:rFonts w:ascii="Times New Roman" w:eastAsia="Times New Roman" w:hAnsi="Times New Roman" w:cs="Times New Roman"/>
          <w:sz w:val="24"/>
          <w:szCs w:val="24"/>
        </w:rPr>
        <w:t>, pursuant to Section 577 of the Private Housing Finance Law (Preconsidered L.U. No.</w:t>
      </w:r>
      <w:r w:rsidR="001A39FD">
        <w:rPr>
          <w:rFonts w:ascii="Times New Roman" w:eastAsia="Times New Roman" w:hAnsi="Times New Roman" w:cs="Times New Roman"/>
          <w:sz w:val="24"/>
          <w:szCs w:val="24"/>
        </w:rPr>
        <w:t xml:space="preserve"> 602</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631A5696" w14:textId="22FD8A5B" w:rsidR="00A157D0" w:rsidRDefault="00A157D0" w:rsidP="00FD5643">
      <w:pPr>
        <w:shd w:val="clear" w:color="auto" w:fill="FFFFFF"/>
        <w:spacing w:after="0" w:line="240" w:lineRule="auto"/>
        <w:ind w:left="0" w:firstLine="0"/>
        <w:rPr>
          <w:rFonts w:ascii="Times New Roman" w:eastAsia="Times New Roman" w:hAnsi="Times New Roman" w:cs="Times New Roman"/>
          <w:sz w:val="24"/>
          <w:szCs w:val="24"/>
        </w:rPr>
      </w:pPr>
    </w:p>
    <w:p w14:paraId="0478A24B" w14:textId="77777777"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0ECE74F2"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6E7D19">
        <w:rPr>
          <w:rFonts w:ascii="Times New Roman" w:eastAsia="Times New Roman" w:hAnsi="Times New Roman" w:cs="Times New Roman"/>
          <w:sz w:val="24"/>
          <w:szCs w:val="24"/>
        </w:rPr>
        <w:t>January 16, 2020</w:t>
      </w:r>
      <w:r w:rsidRPr="001271DF">
        <w:rPr>
          <w:rFonts w:ascii="Times New Roman" w:eastAsia="Times New Roman" w:hAnsi="Times New Roman" w:cs="Times New Roman"/>
          <w:sz w:val="24"/>
          <w:szCs w:val="24"/>
        </w:rPr>
        <w:t xml:space="preserve"> 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D47665" w:rsidRPr="001271DF">
        <w:rPr>
          <w:rFonts w:ascii="Times New Roman" w:eastAsia="Times New Roman" w:hAnsi="Times New Roman" w:cs="Times New Roman"/>
          <w:sz w:val="24"/>
          <w:szCs w:val="24"/>
        </w:rPr>
        <w:t>(</w:t>
      </w:r>
      <w:r w:rsidR="00FD5643" w:rsidRPr="00FD5643">
        <w:rPr>
          <w:rFonts w:ascii="Times New Roman" w:eastAsia="Times New Roman" w:hAnsi="Times New Roman" w:cs="Times New Roman"/>
          <w:sz w:val="24"/>
          <w:szCs w:val="24"/>
        </w:rPr>
        <w:t>Block 762, p/o Lot 23</w:t>
      </w:r>
      <w:r w:rsidR="00D47665" w:rsidRPr="001271DF">
        <w:rPr>
          <w:rFonts w:ascii="Times New Roman" w:hAnsi="Times New Roman" w:cs="Times New Roman"/>
          <w:sz w:val="24"/>
          <w:szCs w:val="24"/>
        </w:rPr>
        <w:t>)</w:t>
      </w:r>
      <w:r w:rsidR="00A157D0" w:rsidRPr="001271DF">
        <w:rPr>
          <w:rFonts w:ascii="Times New Roman" w:eastAsia="Times New Roman" w:hAnsi="Times New Roman" w:cs="Times New Roman"/>
          <w:sz w:val="24"/>
          <w:szCs w:val="24"/>
        </w:rPr>
        <w:t xml:space="preserve"> </w:t>
      </w:r>
      <w:r w:rsidR="00FD5643">
        <w:rPr>
          <w:rFonts w:ascii="Times New Roman" w:eastAsia="Times New Roman" w:hAnsi="Times New Roman" w:cs="Times New Roman"/>
          <w:sz w:val="24"/>
          <w:szCs w:val="24"/>
        </w:rPr>
        <w:t>Manhattan</w:t>
      </w:r>
      <w:r w:rsidR="00A157D0"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4FAD5127" w14:textId="77777777" w:rsidR="00FD5643" w:rsidRDefault="009B0710" w:rsidP="00455E81">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280C2024" w14:textId="11958697" w:rsidR="00D76648" w:rsidRDefault="00AD1054" w:rsidP="00455E81">
      <w:pPr>
        <w:pStyle w:val="ListParagraph"/>
        <w:numPr>
          <w:ilvl w:val="0"/>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For the purposes hereof, the following terms shall have the following meanings:</w:t>
      </w:r>
    </w:p>
    <w:p w14:paraId="3059082D" w14:textId="77777777" w:rsidR="00D76648" w:rsidRDefault="00D76648" w:rsidP="00455E81">
      <w:pPr>
        <w:pStyle w:val="ListParagraph"/>
        <w:shd w:val="clear" w:color="auto" w:fill="FFFFFF"/>
        <w:spacing w:after="240" w:line="240" w:lineRule="auto"/>
        <w:ind w:firstLine="0"/>
        <w:rPr>
          <w:rFonts w:ascii="Times New Roman" w:eastAsia="Times New Roman" w:hAnsi="Times New Roman" w:cs="Times New Roman"/>
          <w:sz w:val="24"/>
          <w:szCs w:val="24"/>
        </w:rPr>
      </w:pPr>
    </w:p>
    <w:p w14:paraId="553DB484" w14:textId="629B7E76" w:rsidR="00D76648" w:rsidRDefault="00AD1054" w:rsidP="00455E81">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“Company” shall mean 319 West 38th Street LLC or any other entity that acquires the beneficial interest in the Exemption Area with the prior written consent of HPD.</w:t>
      </w:r>
    </w:p>
    <w:p w14:paraId="024F6617"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481E0E67" w14:textId="62C04249" w:rsidR="00212C7C" w:rsidRPr="00B81BCA" w:rsidRDefault="00AD1054" w:rsidP="00212C7C">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“Effective Date” shall mean the later of (i) the date of the lease of the Exemption Area to the HDFC, or (ii) the date that HPD and the Owner enter into the Regulatory Agreement. </w:t>
      </w:r>
    </w:p>
    <w:p w14:paraId="7360154D" w14:textId="77777777" w:rsidR="00212C7C" w:rsidRPr="00B81BCA" w:rsidRDefault="00212C7C" w:rsidP="00B81BCA">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6EEBA586" w14:textId="0A2EF913" w:rsidR="00D76648" w:rsidRDefault="00AD1054" w:rsidP="00455E81">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“Exemption” shall mean the exemption from real property taxation provided hereunder. </w:t>
      </w:r>
    </w:p>
    <w:p w14:paraId="3233697C"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24856320" w14:textId="77777777" w:rsid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“Exemption Area” shall mean the real property located in the Borough of Manhattan, City and State of New York, identified as Block 762, p/o Lot 23 on the Tax Map of the City of New York.</w:t>
      </w:r>
    </w:p>
    <w:p w14:paraId="2C38811E" w14:textId="77777777" w:rsidR="000855E6" w:rsidRPr="000855E6" w:rsidRDefault="000855E6" w:rsidP="000855E6">
      <w:pPr>
        <w:pStyle w:val="ListParagraph"/>
        <w:rPr>
          <w:rFonts w:ascii="Times New Roman" w:eastAsia="Times New Roman" w:hAnsi="Times New Roman" w:cs="Times New Roman"/>
          <w:sz w:val="24"/>
          <w:szCs w:val="24"/>
        </w:rPr>
      </w:pPr>
    </w:p>
    <w:p w14:paraId="6F46A622" w14:textId="491778E2" w:rsidR="00D76648" w:rsidRP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0855E6">
        <w:rPr>
          <w:rFonts w:ascii="Times New Roman" w:eastAsia="Times New Roman" w:hAnsi="Times New Roman" w:cs="Times New Roman"/>
          <w:sz w:val="24"/>
          <w:szCs w:val="24"/>
        </w:rPr>
        <w:t xml:space="preserve">“Expiration Date” shall mean the earlier to occur of (i) a date which is forty (40) years from the Effective Date, (ii) the date of the expiration or termination of the Regulatory Agreement, or (iii) the date upon which the Exemption Area ceases to </w:t>
      </w:r>
      <w:r w:rsidRPr="000855E6">
        <w:rPr>
          <w:rFonts w:ascii="Times New Roman" w:eastAsia="Times New Roman" w:hAnsi="Times New Roman" w:cs="Times New Roman"/>
          <w:sz w:val="24"/>
          <w:szCs w:val="24"/>
        </w:rPr>
        <w:lastRenderedPageBreak/>
        <w:t>be owned or leased by either a housing development fund company or an entity wholly controlled by a housing development fund company.</w:t>
      </w:r>
    </w:p>
    <w:p w14:paraId="40566415"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35EFC7B5" w14:textId="19976C7F" w:rsidR="006D662E" w:rsidRDefault="00AD1054" w:rsidP="006D662E">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“Gross Rent” shall mean the gross potential rents from all residential and commercial units on the Exemption Area without regard to whether such units are occupied or vacant, including, but not limited to, Section 8, rent supplements, rental assistance, or any other subsidy. </w:t>
      </w:r>
    </w:p>
    <w:p w14:paraId="612A0D0A" w14:textId="77777777" w:rsidR="006D662E" w:rsidRPr="00B81BCA" w:rsidRDefault="006D662E" w:rsidP="00B81BCA">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7ED488A3" w14:textId="1C272495" w:rsidR="00D76648" w:rsidRDefault="00AD1054" w:rsidP="00455E81">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“Gross Rent Deadline” shall mean three hundred and sixty-five (365) days from the date of the HPD letter requesting the information that HPD needs to calculate the Gross Rent Tax for the applicable tax year.</w:t>
      </w:r>
    </w:p>
    <w:p w14:paraId="24B3366E"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5AEC0221" w14:textId="77777777" w:rsid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“Gross Rent Tax” shall mean, with respect to any tax year, an amount equal to one percent (1.0%)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14:paraId="2B1A95DD" w14:textId="77777777" w:rsidR="000855E6" w:rsidRPr="000855E6" w:rsidRDefault="000855E6" w:rsidP="000855E6">
      <w:pPr>
        <w:pStyle w:val="ListParagraph"/>
        <w:rPr>
          <w:rFonts w:ascii="Times New Roman" w:eastAsia="Times New Roman" w:hAnsi="Times New Roman" w:cs="Times New Roman"/>
          <w:sz w:val="24"/>
          <w:szCs w:val="24"/>
        </w:rPr>
      </w:pPr>
    </w:p>
    <w:p w14:paraId="44B6D61F" w14:textId="0B4E6E59" w:rsidR="00D76648" w:rsidRP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0855E6">
        <w:rPr>
          <w:rFonts w:ascii="Times New Roman" w:eastAsia="Times New Roman" w:hAnsi="Times New Roman" w:cs="Times New Roman"/>
          <w:sz w:val="24"/>
          <w:szCs w:val="24"/>
        </w:rPr>
        <w:t>“HDFC” shall mean HP 319 West 38th Street Housing Development Fund Corporation or a housing development fund company that acquires the Exemption Area or the leasehold interest in the Exemption Area with the prior written consent of HPD.</w:t>
      </w:r>
    </w:p>
    <w:p w14:paraId="7024369B" w14:textId="77777777" w:rsidR="00D76648" w:rsidRDefault="00D76648" w:rsidP="00455E81">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7714E11C" w14:textId="77777777" w:rsid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“HPD” shall mean the Department of Housing Preservation and Development of the City of New York.</w:t>
      </w:r>
    </w:p>
    <w:p w14:paraId="770CD90B" w14:textId="77777777" w:rsidR="000855E6" w:rsidRPr="000855E6" w:rsidRDefault="000855E6" w:rsidP="000855E6">
      <w:pPr>
        <w:pStyle w:val="ListParagraph"/>
        <w:rPr>
          <w:rFonts w:ascii="Times New Roman" w:eastAsia="Times New Roman" w:hAnsi="Times New Roman" w:cs="Times New Roman"/>
          <w:sz w:val="24"/>
          <w:szCs w:val="24"/>
        </w:rPr>
      </w:pPr>
    </w:p>
    <w:p w14:paraId="61ACB5B9" w14:textId="22858390" w:rsidR="00D76648" w:rsidRPr="000855E6" w:rsidRDefault="00AD1054" w:rsidP="000855E6">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0855E6">
        <w:rPr>
          <w:rFonts w:ascii="Times New Roman" w:eastAsia="Times New Roman" w:hAnsi="Times New Roman" w:cs="Times New Roman"/>
          <w:sz w:val="24"/>
          <w:szCs w:val="24"/>
        </w:rPr>
        <w:t>“Owner” shall mean, collectively, the HDFC and the Company.</w:t>
      </w:r>
    </w:p>
    <w:p w14:paraId="1206F29C" w14:textId="77777777" w:rsidR="000855E6" w:rsidRDefault="000855E6" w:rsidP="000855E6">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2AF55BB4" w14:textId="1403FF87" w:rsidR="00AD1054" w:rsidRDefault="00AD1054" w:rsidP="00455E81">
      <w:pPr>
        <w:pStyle w:val="ListParagraph"/>
        <w:numPr>
          <w:ilvl w:val="1"/>
          <w:numId w:val="11"/>
        </w:numPr>
        <w:shd w:val="clear" w:color="auto" w:fill="FFFFFF"/>
        <w:spacing w:after="240" w:line="240" w:lineRule="auto"/>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“Regulatory Agreement” shall mean the regulatory agreement between HPD and the Owner establishing certain controls upon the operation of the Exemption Area during the term of the Exemption. </w:t>
      </w:r>
    </w:p>
    <w:p w14:paraId="786E8873" w14:textId="77777777" w:rsidR="000855E6" w:rsidRPr="00D76648" w:rsidRDefault="000855E6" w:rsidP="000855E6">
      <w:pPr>
        <w:pStyle w:val="ListParagraph"/>
        <w:shd w:val="clear" w:color="auto" w:fill="FFFFFF"/>
        <w:spacing w:after="240" w:line="240" w:lineRule="auto"/>
        <w:ind w:left="1440" w:firstLine="0"/>
        <w:rPr>
          <w:rFonts w:ascii="Times New Roman" w:eastAsia="Times New Roman" w:hAnsi="Times New Roman" w:cs="Times New Roman"/>
          <w:sz w:val="24"/>
          <w:szCs w:val="24"/>
        </w:rPr>
      </w:pPr>
    </w:p>
    <w:p w14:paraId="3A33C81D" w14:textId="6F90D401" w:rsidR="00D76648" w:rsidRDefault="00AD1054" w:rsidP="00455E81">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2222118B" w14:textId="77777777" w:rsidR="00D76648" w:rsidRDefault="00D76648" w:rsidP="00455E81">
      <w:pPr>
        <w:pStyle w:val="ListParagraph"/>
        <w:overflowPunct w:val="0"/>
        <w:autoSpaceDE w:val="0"/>
        <w:autoSpaceDN w:val="0"/>
        <w:adjustRightInd w:val="0"/>
        <w:spacing w:after="0" w:line="240" w:lineRule="auto"/>
        <w:ind w:firstLine="0"/>
        <w:textAlignment w:val="baseline"/>
        <w:rPr>
          <w:rFonts w:ascii="Times New Roman" w:eastAsia="Times New Roman" w:hAnsi="Times New Roman" w:cs="Times New Roman"/>
          <w:sz w:val="24"/>
          <w:szCs w:val="24"/>
        </w:rPr>
      </w:pPr>
    </w:p>
    <w:p w14:paraId="479686A0" w14:textId="77777777" w:rsidR="00D76648" w:rsidRDefault="00AD1054" w:rsidP="00455E81">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form or abatement of real property taxation provided by an existing or future local, state, or federal law, rule, or regulation. </w:t>
      </w:r>
    </w:p>
    <w:p w14:paraId="74B77CB7" w14:textId="77777777" w:rsidR="00D76648" w:rsidRPr="00D76648" w:rsidRDefault="00D76648" w:rsidP="00455E81">
      <w:pPr>
        <w:pStyle w:val="ListParagraph"/>
        <w:rPr>
          <w:rFonts w:ascii="Times New Roman" w:eastAsia="Times New Roman" w:hAnsi="Times New Roman" w:cs="Times New Roman"/>
          <w:sz w:val="24"/>
          <w:szCs w:val="24"/>
        </w:rPr>
      </w:pPr>
    </w:p>
    <w:p w14:paraId="613A425E" w14:textId="77777777" w:rsidR="00D76648" w:rsidRDefault="00AD1054" w:rsidP="00455E81">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Notwithstanding any provision hereof to the contrary:</w:t>
      </w:r>
    </w:p>
    <w:p w14:paraId="1310FDEC" w14:textId="77777777" w:rsidR="00D76648" w:rsidRPr="00D76648" w:rsidRDefault="00D76648" w:rsidP="00455E81">
      <w:pPr>
        <w:pStyle w:val="ListParagraph"/>
        <w:rPr>
          <w:rFonts w:ascii="Times New Roman" w:eastAsia="Times New Roman" w:hAnsi="Times New Roman" w:cs="Times New Roman"/>
          <w:sz w:val="24"/>
          <w:szCs w:val="24"/>
        </w:rPr>
      </w:pPr>
    </w:p>
    <w:p w14:paraId="0BB1ED2D" w14:textId="43E49E9B" w:rsidR="00D76648" w:rsidRDefault="00AD1054" w:rsidP="00455E81">
      <w:pPr>
        <w:pStyle w:val="ListParagraph"/>
        <w:numPr>
          <w:ilvl w:val="1"/>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or in the leasehold interest of the HDFC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34A5702F" w14:textId="77777777" w:rsidR="00D76648" w:rsidRDefault="00D76648" w:rsidP="00455E81">
      <w:pPr>
        <w:pStyle w:val="ListParagraph"/>
        <w:overflowPunct w:val="0"/>
        <w:autoSpaceDE w:val="0"/>
        <w:autoSpaceDN w:val="0"/>
        <w:adjustRightInd w:val="0"/>
        <w:spacing w:after="0" w:line="240" w:lineRule="auto"/>
        <w:ind w:left="1440" w:firstLine="0"/>
        <w:textAlignment w:val="baseline"/>
        <w:rPr>
          <w:rFonts w:ascii="Times New Roman" w:eastAsia="Times New Roman" w:hAnsi="Times New Roman" w:cs="Times New Roman"/>
          <w:sz w:val="24"/>
          <w:szCs w:val="24"/>
        </w:rPr>
      </w:pPr>
    </w:p>
    <w:p w14:paraId="32D7A568" w14:textId="77777777" w:rsidR="00D76648" w:rsidRDefault="00AD1054" w:rsidP="00455E81">
      <w:pPr>
        <w:pStyle w:val="ListParagraph"/>
        <w:numPr>
          <w:ilvl w:val="1"/>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 xml:space="preserve">The Exemption shall apply to all land in the Exemption Area, but shall only apply to a building on the Exemption Area that has a new permanent certificate of occupancy or a temporary certificate of occupancy for all of the residential areas on or before five years from the Effective Date. </w:t>
      </w:r>
    </w:p>
    <w:p w14:paraId="15F1486C" w14:textId="77777777" w:rsidR="00D76648" w:rsidRPr="00D76648" w:rsidRDefault="00D76648" w:rsidP="00455E81">
      <w:pPr>
        <w:pStyle w:val="ListParagraph"/>
        <w:rPr>
          <w:rFonts w:ascii="Times New Roman" w:eastAsia="Times New Roman" w:hAnsi="Times New Roman" w:cs="Times New Roman"/>
          <w:sz w:val="24"/>
          <w:szCs w:val="24"/>
        </w:rPr>
      </w:pPr>
    </w:p>
    <w:p w14:paraId="6D451FF3" w14:textId="5F3296FF" w:rsidR="00AD1054" w:rsidRPr="00D76648" w:rsidRDefault="00AD1054" w:rsidP="00455E81">
      <w:pPr>
        <w:pStyle w:val="ListParagraph"/>
        <w:numPr>
          <w:ilvl w:val="1"/>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76648">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0FE7B0C8" w14:textId="77777777" w:rsidR="00AD1054" w:rsidRPr="00AD1054" w:rsidRDefault="00AD1054" w:rsidP="00455E8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p>
    <w:p w14:paraId="4EDBCA6B" w14:textId="7BEC8FE4" w:rsidR="00D47665" w:rsidRDefault="00AD1054" w:rsidP="00455E8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r w:rsidRPr="00AD1054">
        <w:rPr>
          <w:rFonts w:ascii="Times New Roman" w:eastAsia="Times New Roman" w:hAnsi="Times New Roman" w:cs="Times New Roman"/>
          <w:sz w:val="24"/>
          <w:szCs w:val="24"/>
        </w:rPr>
        <w:t>5.</w:t>
      </w:r>
      <w:r w:rsidRPr="00AD1054">
        <w:rPr>
          <w:rFonts w:ascii="Times New Roman" w:eastAsia="Times New Roman" w:hAnsi="Times New Roman" w:cs="Times New Roman"/>
          <w:sz w:val="24"/>
          <w:szCs w:val="24"/>
        </w:rPr>
        <w:tab/>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3D591D6E" w14:textId="77777777" w:rsidR="00AD1054" w:rsidRPr="001271DF" w:rsidRDefault="00AD1054" w:rsidP="00455E81">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color w:val="auto"/>
          <w:sz w:val="24"/>
          <w:szCs w:val="24"/>
        </w:rPr>
      </w:pP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57CA91B7" w14:textId="3DF03570" w:rsidR="009B0710" w:rsidRPr="001271DF"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AD1054">
        <w:rPr>
          <w:rFonts w:ascii="Times New Roman" w:eastAsia="Times New Roman" w:hAnsi="Times New Roman" w:cs="Times New Roman"/>
          <w:sz w:val="24"/>
          <w:szCs w:val="24"/>
        </w:rPr>
        <w:t>January</w:t>
      </w:r>
      <w:r w:rsidR="00741193">
        <w:rPr>
          <w:rFonts w:ascii="Times New Roman" w:eastAsia="Times New Roman" w:hAnsi="Times New Roman" w:cs="Times New Roman"/>
          <w:sz w:val="24"/>
          <w:szCs w:val="24"/>
        </w:rPr>
        <w:t xml:space="preserve"> 23</w:t>
      </w:r>
      <w:r w:rsidRPr="001271DF">
        <w:rPr>
          <w:rFonts w:ascii="Times New Roman" w:eastAsia="Times New Roman" w:hAnsi="Times New Roman" w:cs="Times New Roman"/>
          <w:sz w:val="24"/>
          <w:szCs w:val="24"/>
        </w:rPr>
        <w:t xml:space="preserve">, </w:t>
      </w:r>
      <w:r w:rsidR="00AD1054">
        <w:rPr>
          <w:rFonts w:ascii="Times New Roman" w:eastAsia="Times New Roman" w:hAnsi="Times New Roman" w:cs="Times New Roman"/>
          <w:sz w:val="24"/>
          <w:szCs w:val="24"/>
        </w:rPr>
        <w:t>2020</w:t>
      </w:r>
      <w:r w:rsidRPr="001271DF">
        <w:rPr>
          <w:rFonts w:ascii="Times New Roman" w:eastAsia="Times New Roman" w:hAnsi="Times New Roman" w:cs="Times New Roman"/>
          <w:sz w:val="24"/>
          <w:szCs w:val="24"/>
        </w:rPr>
        <w:t>,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1436" w14:textId="77777777" w:rsidR="00760766" w:rsidRDefault="00760766">
      <w:pPr>
        <w:spacing w:after="0" w:line="240" w:lineRule="auto"/>
      </w:pPr>
      <w:r>
        <w:separator/>
      </w:r>
    </w:p>
  </w:endnote>
  <w:endnote w:type="continuationSeparator" w:id="0">
    <w:p w14:paraId="782D4A3F" w14:textId="77777777" w:rsidR="00760766" w:rsidRDefault="0076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0768" w14:textId="77777777" w:rsidR="00760766" w:rsidRDefault="00760766">
      <w:pPr>
        <w:spacing w:after="0" w:line="240" w:lineRule="auto"/>
      </w:pPr>
      <w:r>
        <w:separator/>
      </w:r>
    </w:p>
  </w:footnote>
  <w:footnote w:type="continuationSeparator" w:id="0">
    <w:p w14:paraId="2EF4A732" w14:textId="77777777" w:rsidR="00760766" w:rsidRDefault="00760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8"/>
  </w:num>
  <w:num w:numId="6">
    <w:abstractNumId w:val="10"/>
  </w:num>
  <w:num w:numId="7">
    <w:abstractNumId w:val="4"/>
  </w:num>
  <w:num w:numId="8">
    <w:abstractNumId w:val="1"/>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855E6"/>
    <w:rsid w:val="000A0850"/>
    <w:rsid w:val="000D5C5B"/>
    <w:rsid w:val="001271DF"/>
    <w:rsid w:val="001424C8"/>
    <w:rsid w:val="00144446"/>
    <w:rsid w:val="00144D7F"/>
    <w:rsid w:val="00162283"/>
    <w:rsid w:val="00164E2F"/>
    <w:rsid w:val="0017331D"/>
    <w:rsid w:val="001A39FD"/>
    <w:rsid w:val="001C583A"/>
    <w:rsid w:val="001D03B3"/>
    <w:rsid w:val="001D2A9A"/>
    <w:rsid w:val="00212C7C"/>
    <w:rsid w:val="002637D7"/>
    <w:rsid w:val="00294823"/>
    <w:rsid w:val="002972F9"/>
    <w:rsid w:val="002B52C5"/>
    <w:rsid w:val="002E7325"/>
    <w:rsid w:val="00326F49"/>
    <w:rsid w:val="004274AD"/>
    <w:rsid w:val="00443923"/>
    <w:rsid w:val="00447916"/>
    <w:rsid w:val="00455E81"/>
    <w:rsid w:val="00486FBB"/>
    <w:rsid w:val="005112F6"/>
    <w:rsid w:val="00546DA4"/>
    <w:rsid w:val="006005EF"/>
    <w:rsid w:val="006A3F50"/>
    <w:rsid w:val="006D5EC4"/>
    <w:rsid w:val="006D662E"/>
    <w:rsid w:val="006E7D19"/>
    <w:rsid w:val="007258C4"/>
    <w:rsid w:val="00741193"/>
    <w:rsid w:val="00743B5D"/>
    <w:rsid w:val="00760766"/>
    <w:rsid w:val="007C5499"/>
    <w:rsid w:val="009B0710"/>
    <w:rsid w:val="009C163D"/>
    <w:rsid w:val="00A157D0"/>
    <w:rsid w:val="00A45133"/>
    <w:rsid w:val="00A94E15"/>
    <w:rsid w:val="00AD1054"/>
    <w:rsid w:val="00B80AA4"/>
    <w:rsid w:val="00B81BCA"/>
    <w:rsid w:val="00B82AB2"/>
    <w:rsid w:val="00D0060F"/>
    <w:rsid w:val="00D47665"/>
    <w:rsid w:val="00D76648"/>
    <w:rsid w:val="00E77702"/>
    <w:rsid w:val="00EF4C28"/>
    <w:rsid w:val="00F41442"/>
    <w:rsid w:val="00F771FF"/>
    <w:rsid w:val="00FA124A"/>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747F-5A55-4621-B567-EC62F4ED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2020-01-23T13:57:00Z</dcterms:created>
  <dcterms:modified xsi:type="dcterms:W3CDTF">2020-01-23T15:38:00Z</dcterms:modified>
</cp:coreProperties>
</file>