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6E" w:rsidRPr="00CA2A03" w:rsidRDefault="00E8426E" w:rsidP="00D84956">
      <w:pPr>
        <w:ind w:left="5760" w:firstLine="720"/>
        <w:rPr>
          <w:rFonts w:ascii="Century" w:hAnsi="Century"/>
          <w:color w:val="000000"/>
          <w:szCs w:val="24"/>
        </w:rPr>
      </w:pPr>
    </w:p>
    <w:p w:rsidR="00E8426E" w:rsidRPr="00725EF0" w:rsidRDefault="00E8426E" w:rsidP="00E8426E">
      <w:pPr>
        <w:jc w:val="center"/>
        <w:rPr>
          <w:rFonts w:ascii="Century" w:hAnsi="Century"/>
          <w:color w:val="000000"/>
          <w:sz w:val="26"/>
          <w:szCs w:val="26"/>
        </w:rPr>
      </w:pPr>
    </w:p>
    <w:p w:rsidR="00E8426E" w:rsidRPr="00725EF0" w:rsidRDefault="00E8426E" w:rsidP="00E8426E">
      <w:pPr>
        <w:jc w:val="center"/>
        <w:rPr>
          <w:rFonts w:ascii="Century Schoolbook" w:hAnsi="Century Schoolbook"/>
          <w:b/>
          <w:bCs/>
          <w:color w:val="000000"/>
          <w:sz w:val="26"/>
          <w:szCs w:val="26"/>
        </w:rPr>
      </w:pPr>
      <w:r w:rsidRPr="00725EF0">
        <w:rPr>
          <w:rFonts w:ascii="Century Schoolbook" w:hAnsi="Century Schoolbook"/>
          <w:b/>
          <w:bCs/>
          <w:color w:val="000000"/>
          <w:sz w:val="26"/>
          <w:szCs w:val="26"/>
        </w:rPr>
        <w:t>THE COUNCIL OF THE CITY OF NEW YORK</w:t>
      </w:r>
    </w:p>
    <w:p w:rsidR="00E8426E" w:rsidRPr="00725EF0" w:rsidRDefault="00E8426E" w:rsidP="00E8426E">
      <w:pPr>
        <w:jc w:val="center"/>
        <w:rPr>
          <w:rFonts w:ascii="Century Schoolbook" w:hAnsi="Century Schoolbook"/>
          <w:b/>
          <w:bCs/>
          <w:color w:val="000000"/>
          <w:sz w:val="26"/>
          <w:szCs w:val="26"/>
        </w:rPr>
      </w:pPr>
    </w:p>
    <w:p w:rsidR="00E8426E" w:rsidRPr="00725EF0" w:rsidRDefault="00E8426E" w:rsidP="00E8426E">
      <w:pPr>
        <w:jc w:val="center"/>
        <w:rPr>
          <w:rFonts w:ascii="Century Schoolbook" w:hAnsi="Century Schoolbook"/>
          <w:b/>
          <w:bCs/>
          <w:color w:val="000000"/>
          <w:sz w:val="26"/>
          <w:szCs w:val="26"/>
        </w:rPr>
      </w:pPr>
      <w:r w:rsidRPr="00725EF0">
        <w:rPr>
          <w:rFonts w:ascii="Century Schoolbook" w:hAnsi="Century Schoolbook"/>
          <w:noProof/>
          <w:snapToGrid/>
          <w:sz w:val="26"/>
          <w:szCs w:val="26"/>
        </w:rPr>
        <w:drawing>
          <wp:anchor distT="0" distB="0" distL="114300" distR="114300" simplePos="0" relativeHeight="251659264" behindDoc="0" locked="0" layoutInCell="1" allowOverlap="1" wp14:anchorId="00BCBA5B" wp14:editId="6345EB88">
            <wp:simplePos x="0" y="0"/>
            <wp:positionH relativeFrom="column">
              <wp:posOffset>2305050</wp:posOffset>
            </wp:positionH>
            <wp:positionV relativeFrom="paragraph">
              <wp:posOffset>19050</wp:posOffset>
            </wp:positionV>
            <wp:extent cx="1133475"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14:sizeRelH relativeFrom="page">
              <wp14:pctWidth>0</wp14:pctWidth>
            </wp14:sizeRelH>
            <wp14:sizeRelV relativeFrom="page">
              <wp14:pctHeight>0</wp14:pctHeight>
            </wp14:sizeRelV>
          </wp:anchor>
        </w:drawing>
      </w:r>
    </w:p>
    <w:p w:rsidR="00E8426E" w:rsidRPr="00725EF0" w:rsidRDefault="00E8426E" w:rsidP="00E8426E">
      <w:pPr>
        <w:jc w:val="center"/>
        <w:rPr>
          <w:rFonts w:ascii="Century Schoolbook" w:hAnsi="Century Schoolbook"/>
          <w:b/>
          <w:bCs/>
          <w:color w:val="000000"/>
          <w:sz w:val="26"/>
          <w:szCs w:val="26"/>
        </w:rPr>
      </w:pPr>
    </w:p>
    <w:p w:rsidR="00E8426E" w:rsidRPr="00725EF0" w:rsidRDefault="00E8426E" w:rsidP="00E8426E">
      <w:pPr>
        <w:jc w:val="center"/>
        <w:rPr>
          <w:rFonts w:ascii="Century Schoolbook" w:hAnsi="Century Schoolbook"/>
          <w:b/>
          <w:bCs/>
          <w:color w:val="000000"/>
          <w:sz w:val="26"/>
          <w:szCs w:val="26"/>
        </w:rPr>
      </w:pPr>
    </w:p>
    <w:p w:rsidR="00E8426E" w:rsidRPr="00725EF0" w:rsidRDefault="00E8426E" w:rsidP="00E8426E">
      <w:pPr>
        <w:jc w:val="center"/>
        <w:rPr>
          <w:rFonts w:ascii="Century Schoolbook" w:hAnsi="Century Schoolbook"/>
          <w:b/>
          <w:bCs/>
          <w:color w:val="000000"/>
          <w:sz w:val="26"/>
          <w:szCs w:val="26"/>
        </w:rPr>
      </w:pPr>
    </w:p>
    <w:p w:rsidR="00E8426E" w:rsidRPr="00725EF0" w:rsidRDefault="00E8426E" w:rsidP="00E8426E">
      <w:pPr>
        <w:jc w:val="center"/>
        <w:rPr>
          <w:rFonts w:ascii="Century Schoolbook" w:hAnsi="Century Schoolbook"/>
          <w:b/>
          <w:bCs/>
          <w:color w:val="000000"/>
          <w:sz w:val="26"/>
          <w:szCs w:val="26"/>
        </w:rPr>
      </w:pPr>
    </w:p>
    <w:p w:rsidR="00E8426E" w:rsidRPr="00725EF0" w:rsidRDefault="00E8426E" w:rsidP="00E8426E">
      <w:pPr>
        <w:jc w:val="center"/>
        <w:rPr>
          <w:rFonts w:ascii="Century Schoolbook" w:hAnsi="Century Schoolbook"/>
          <w:b/>
          <w:bCs/>
          <w:color w:val="000000"/>
          <w:sz w:val="26"/>
          <w:szCs w:val="26"/>
        </w:rPr>
      </w:pPr>
    </w:p>
    <w:p w:rsidR="00E8426E" w:rsidRPr="00725EF0" w:rsidRDefault="00E8426E" w:rsidP="00E8426E">
      <w:pPr>
        <w:jc w:val="center"/>
        <w:rPr>
          <w:rFonts w:ascii="Century Schoolbook" w:hAnsi="Century Schoolbook"/>
          <w:b/>
          <w:bCs/>
          <w:color w:val="000000"/>
          <w:sz w:val="26"/>
          <w:szCs w:val="26"/>
        </w:rPr>
      </w:pPr>
      <w:r w:rsidRPr="00725EF0">
        <w:rPr>
          <w:rFonts w:ascii="Century Schoolbook" w:hAnsi="Century Schoolbook"/>
          <w:b/>
          <w:bCs/>
          <w:color w:val="000000"/>
          <w:sz w:val="26"/>
          <w:szCs w:val="26"/>
        </w:rPr>
        <w:t>OFFICE OF THE GENERAL COUNSEL</w:t>
      </w:r>
    </w:p>
    <w:p w:rsidR="00E8426E" w:rsidRPr="00725EF0" w:rsidRDefault="00E8426E" w:rsidP="00E8426E">
      <w:pPr>
        <w:jc w:val="center"/>
        <w:rPr>
          <w:rFonts w:ascii="Century Schoolbook" w:hAnsi="Century Schoolbook"/>
          <w:b/>
          <w:bCs/>
          <w:color w:val="000000"/>
          <w:sz w:val="26"/>
          <w:szCs w:val="26"/>
        </w:rPr>
      </w:pPr>
    </w:p>
    <w:p w:rsidR="00E8426E" w:rsidRPr="00725EF0" w:rsidRDefault="00E8426E" w:rsidP="00E8426E">
      <w:pPr>
        <w:jc w:val="center"/>
        <w:rPr>
          <w:rFonts w:ascii="Century Schoolbook" w:hAnsi="Century Schoolbook"/>
          <w:b/>
          <w:bCs/>
          <w:color w:val="000000"/>
          <w:sz w:val="26"/>
          <w:szCs w:val="26"/>
        </w:rPr>
      </w:pPr>
    </w:p>
    <w:p w:rsidR="00E8426E" w:rsidRPr="00725EF0" w:rsidRDefault="00E8426E" w:rsidP="00E8426E">
      <w:pPr>
        <w:jc w:val="center"/>
        <w:rPr>
          <w:rFonts w:ascii="Century Schoolbook" w:hAnsi="Century Schoolbook"/>
          <w:b/>
          <w:bCs/>
          <w:color w:val="000000"/>
          <w:sz w:val="26"/>
          <w:szCs w:val="26"/>
          <w:u w:val="single"/>
        </w:rPr>
      </w:pPr>
      <w:r w:rsidRPr="00725EF0">
        <w:rPr>
          <w:rFonts w:ascii="Century Schoolbook" w:hAnsi="Century Schoolbook"/>
          <w:b/>
          <w:bCs/>
          <w:color w:val="000000"/>
          <w:sz w:val="26"/>
          <w:szCs w:val="26"/>
          <w:u w:val="single"/>
        </w:rPr>
        <w:t>COMMITTEE REPORT OF THE</w:t>
      </w:r>
    </w:p>
    <w:p w:rsidR="00E8426E" w:rsidRPr="00725EF0" w:rsidRDefault="00E8426E" w:rsidP="00E8426E">
      <w:pPr>
        <w:jc w:val="center"/>
        <w:rPr>
          <w:rFonts w:ascii="Century Schoolbook" w:hAnsi="Century Schoolbook"/>
          <w:b/>
          <w:bCs/>
          <w:color w:val="000000"/>
          <w:sz w:val="26"/>
          <w:szCs w:val="26"/>
          <w:u w:val="single"/>
        </w:rPr>
      </w:pPr>
      <w:r w:rsidRPr="00725EF0">
        <w:rPr>
          <w:rFonts w:ascii="Century Schoolbook" w:hAnsi="Century Schoolbook"/>
          <w:b/>
          <w:bCs/>
          <w:color w:val="000000"/>
          <w:sz w:val="26"/>
          <w:szCs w:val="26"/>
          <w:u w:val="single"/>
        </w:rPr>
        <w:t>COMMITTEE ON RULES, PRIVILEGES AND ELECTIONS</w:t>
      </w:r>
    </w:p>
    <w:p w:rsidR="00E8426E" w:rsidRPr="00725EF0" w:rsidRDefault="00E8426E" w:rsidP="00E8426E">
      <w:pPr>
        <w:jc w:val="center"/>
        <w:rPr>
          <w:rFonts w:ascii="Century Schoolbook" w:hAnsi="Century Schoolbook"/>
          <w:b/>
          <w:bCs/>
          <w:color w:val="000000"/>
          <w:sz w:val="26"/>
          <w:szCs w:val="26"/>
        </w:rPr>
      </w:pPr>
      <w:r w:rsidRPr="00725EF0">
        <w:rPr>
          <w:rFonts w:ascii="Century Schoolbook" w:hAnsi="Century Schoolbook"/>
          <w:b/>
          <w:bCs/>
          <w:color w:val="000000"/>
          <w:sz w:val="26"/>
          <w:szCs w:val="26"/>
        </w:rPr>
        <w:t xml:space="preserve">Hon. </w:t>
      </w:r>
      <w:r w:rsidR="00D84956">
        <w:rPr>
          <w:rFonts w:ascii="Century Schoolbook" w:hAnsi="Century Schoolbook"/>
          <w:b/>
          <w:bCs/>
          <w:color w:val="000000"/>
          <w:sz w:val="26"/>
          <w:szCs w:val="26"/>
        </w:rPr>
        <w:t>Karen Koslowitz</w:t>
      </w:r>
      <w:r w:rsidRPr="00725EF0">
        <w:rPr>
          <w:rFonts w:ascii="Century Schoolbook" w:hAnsi="Century Schoolbook"/>
          <w:b/>
          <w:bCs/>
          <w:color w:val="000000"/>
          <w:sz w:val="26"/>
          <w:szCs w:val="26"/>
        </w:rPr>
        <w:t>, Chairperson</w:t>
      </w:r>
    </w:p>
    <w:p w:rsidR="00E8426E" w:rsidRPr="00725EF0" w:rsidRDefault="00E8426E" w:rsidP="00E8426E">
      <w:pPr>
        <w:jc w:val="center"/>
        <w:rPr>
          <w:rFonts w:ascii="Century Schoolbook" w:hAnsi="Century Schoolbook"/>
          <w:b/>
          <w:bCs/>
          <w:color w:val="000000"/>
          <w:sz w:val="26"/>
          <w:szCs w:val="26"/>
        </w:rPr>
      </w:pPr>
    </w:p>
    <w:p w:rsidR="00E8426E" w:rsidRPr="00725EF0" w:rsidRDefault="00790996" w:rsidP="00E8426E">
      <w:pPr>
        <w:jc w:val="center"/>
        <w:rPr>
          <w:rFonts w:ascii="Century Schoolbook" w:hAnsi="Century Schoolbook"/>
          <w:b/>
          <w:bCs/>
          <w:color w:val="000000"/>
          <w:sz w:val="26"/>
          <w:szCs w:val="26"/>
        </w:rPr>
      </w:pPr>
      <w:r>
        <w:rPr>
          <w:rFonts w:ascii="Century Schoolbook" w:hAnsi="Century Schoolbook"/>
          <w:b/>
          <w:bCs/>
          <w:color w:val="000000"/>
          <w:sz w:val="26"/>
          <w:szCs w:val="26"/>
        </w:rPr>
        <w:t>December 1</w:t>
      </w:r>
      <w:r w:rsidR="006E3F51">
        <w:rPr>
          <w:rFonts w:ascii="Century Schoolbook" w:hAnsi="Century Schoolbook"/>
          <w:b/>
          <w:bCs/>
          <w:color w:val="000000"/>
          <w:sz w:val="26"/>
          <w:szCs w:val="26"/>
        </w:rPr>
        <w:t>9</w:t>
      </w:r>
      <w:bookmarkStart w:id="0" w:name="_GoBack"/>
      <w:bookmarkEnd w:id="0"/>
      <w:r>
        <w:rPr>
          <w:rFonts w:ascii="Century Schoolbook" w:hAnsi="Century Schoolbook"/>
          <w:b/>
          <w:bCs/>
          <w:color w:val="000000"/>
          <w:sz w:val="26"/>
          <w:szCs w:val="26"/>
        </w:rPr>
        <w:t>,</w:t>
      </w:r>
      <w:r w:rsidR="002337CA">
        <w:rPr>
          <w:rFonts w:ascii="Century Schoolbook" w:hAnsi="Century Schoolbook"/>
          <w:b/>
          <w:bCs/>
          <w:color w:val="000000"/>
          <w:sz w:val="26"/>
          <w:szCs w:val="26"/>
        </w:rPr>
        <w:t xml:space="preserve"> 201</w:t>
      </w:r>
      <w:r w:rsidR="006860F9">
        <w:rPr>
          <w:rFonts w:ascii="Century Schoolbook" w:hAnsi="Century Schoolbook"/>
          <w:b/>
          <w:bCs/>
          <w:color w:val="000000"/>
          <w:sz w:val="26"/>
          <w:szCs w:val="26"/>
        </w:rPr>
        <w:t>9</w:t>
      </w:r>
    </w:p>
    <w:p w:rsidR="00E8426E" w:rsidRPr="00725EF0" w:rsidRDefault="00E8426E" w:rsidP="00E8426E">
      <w:pPr>
        <w:rPr>
          <w:rFonts w:ascii="Century Schoolbook" w:hAnsi="Century Schoolbook"/>
          <w:b/>
          <w:bCs/>
          <w:color w:val="000000"/>
          <w:sz w:val="26"/>
          <w:szCs w:val="26"/>
        </w:rPr>
      </w:pPr>
    </w:p>
    <w:p w:rsidR="00E8426E" w:rsidRPr="00725EF0" w:rsidRDefault="00E8426E" w:rsidP="00E8426E">
      <w:pPr>
        <w:jc w:val="center"/>
        <w:rPr>
          <w:rFonts w:ascii="Century Schoolbook" w:hAnsi="Century Schoolbook"/>
          <w:b/>
          <w:sz w:val="26"/>
          <w:szCs w:val="26"/>
        </w:rPr>
      </w:pPr>
      <w:r w:rsidRPr="00725EF0">
        <w:rPr>
          <w:rFonts w:ascii="Century Schoolbook" w:hAnsi="Century Schoolbook"/>
          <w:b/>
          <w:sz w:val="26"/>
          <w:szCs w:val="26"/>
        </w:rPr>
        <w:t>Co</w:t>
      </w:r>
      <w:r w:rsidR="00221930">
        <w:rPr>
          <w:rFonts w:ascii="Century Schoolbook" w:hAnsi="Century Schoolbook"/>
          <w:b/>
          <w:sz w:val="26"/>
          <w:szCs w:val="26"/>
        </w:rPr>
        <w:t>uncil</w:t>
      </w:r>
      <w:r w:rsidRPr="00725EF0">
        <w:rPr>
          <w:rFonts w:ascii="Century Schoolbook" w:hAnsi="Century Schoolbook"/>
          <w:b/>
          <w:sz w:val="26"/>
          <w:szCs w:val="26"/>
        </w:rPr>
        <w:t xml:space="preserve"> </w:t>
      </w:r>
      <w:r w:rsidR="00D84956">
        <w:rPr>
          <w:rFonts w:ascii="Century Schoolbook" w:hAnsi="Century Schoolbook"/>
          <w:b/>
          <w:sz w:val="26"/>
          <w:szCs w:val="26"/>
        </w:rPr>
        <w:t>Chambers</w:t>
      </w:r>
    </w:p>
    <w:p w:rsidR="00E8426E" w:rsidRPr="00725EF0" w:rsidRDefault="00E8426E" w:rsidP="00E8426E">
      <w:pPr>
        <w:jc w:val="center"/>
        <w:rPr>
          <w:rFonts w:ascii="Century Schoolbook" w:hAnsi="Century Schoolbook"/>
          <w:b/>
          <w:sz w:val="26"/>
          <w:szCs w:val="26"/>
        </w:rPr>
      </w:pPr>
      <w:r w:rsidRPr="00725EF0">
        <w:rPr>
          <w:rFonts w:ascii="Century Schoolbook" w:hAnsi="Century Schoolbook"/>
          <w:b/>
          <w:sz w:val="26"/>
          <w:szCs w:val="26"/>
        </w:rPr>
        <w:t>City Hall</w:t>
      </w:r>
    </w:p>
    <w:p w:rsidR="003C6183" w:rsidRPr="00725EF0" w:rsidRDefault="003C6183" w:rsidP="003C6183">
      <w:pPr>
        <w:pStyle w:val="Heading2"/>
        <w:ind w:left="0"/>
        <w:rPr>
          <w:rFonts w:ascii="Century" w:hAnsi="Century" w:cs="Tahoma"/>
          <w:b/>
          <w:sz w:val="24"/>
          <w:szCs w:val="24"/>
        </w:rPr>
      </w:pPr>
    </w:p>
    <w:p w:rsidR="003C6183" w:rsidRPr="00725EF0" w:rsidRDefault="003C6183" w:rsidP="001B61CC">
      <w:pPr>
        <w:pStyle w:val="Heading2"/>
        <w:ind w:left="0"/>
        <w:rPr>
          <w:rFonts w:ascii="Century" w:hAnsi="Century" w:cs="Tahoma"/>
          <w:sz w:val="24"/>
          <w:szCs w:val="24"/>
        </w:rPr>
      </w:pPr>
    </w:p>
    <w:p w:rsidR="00214328" w:rsidRPr="00D74E21" w:rsidRDefault="00685FE0" w:rsidP="00214328">
      <w:pPr>
        <w:snapToGrid w:val="0"/>
        <w:jc w:val="both"/>
        <w:rPr>
          <w:rFonts w:ascii="Palatino Linotype" w:hAnsi="Palatino Linotype"/>
        </w:rPr>
      </w:pPr>
      <w:r w:rsidRPr="00D74E21">
        <w:rPr>
          <w:rFonts w:ascii="Palatino Linotype" w:hAnsi="Palatino Linotype"/>
          <w:b/>
          <w:bCs/>
          <w:i/>
          <w:iCs/>
          <w:szCs w:val="24"/>
          <w:u w:val="single"/>
        </w:rPr>
        <w:t>Topic I</w:t>
      </w:r>
      <w:r w:rsidR="004C3E34" w:rsidRPr="00D74E21">
        <w:rPr>
          <w:rFonts w:ascii="Palatino Linotype" w:hAnsi="Palatino Linotype"/>
          <w:b/>
          <w:bCs/>
          <w:i/>
          <w:iCs/>
          <w:szCs w:val="24"/>
          <w:u w:val="single"/>
        </w:rPr>
        <w:t>:</w:t>
      </w:r>
      <w:r w:rsidRPr="00D74E21">
        <w:rPr>
          <w:rFonts w:ascii="Palatino Linotype" w:hAnsi="Palatino Linotype"/>
          <w:b/>
          <w:bCs/>
          <w:i/>
          <w:iCs/>
        </w:rPr>
        <w:t xml:space="preserve"> </w:t>
      </w:r>
      <w:r w:rsidR="00214328" w:rsidRPr="00D74E21">
        <w:rPr>
          <w:rFonts w:ascii="Palatino Linotype" w:hAnsi="Palatino Linotype"/>
          <w:b/>
          <w:bCs/>
          <w:i/>
          <w:iCs/>
        </w:rPr>
        <w:t>New York City Planning Commission – (</w:t>
      </w:r>
      <w:r w:rsidR="0074403D" w:rsidRPr="00D74E21">
        <w:rPr>
          <w:rFonts w:ascii="Palatino Linotype" w:hAnsi="Palatino Linotype"/>
          <w:b/>
          <w:bCs/>
          <w:i/>
          <w:iCs/>
        </w:rPr>
        <w:t>C</w:t>
      </w:r>
      <w:r w:rsidR="00214328" w:rsidRPr="00D74E21">
        <w:rPr>
          <w:rFonts w:ascii="Palatino Linotype" w:hAnsi="Palatino Linotype"/>
          <w:b/>
          <w:bCs/>
          <w:i/>
          <w:iCs/>
        </w:rPr>
        <w:t>andidate</w:t>
      </w:r>
      <w:r w:rsidR="0074403D" w:rsidRPr="00D74E21">
        <w:rPr>
          <w:rFonts w:ascii="Palatino Linotype" w:hAnsi="Palatino Linotype"/>
          <w:b/>
          <w:bCs/>
          <w:i/>
          <w:iCs/>
        </w:rPr>
        <w:t xml:space="preserve"> </w:t>
      </w:r>
      <w:r w:rsidR="00214328" w:rsidRPr="00D74E21">
        <w:rPr>
          <w:rFonts w:ascii="Palatino Linotype" w:hAnsi="Palatino Linotype"/>
          <w:b/>
          <w:bCs/>
          <w:i/>
          <w:iCs/>
        </w:rPr>
        <w:t>for appointmen</w:t>
      </w:r>
      <w:r w:rsidR="002116B3" w:rsidRPr="00D74E21">
        <w:rPr>
          <w:rFonts w:ascii="Palatino Linotype" w:hAnsi="Palatino Linotype"/>
          <w:b/>
          <w:bCs/>
          <w:i/>
          <w:iCs/>
        </w:rPr>
        <w:t>t</w:t>
      </w:r>
      <w:r w:rsidR="00214328" w:rsidRPr="00D74E21">
        <w:rPr>
          <w:rFonts w:ascii="Palatino Linotype" w:hAnsi="Palatino Linotype"/>
          <w:b/>
          <w:bCs/>
          <w:i/>
          <w:iCs/>
        </w:rPr>
        <w:t xml:space="preserve"> </w:t>
      </w:r>
      <w:r w:rsidR="006E16E0" w:rsidRPr="00D74E21">
        <w:rPr>
          <w:rFonts w:ascii="Palatino Linotype" w:hAnsi="Palatino Linotype"/>
          <w:b/>
          <w:bCs/>
          <w:i/>
          <w:iCs/>
        </w:rPr>
        <w:t xml:space="preserve">by the </w:t>
      </w:r>
      <w:r w:rsidR="002337CA" w:rsidRPr="00D74E21">
        <w:rPr>
          <w:rFonts w:ascii="Palatino Linotype" w:hAnsi="Palatino Linotype"/>
          <w:b/>
          <w:bCs/>
          <w:i/>
          <w:iCs/>
        </w:rPr>
        <w:t>Mayor</w:t>
      </w:r>
      <w:r w:rsidR="006E16E0" w:rsidRPr="00D74E21">
        <w:rPr>
          <w:rFonts w:ascii="Palatino Linotype" w:hAnsi="Palatino Linotype"/>
          <w:b/>
          <w:bCs/>
          <w:i/>
          <w:iCs/>
        </w:rPr>
        <w:t xml:space="preserve"> </w:t>
      </w:r>
      <w:r w:rsidR="00214328" w:rsidRPr="00D74E21">
        <w:rPr>
          <w:rFonts w:ascii="Palatino Linotype" w:hAnsi="Palatino Linotype"/>
          <w:b/>
          <w:bCs/>
          <w:i/>
          <w:iCs/>
        </w:rPr>
        <w:t xml:space="preserve">upon </w:t>
      </w:r>
      <w:r w:rsidR="0074403D" w:rsidRPr="00D74E21">
        <w:rPr>
          <w:rFonts w:ascii="Palatino Linotype" w:hAnsi="Palatino Linotype"/>
          <w:b/>
          <w:bCs/>
          <w:i/>
          <w:iCs/>
        </w:rPr>
        <w:t xml:space="preserve">the </w:t>
      </w:r>
      <w:r w:rsidR="00214328" w:rsidRPr="00D74E21">
        <w:rPr>
          <w:rFonts w:ascii="Palatino Linotype" w:hAnsi="Palatino Linotype"/>
          <w:b/>
          <w:bCs/>
          <w:i/>
          <w:iCs/>
        </w:rPr>
        <w:t>advice and consent of the Council)</w:t>
      </w:r>
    </w:p>
    <w:p w:rsidR="00214328" w:rsidRPr="00D74E21" w:rsidRDefault="00214328" w:rsidP="00214328">
      <w:pPr>
        <w:jc w:val="both"/>
        <w:rPr>
          <w:rFonts w:ascii="Palatino Linotype" w:hAnsi="Palatino Linotype"/>
          <w:b/>
          <w:bCs/>
          <w:i/>
          <w:iCs/>
        </w:rPr>
      </w:pPr>
    </w:p>
    <w:p w:rsidR="004C3E34" w:rsidRPr="00D74E21" w:rsidRDefault="00252D15" w:rsidP="004C3E34">
      <w:pPr>
        <w:pStyle w:val="ListParagraph"/>
        <w:numPr>
          <w:ilvl w:val="0"/>
          <w:numId w:val="13"/>
        </w:numPr>
        <w:snapToGrid w:val="0"/>
        <w:jc w:val="both"/>
        <w:rPr>
          <w:rFonts w:ascii="Palatino Linotype" w:hAnsi="Palatino Linotype"/>
          <w:b/>
        </w:rPr>
      </w:pPr>
      <w:r w:rsidRPr="00D74E21">
        <w:rPr>
          <w:rFonts w:ascii="Palatino Linotype" w:hAnsi="Palatino Linotype"/>
          <w:b/>
        </w:rPr>
        <w:t>Kenneth Knuckles [M-196]</w:t>
      </w:r>
    </w:p>
    <w:p w:rsidR="004C3E34" w:rsidRPr="00D74E21" w:rsidRDefault="004C3E34" w:rsidP="008C5721">
      <w:pPr>
        <w:snapToGrid w:val="0"/>
        <w:jc w:val="both"/>
        <w:rPr>
          <w:rFonts w:ascii="Palatino Linotype" w:hAnsi="Palatino Linotype"/>
        </w:rPr>
      </w:pPr>
    </w:p>
    <w:p w:rsidR="00214328" w:rsidRPr="00D74E21" w:rsidRDefault="007F0762" w:rsidP="00D74E21">
      <w:pPr>
        <w:snapToGrid w:val="0"/>
        <w:ind w:firstLine="720"/>
        <w:jc w:val="both"/>
        <w:rPr>
          <w:rFonts w:ascii="Palatino Linotype" w:hAnsi="Palatino Linotype"/>
        </w:rPr>
      </w:pPr>
      <w:r w:rsidRPr="00D74E21">
        <w:rPr>
          <w:rFonts w:ascii="Palatino Linotype" w:hAnsi="Palatino Linotype"/>
        </w:rPr>
        <w:t>Pursuant to</w:t>
      </w:r>
      <w:r w:rsidR="00214328" w:rsidRPr="00D74E21">
        <w:rPr>
          <w:rFonts w:ascii="Palatino Linotype" w:hAnsi="Palatino Linotype"/>
        </w:rPr>
        <w:t xml:space="preserve"> the </w:t>
      </w:r>
      <w:r w:rsidR="00214328" w:rsidRPr="00D74E21">
        <w:rPr>
          <w:rFonts w:ascii="Palatino Linotype" w:hAnsi="Palatino Linotype"/>
          <w:i/>
          <w:iCs/>
        </w:rPr>
        <w:t>New York City Charter</w:t>
      </w:r>
      <w:r w:rsidR="00AB1805" w:rsidRPr="00D74E21">
        <w:rPr>
          <w:rFonts w:ascii="Palatino Linotype" w:hAnsi="Palatino Linotype"/>
        </w:rPr>
        <w:t xml:space="preserve"> (</w:t>
      </w:r>
      <w:r w:rsidR="00AB1805" w:rsidRPr="00D74E21">
        <w:rPr>
          <w:rFonts w:ascii="Palatino Linotype" w:hAnsi="Palatino Linotype"/>
          <w:i/>
        </w:rPr>
        <w:t>“Charter”</w:t>
      </w:r>
      <w:r w:rsidR="00AB1805" w:rsidRPr="00D74E21">
        <w:rPr>
          <w:rFonts w:ascii="Palatino Linotype" w:hAnsi="Palatino Linotype"/>
        </w:rPr>
        <w:t>)</w:t>
      </w:r>
      <w:r w:rsidR="00BF63B8" w:rsidRPr="00D74E21">
        <w:rPr>
          <w:rFonts w:ascii="Palatino Linotype" w:hAnsi="Palatino Linotype"/>
        </w:rPr>
        <w:t xml:space="preserve"> §192</w:t>
      </w:r>
      <w:r w:rsidR="00AB1805" w:rsidRPr="00D74E21">
        <w:rPr>
          <w:rFonts w:ascii="Palatino Linotype" w:hAnsi="Palatino Linotype"/>
        </w:rPr>
        <w:t xml:space="preserve">, </w:t>
      </w:r>
      <w:r w:rsidR="00214328" w:rsidRPr="00D74E21">
        <w:rPr>
          <w:rFonts w:ascii="Palatino Linotype" w:hAnsi="Palatino Linotype"/>
        </w:rPr>
        <w:t>there shall be a thirteen-member C</w:t>
      </w:r>
      <w:r w:rsidR="00AB1805" w:rsidRPr="00D74E21">
        <w:rPr>
          <w:rFonts w:ascii="Palatino Linotype" w:hAnsi="Palatino Linotype"/>
        </w:rPr>
        <w:t>ity Planning Commission,</w:t>
      </w:r>
      <w:r w:rsidR="00214328" w:rsidRPr="00D74E21">
        <w:rPr>
          <w:rFonts w:ascii="Palatino Linotype" w:hAnsi="Palatino Linotype"/>
        </w:rPr>
        <w:t xml:space="preserve"> with seven appointments made by the Mayor (including the Chair), one by the Public Advocate, and one by each Borough President</w:t>
      </w:r>
      <w:r w:rsidR="00770ED7" w:rsidRPr="00D74E21">
        <w:rPr>
          <w:rFonts w:ascii="Palatino Linotype" w:hAnsi="Palatino Linotype"/>
        </w:rPr>
        <w:t>.</w:t>
      </w:r>
      <w:r w:rsidR="00214328" w:rsidRPr="00D74E21">
        <w:rPr>
          <w:rFonts w:ascii="Palatino Linotype" w:hAnsi="Palatino Linotype"/>
        </w:rPr>
        <w:t xml:space="preserve"> [</w:t>
      </w:r>
      <w:r w:rsidR="00214328" w:rsidRPr="00D74E21">
        <w:rPr>
          <w:rFonts w:ascii="Palatino Linotype" w:hAnsi="Palatino Linotype"/>
          <w:i/>
          <w:iCs/>
        </w:rPr>
        <w:t>Charter</w:t>
      </w:r>
      <w:r w:rsidR="00214328" w:rsidRPr="00D74E21">
        <w:rPr>
          <w:rFonts w:ascii="Palatino Linotype" w:hAnsi="Palatino Linotype"/>
        </w:rPr>
        <w:t xml:space="preserve"> §192(a)]    All members, except the Chair, are subject to the advice and consent of the Council</w:t>
      </w:r>
      <w:r w:rsidR="00770ED7" w:rsidRPr="00D74E21">
        <w:rPr>
          <w:rFonts w:ascii="Palatino Linotype" w:hAnsi="Palatino Linotype"/>
        </w:rPr>
        <w:t>.</w:t>
      </w:r>
      <w:r w:rsidR="00214328" w:rsidRPr="00D74E21">
        <w:rPr>
          <w:rFonts w:ascii="Palatino Linotype" w:hAnsi="Palatino Linotype"/>
        </w:rPr>
        <w:t xml:space="preserve"> [</w:t>
      </w:r>
      <w:r w:rsidR="00214328" w:rsidRPr="00D74E21">
        <w:rPr>
          <w:rFonts w:ascii="Palatino Linotype" w:hAnsi="Palatino Linotype"/>
          <w:i/>
          <w:iCs/>
        </w:rPr>
        <w:t>Charter</w:t>
      </w:r>
      <w:r w:rsidR="00214328" w:rsidRPr="00D74E21">
        <w:rPr>
          <w:rFonts w:ascii="Palatino Linotype" w:hAnsi="Palatino Linotype"/>
        </w:rPr>
        <w:t xml:space="preserve"> §192(a)]  Further, the </w:t>
      </w:r>
      <w:r w:rsidR="00214328" w:rsidRPr="00D74E21">
        <w:rPr>
          <w:rFonts w:ascii="Palatino Linotype" w:hAnsi="Palatino Linotype"/>
          <w:i/>
          <w:iCs/>
        </w:rPr>
        <w:t>Charter</w:t>
      </w:r>
      <w:r w:rsidR="00214328" w:rsidRPr="00D74E21">
        <w:rPr>
          <w:rFonts w:ascii="Palatino Linotype" w:hAnsi="Palatino Linotype"/>
        </w:rPr>
        <w:t xml:space="preserve"> states that members are to be chosen for their independence, integrity, and civic commitment</w:t>
      </w:r>
      <w:r w:rsidR="00770ED7" w:rsidRPr="00D74E21">
        <w:rPr>
          <w:rFonts w:ascii="Palatino Linotype" w:hAnsi="Palatino Linotype"/>
        </w:rPr>
        <w:t>.</w:t>
      </w:r>
      <w:r w:rsidR="00214328" w:rsidRPr="00D74E21">
        <w:rPr>
          <w:rFonts w:ascii="Palatino Linotype" w:hAnsi="Palatino Linotype"/>
        </w:rPr>
        <w:t xml:space="preserve"> [</w:t>
      </w:r>
      <w:r w:rsidR="00214328" w:rsidRPr="00D74E21">
        <w:rPr>
          <w:rFonts w:ascii="Palatino Linotype" w:hAnsi="Palatino Linotype"/>
          <w:i/>
          <w:iCs/>
        </w:rPr>
        <w:t>Charter</w:t>
      </w:r>
      <w:r w:rsidR="00214328" w:rsidRPr="00D74E21">
        <w:rPr>
          <w:rFonts w:ascii="Palatino Linotype" w:hAnsi="Palatino Linotype"/>
        </w:rPr>
        <w:t xml:space="preserve"> §192(a)]</w:t>
      </w:r>
    </w:p>
    <w:p w:rsidR="00214328" w:rsidRPr="00D74E21" w:rsidRDefault="00214328" w:rsidP="00214328">
      <w:pPr>
        <w:snapToGrid w:val="0"/>
        <w:jc w:val="both"/>
        <w:rPr>
          <w:rFonts w:ascii="Palatino Linotype" w:hAnsi="Palatino Linotype"/>
        </w:rPr>
      </w:pPr>
    </w:p>
    <w:p w:rsidR="00214328" w:rsidRPr="00D74E21" w:rsidRDefault="00214328" w:rsidP="00D74E21">
      <w:pPr>
        <w:snapToGrid w:val="0"/>
        <w:ind w:firstLine="720"/>
        <w:jc w:val="both"/>
        <w:rPr>
          <w:rFonts w:ascii="Palatino Linotype" w:hAnsi="Palatino Linotype"/>
        </w:rPr>
      </w:pPr>
      <w:r w:rsidRPr="00D74E21">
        <w:rPr>
          <w:rFonts w:ascii="Palatino Linotype" w:hAnsi="Palatino Linotype"/>
        </w:rPr>
        <w:t xml:space="preserve">The </w:t>
      </w:r>
      <w:r w:rsidRPr="00D74E21">
        <w:rPr>
          <w:rFonts w:ascii="Palatino Linotype" w:hAnsi="Palatino Linotype"/>
          <w:i/>
          <w:iCs/>
        </w:rPr>
        <w:t xml:space="preserve">Charter </w:t>
      </w:r>
      <w:r w:rsidRPr="00D74E21">
        <w:rPr>
          <w:rFonts w:ascii="Palatino Linotype" w:hAnsi="Palatino Linotype"/>
        </w:rPr>
        <w:t xml:space="preserve">provides that CPC members </w:t>
      </w:r>
      <w:r w:rsidR="00BF63B8" w:rsidRPr="00D74E21">
        <w:rPr>
          <w:rFonts w:ascii="Palatino Linotype" w:hAnsi="Palatino Linotype"/>
        </w:rPr>
        <w:t xml:space="preserve">shall </w:t>
      </w:r>
      <w:r w:rsidRPr="00D74E21">
        <w:rPr>
          <w:rFonts w:ascii="Palatino Linotype" w:hAnsi="Palatino Linotype"/>
        </w:rPr>
        <w:t>serve for staggered five-year terms, except for the Chair, who as Director of the Department of City Planning (</w:t>
      </w:r>
      <w:r w:rsidRPr="00D74E21">
        <w:rPr>
          <w:rFonts w:ascii="Palatino Linotype" w:hAnsi="Palatino Linotype"/>
          <w:i/>
          <w:iCs/>
        </w:rPr>
        <w:t>Charter</w:t>
      </w:r>
      <w:r w:rsidRPr="00D74E21">
        <w:rPr>
          <w:rFonts w:ascii="Palatino Linotype" w:hAnsi="Palatino Linotype"/>
        </w:rPr>
        <w:t xml:space="preserve"> §191), serves at the pleasure of the Mayor</w:t>
      </w:r>
      <w:r w:rsidR="00770ED7" w:rsidRPr="00D74E21">
        <w:rPr>
          <w:rFonts w:ascii="Palatino Linotype" w:hAnsi="Palatino Linotype"/>
        </w:rPr>
        <w:t>.</w:t>
      </w:r>
      <w:r w:rsidRPr="00D74E21">
        <w:rPr>
          <w:rFonts w:ascii="Palatino Linotype" w:hAnsi="Palatino Linotype"/>
        </w:rPr>
        <w:t xml:space="preserve"> [</w:t>
      </w:r>
      <w:r w:rsidRPr="00D74E21">
        <w:rPr>
          <w:rFonts w:ascii="Palatino Linotype" w:hAnsi="Palatino Linotype"/>
          <w:i/>
          <w:iCs/>
        </w:rPr>
        <w:t>Charter</w:t>
      </w:r>
      <w:r w:rsidRPr="00D74E21">
        <w:rPr>
          <w:rFonts w:ascii="Palatino Linotype" w:hAnsi="Palatino Linotype"/>
        </w:rPr>
        <w:t xml:space="preserve"> §192(a)]  For purposes of Chapter 68 of the </w:t>
      </w:r>
      <w:r w:rsidRPr="00D74E21">
        <w:rPr>
          <w:rFonts w:ascii="Palatino Linotype" w:hAnsi="Palatino Linotype"/>
          <w:i/>
          <w:iCs/>
        </w:rPr>
        <w:t>Charter</w:t>
      </w:r>
      <w:r w:rsidR="00BF63B8" w:rsidRPr="00D74E21">
        <w:rPr>
          <w:rFonts w:ascii="Palatino Linotype" w:hAnsi="Palatino Linotype"/>
          <w:i/>
          <w:iCs/>
        </w:rPr>
        <w:t xml:space="preserve"> </w:t>
      </w:r>
      <w:r w:rsidR="00BF63B8" w:rsidRPr="00D74E21">
        <w:rPr>
          <w:rFonts w:ascii="Palatino Linotype" w:hAnsi="Palatino Linotype"/>
        </w:rPr>
        <w:t>(Conflicts of Interest)</w:t>
      </w:r>
      <w:r w:rsidRPr="00D74E21">
        <w:rPr>
          <w:rFonts w:ascii="Palatino Linotype" w:hAnsi="Palatino Linotype"/>
          <w:i/>
          <w:iCs/>
        </w:rPr>
        <w:t xml:space="preserve">, </w:t>
      </w:r>
      <w:r w:rsidRPr="00D74E21">
        <w:rPr>
          <w:rFonts w:ascii="Palatino Linotype" w:hAnsi="Palatino Linotype"/>
        </w:rPr>
        <w:t>CPC members, other than the Chair, shall not be considered regular employees of the City</w:t>
      </w:r>
      <w:r w:rsidR="00770ED7" w:rsidRPr="00D74E21">
        <w:rPr>
          <w:rFonts w:ascii="Palatino Linotype" w:hAnsi="Palatino Linotype"/>
        </w:rPr>
        <w:t>.</w:t>
      </w:r>
      <w:r w:rsidRPr="00D74E21">
        <w:rPr>
          <w:rFonts w:ascii="Palatino Linotype" w:hAnsi="Palatino Linotype"/>
        </w:rPr>
        <w:t xml:space="preserve"> [</w:t>
      </w:r>
      <w:r w:rsidRPr="00D74E21">
        <w:rPr>
          <w:rFonts w:ascii="Palatino Linotype" w:hAnsi="Palatino Linotype"/>
          <w:i/>
          <w:iCs/>
        </w:rPr>
        <w:t>Charter</w:t>
      </w:r>
      <w:r w:rsidRPr="00D74E21">
        <w:rPr>
          <w:rFonts w:ascii="Palatino Linotype" w:hAnsi="Palatino Linotype"/>
        </w:rPr>
        <w:t xml:space="preserve"> §192(b</w:t>
      </w:r>
      <w:r w:rsidR="00770ED7" w:rsidRPr="00D74E21">
        <w:rPr>
          <w:rFonts w:ascii="Palatino Linotype" w:hAnsi="Palatino Linotype"/>
        </w:rPr>
        <w:t>)]</w:t>
      </w:r>
      <w:r w:rsidRPr="00D74E21">
        <w:rPr>
          <w:rFonts w:ascii="Palatino Linotype" w:hAnsi="Palatino Linotype"/>
        </w:rPr>
        <w:t xml:space="preserve">  There is no limitation on the number of terms a CPC member may serve</w:t>
      </w:r>
      <w:r w:rsidR="00770ED7" w:rsidRPr="00D74E21">
        <w:rPr>
          <w:rFonts w:ascii="Palatino Linotype" w:hAnsi="Palatino Linotype"/>
        </w:rPr>
        <w:t>.</w:t>
      </w:r>
      <w:r w:rsidRPr="00D74E21">
        <w:rPr>
          <w:rFonts w:ascii="Palatino Linotype" w:hAnsi="Palatino Linotype"/>
        </w:rPr>
        <w:t xml:space="preserve"> [</w:t>
      </w:r>
      <w:r w:rsidRPr="00D74E21">
        <w:rPr>
          <w:rFonts w:ascii="Palatino Linotype" w:hAnsi="Palatino Linotype"/>
          <w:i/>
          <w:iCs/>
        </w:rPr>
        <w:t>Charter</w:t>
      </w:r>
      <w:r w:rsidR="00770ED7" w:rsidRPr="00D74E21">
        <w:rPr>
          <w:rFonts w:ascii="Palatino Linotype" w:hAnsi="Palatino Linotype"/>
        </w:rPr>
        <w:t xml:space="preserve"> §192(a)]</w:t>
      </w:r>
      <w:r w:rsidRPr="00D74E21">
        <w:rPr>
          <w:rFonts w:ascii="Palatino Linotype" w:hAnsi="Palatino Linotype"/>
        </w:rPr>
        <w:t xml:space="preserve"> CPC members are prohibited from </w:t>
      </w:r>
      <w:r w:rsidRPr="00D74E21">
        <w:rPr>
          <w:rFonts w:ascii="Palatino Linotype" w:hAnsi="Palatino Linotype"/>
        </w:rPr>
        <w:lastRenderedPageBreak/>
        <w:t xml:space="preserve">holding any other City office while they serve on </w:t>
      </w:r>
      <w:r w:rsidR="00770ED7" w:rsidRPr="00D74E21">
        <w:rPr>
          <w:rFonts w:ascii="Palatino Linotype" w:hAnsi="Palatino Linotype"/>
        </w:rPr>
        <w:t xml:space="preserve">the </w:t>
      </w:r>
      <w:r w:rsidRPr="00D74E21">
        <w:rPr>
          <w:rFonts w:ascii="Palatino Linotype" w:hAnsi="Palatino Linotype"/>
        </w:rPr>
        <w:t>CPC</w:t>
      </w:r>
      <w:r w:rsidR="00770ED7" w:rsidRPr="00D74E21">
        <w:rPr>
          <w:rFonts w:ascii="Palatino Linotype" w:hAnsi="Palatino Linotype"/>
        </w:rPr>
        <w:t>.</w:t>
      </w:r>
      <w:r w:rsidRPr="00D74E21">
        <w:rPr>
          <w:rFonts w:ascii="Palatino Linotype" w:hAnsi="Palatino Linotype"/>
        </w:rPr>
        <w:t xml:space="preserve"> [</w:t>
      </w:r>
      <w:r w:rsidRPr="00D74E21">
        <w:rPr>
          <w:rFonts w:ascii="Palatino Linotype" w:hAnsi="Palatino Linotype"/>
          <w:i/>
          <w:iCs/>
        </w:rPr>
        <w:t>Charter</w:t>
      </w:r>
      <w:r w:rsidR="00770ED7" w:rsidRPr="00D74E21">
        <w:rPr>
          <w:rFonts w:ascii="Palatino Linotype" w:hAnsi="Palatino Linotype"/>
        </w:rPr>
        <w:t xml:space="preserve"> §192(b)]</w:t>
      </w:r>
      <w:r w:rsidRPr="00D74E21">
        <w:rPr>
          <w:rFonts w:ascii="Palatino Linotype" w:hAnsi="Palatino Linotype"/>
        </w:rPr>
        <w:t xml:space="preserve"> The Chair receives an annual salary of $2</w:t>
      </w:r>
      <w:r w:rsidR="00BB0EB6" w:rsidRPr="00D74E21">
        <w:rPr>
          <w:rFonts w:ascii="Palatino Linotype" w:hAnsi="Palatino Linotype"/>
        </w:rPr>
        <w:t>14</w:t>
      </w:r>
      <w:r w:rsidRPr="00D74E21">
        <w:rPr>
          <w:rFonts w:ascii="Palatino Linotype" w:hAnsi="Palatino Linotype"/>
        </w:rPr>
        <w:t>,</w:t>
      </w:r>
      <w:r w:rsidR="00BB0EB6" w:rsidRPr="00D74E21">
        <w:rPr>
          <w:rFonts w:ascii="Palatino Linotype" w:hAnsi="Palatino Linotype"/>
        </w:rPr>
        <w:t>413</w:t>
      </w:r>
      <w:r w:rsidRPr="00D74E21">
        <w:rPr>
          <w:rFonts w:ascii="Palatino Linotype" w:hAnsi="Palatino Linotype"/>
        </w:rPr>
        <w:t xml:space="preserve">.  The </w:t>
      </w:r>
      <w:r w:rsidR="00BF63B8" w:rsidRPr="00D74E21">
        <w:rPr>
          <w:rFonts w:ascii="Palatino Linotype" w:hAnsi="Palatino Linotype"/>
        </w:rPr>
        <w:t xml:space="preserve">CPC </w:t>
      </w:r>
      <w:r w:rsidRPr="00D74E21">
        <w:rPr>
          <w:rFonts w:ascii="Palatino Linotype" w:hAnsi="Palatino Linotype"/>
        </w:rPr>
        <w:t xml:space="preserve">member designated </w:t>
      </w:r>
      <w:r w:rsidR="00BF63B8" w:rsidRPr="00D74E21">
        <w:rPr>
          <w:rFonts w:ascii="Palatino Linotype" w:hAnsi="Palatino Linotype"/>
        </w:rPr>
        <w:t xml:space="preserve">to serve </w:t>
      </w:r>
      <w:r w:rsidRPr="00D74E21">
        <w:rPr>
          <w:rFonts w:ascii="Palatino Linotype" w:hAnsi="Palatino Linotype"/>
        </w:rPr>
        <w:t>as</w:t>
      </w:r>
      <w:r w:rsidR="00BF63B8" w:rsidRPr="00D74E21">
        <w:rPr>
          <w:rFonts w:ascii="Palatino Linotype" w:hAnsi="Palatino Linotype"/>
        </w:rPr>
        <w:t xml:space="preserve"> the</w:t>
      </w:r>
      <w:r w:rsidRPr="00D74E21">
        <w:rPr>
          <w:rFonts w:ascii="Palatino Linotype" w:hAnsi="Palatino Linotype"/>
        </w:rPr>
        <w:t xml:space="preserve"> Vice-Chair receives an annual salary of $6</w:t>
      </w:r>
      <w:r w:rsidR="00BB0EB6" w:rsidRPr="00D74E21">
        <w:rPr>
          <w:rFonts w:ascii="Palatino Linotype" w:hAnsi="Palatino Linotype"/>
        </w:rPr>
        <w:t>5</w:t>
      </w:r>
      <w:r w:rsidRPr="00D74E21">
        <w:rPr>
          <w:rFonts w:ascii="Palatino Linotype" w:hAnsi="Palatino Linotype"/>
        </w:rPr>
        <w:t>,</w:t>
      </w:r>
      <w:r w:rsidR="00BB0EB6" w:rsidRPr="00D74E21">
        <w:rPr>
          <w:rFonts w:ascii="Palatino Linotype" w:hAnsi="Palatino Linotype"/>
        </w:rPr>
        <w:t>12</w:t>
      </w:r>
      <w:r w:rsidRPr="00D74E21">
        <w:rPr>
          <w:rFonts w:ascii="Palatino Linotype" w:hAnsi="Palatino Linotype"/>
        </w:rPr>
        <w:t xml:space="preserve">1.  The other </w:t>
      </w:r>
      <w:r w:rsidR="004E79DF" w:rsidRPr="00D74E21">
        <w:rPr>
          <w:rFonts w:ascii="Palatino Linotype" w:hAnsi="Palatino Linotype"/>
        </w:rPr>
        <w:t xml:space="preserve">CPC </w:t>
      </w:r>
      <w:r w:rsidRPr="00D74E21">
        <w:rPr>
          <w:rFonts w:ascii="Palatino Linotype" w:hAnsi="Palatino Linotype"/>
        </w:rPr>
        <w:t xml:space="preserve">members receive an annual salary of $54,150.    </w:t>
      </w:r>
    </w:p>
    <w:p w:rsidR="00214328" w:rsidRPr="00D74E21" w:rsidRDefault="00214328" w:rsidP="00214328">
      <w:pPr>
        <w:snapToGrid w:val="0"/>
        <w:jc w:val="both"/>
        <w:rPr>
          <w:rFonts w:ascii="Palatino Linotype" w:hAnsi="Palatino Linotype"/>
        </w:rPr>
      </w:pPr>
    </w:p>
    <w:p w:rsidR="00214328" w:rsidRPr="00D74E21" w:rsidRDefault="00214328" w:rsidP="00214328">
      <w:pPr>
        <w:snapToGrid w:val="0"/>
        <w:jc w:val="both"/>
        <w:rPr>
          <w:rFonts w:ascii="Palatino Linotype" w:hAnsi="Palatino Linotype"/>
        </w:rPr>
      </w:pPr>
      <w:r w:rsidRPr="00D74E21">
        <w:rPr>
          <w:rFonts w:ascii="Palatino Linotype" w:hAnsi="Palatino Linotype"/>
        </w:rPr>
        <w:t>CPC is responsible for</w:t>
      </w:r>
      <w:r w:rsidR="00155CCD" w:rsidRPr="00D74E21">
        <w:rPr>
          <w:rFonts w:ascii="Palatino Linotype" w:hAnsi="Palatino Linotype"/>
        </w:rPr>
        <w:t xml:space="preserve"> the following</w:t>
      </w:r>
      <w:r w:rsidRPr="00D74E21">
        <w:rPr>
          <w:rFonts w:ascii="Palatino Linotype" w:hAnsi="Palatino Linotype"/>
        </w:rPr>
        <w:t>:</w:t>
      </w:r>
    </w:p>
    <w:p w:rsidR="00155CCD" w:rsidRPr="00D74E21" w:rsidRDefault="00282F54" w:rsidP="00155CCD">
      <w:pPr>
        <w:pStyle w:val="ListParagraph"/>
        <w:numPr>
          <w:ilvl w:val="0"/>
          <w:numId w:val="6"/>
        </w:numPr>
        <w:snapToGrid w:val="0"/>
        <w:jc w:val="both"/>
        <w:rPr>
          <w:rFonts w:ascii="Palatino Linotype" w:hAnsi="Palatino Linotype"/>
        </w:rPr>
      </w:pPr>
      <w:r w:rsidRPr="00D74E21">
        <w:rPr>
          <w:rFonts w:ascii="Palatino Linotype" w:hAnsi="Palatino Linotype"/>
        </w:rPr>
        <w:t>CPC must engage in planning focused on</w:t>
      </w:r>
      <w:r w:rsidR="00214328" w:rsidRPr="00D74E21">
        <w:rPr>
          <w:rFonts w:ascii="Palatino Linotype" w:hAnsi="Palatino Linotype"/>
        </w:rPr>
        <w:t xml:space="preserve"> the City’s orderly growth, improvement</w:t>
      </w:r>
      <w:r w:rsidR="00770ED7" w:rsidRPr="00D74E21">
        <w:rPr>
          <w:rFonts w:ascii="Palatino Linotype" w:hAnsi="Palatino Linotype"/>
        </w:rPr>
        <w:t>,</w:t>
      </w:r>
      <w:r w:rsidR="00214328" w:rsidRPr="00D74E21">
        <w:rPr>
          <w:rFonts w:ascii="Palatino Linotype" w:hAnsi="Palatino Linotype"/>
        </w:rPr>
        <w:t xml:space="preserve"> and future development,</w:t>
      </w:r>
      <w:r w:rsidRPr="00D74E21">
        <w:rPr>
          <w:rFonts w:ascii="Palatino Linotype" w:hAnsi="Palatino Linotype"/>
        </w:rPr>
        <w:t xml:space="preserve"> which includes consideration of </w:t>
      </w:r>
      <w:r w:rsidR="00214328" w:rsidRPr="00D74E21">
        <w:rPr>
          <w:rFonts w:ascii="Palatino Linotype" w:hAnsi="Palatino Linotype"/>
        </w:rPr>
        <w:t>appropriate resources for housing, business, industry, recreation</w:t>
      </w:r>
      <w:r w:rsidRPr="00D74E21">
        <w:rPr>
          <w:rFonts w:ascii="Palatino Linotype" w:hAnsi="Palatino Linotype"/>
        </w:rPr>
        <w:t>,</w:t>
      </w:r>
      <w:r w:rsidR="00214328" w:rsidRPr="00D74E21">
        <w:rPr>
          <w:rFonts w:ascii="Palatino Linotype" w:hAnsi="Palatino Linotype"/>
        </w:rPr>
        <w:t xml:space="preserve"> and culture</w:t>
      </w:r>
      <w:r w:rsidRPr="00D74E21">
        <w:rPr>
          <w:rFonts w:ascii="Palatino Linotype" w:hAnsi="Palatino Linotype"/>
        </w:rPr>
        <w:t>.</w:t>
      </w:r>
      <w:r w:rsidR="00214328" w:rsidRPr="00D74E21">
        <w:rPr>
          <w:rFonts w:ascii="Palatino Linotype" w:hAnsi="Palatino Linotype"/>
        </w:rPr>
        <w:t xml:space="preserve"> [</w:t>
      </w:r>
      <w:r w:rsidR="00214328" w:rsidRPr="00D74E21">
        <w:rPr>
          <w:rFonts w:ascii="Palatino Linotype" w:hAnsi="Palatino Linotype"/>
          <w:i/>
          <w:iCs/>
        </w:rPr>
        <w:t>Charter</w:t>
      </w:r>
      <w:r w:rsidR="00214328" w:rsidRPr="00D74E21">
        <w:rPr>
          <w:rFonts w:ascii="Palatino Linotype" w:hAnsi="Palatino Linotype"/>
        </w:rPr>
        <w:t xml:space="preserve"> §192(d)];</w:t>
      </w:r>
    </w:p>
    <w:p w:rsidR="00770ED7" w:rsidRPr="00D74E21" w:rsidRDefault="00770ED7" w:rsidP="00770ED7">
      <w:pPr>
        <w:pStyle w:val="ListParagraph"/>
        <w:snapToGrid w:val="0"/>
        <w:ind w:left="1440"/>
        <w:jc w:val="both"/>
        <w:rPr>
          <w:rFonts w:ascii="Palatino Linotype" w:hAnsi="Palatino Linotype"/>
        </w:rPr>
      </w:pPr>
    </w:p>
    <w:p w:rsidR="00155CCD" w:rsidRPr="00D74E21" w:rsidRDefault="00282F54" w:rsidP="00155CCD">
      <w:pPr>
        <w:pStyle w:val="ListParagraph"/>
        <w:numPr>
          <w:ilvl w:val="0"/>
          <w:numId w:val="6"/>
        </w:numPr>
        <w:snapToGrid w:val="0"/>
        <w:jc w:val="both"/>
        <w:rPr>
          <w:rFonts w:ascii="Palatino Linotype" w:hAnsi="Palatino Linotype"/>
        </w:rPr>
      </w:pPr>
      <w:r w:rsidRPr="00D74E21">
        <w:rPr>
          <w:rFonts w:ascii="Palatino Linotype" w:hAnsi="Palatino Linotype"/>
        </w:rPr>
        <w:t xml:space="preserve">CPC </w:t>
      </w:r>
      <w:r w:rsidR="00214328" w:rsidRPr="00D74E21">
        <w:rPr>
          <w:rFonts w:ascii="Palatino Linotype" w:hAnsi="Palatino Linotype"/>
        </w:rPr>
        <w:t>assist</w:t>
      </w:r>
      <w:r w:rsidRPr="00D74E21">
        <w:rPr>
          <w:rFonts w:ascii="Palatino Linotype" w:hAnsi="Palatino Linotype"/>
        </w:rPr>
        <w:t>s</w:t>
      </w:r>
      <w:r w:rsidR="00214328" w:rsidRPr="00D74E21">
        <w:rPr>
          <w:rFonts w:ascii="Palatino Linotype" w:hAnsi="Palatino Linotype"/>
        </w:rPr>
        <w:t xml:space="preserve"> the Mayor and other officials in developing the ten-year capital strategy, </w:t>
      </w:r>
      <w:r w:rsidR="00770ED7" w:rsidRPr="00D74E21">
        <w:rPr>
          <w:rFonts w:ascii="Palatino Linotype" w:hAnsi="Palatino Linotype"/>
        </w:rPr>
        <w:t>the four-year capital program</w:t>
      </w:r>
      <w:r w:rsidR="00C4497E" w:rsidRPr="00D74E21">
        <w:rPr>
          <w:rFonts w:ascii="Palatino Linotype" w:hAnsi="Palatino Linotype"/>
        </w:rPr>
        <w:t>,</w:t>
      </w:r>
      <w:r w:rsidR="00770ED7" w:rsidRPr="00D74E21">
        <w:rPr>
          <w:rFonts w:ascii="Palatino Linotype" w:hAnsi="Palatino Linotype"/>
        </w:rPr>
        <w:t xml:space="preserve"> as well as</w:t>
      </w:r>
      <w:r w:rsidR="00214328" w:rsidRPr="00D74E21">
        <w:rPr>
          <w:rFonts w:ascii="Palatino Linotype" w:hAnsi="Palatino Linotype"/>
        </w:rPr>
        <w:t xml:space="preserve"> the annual </w:t>
      </w:r>
      <w:r w:rsidR="00214328" w:rsidRPr="00D74E21">
        <w:rPr>
          <w:rFonts w:ascii="Palatino Linotype" w:hAnsi="Palatino Linotype"/>
          <w:i/>
          <w:iCs/>
        </w:rPr>
        <w:t>Statement of Needs</w:t>
      </w:r>
      <w:r w:rsidRPr="00D74E21">
        <w:rPr>
          <w:rFonts w:ascii="Palatino Linotype" w:hAnsi="Palatino Linotype"/>
          <w:i/>
          <w:iCs/>
        </w:rPr>
        <w:t>.</w:t>
      </w:r>
      <w:r w:rsidR="00214328" w:rsidRPr="00D74E21">
        <w:rPr>
          <w:rFonts w:ascii="Palatino Linotype" w:hAnsi="Palatino Linotype"/>
          <w:i/>
          <w:iCs/>
        </w:rPr>
        <w:t xml:space="preserve"> </w:t>
      </w:r>
      <w:r w:rsidR="00214328" w:rsidRPr="00D74E21">
        <w:rPr>
          <w:rFonts w:ascii="Palatino Linotype" w:hAnsi="Palatino Linotype"/>
        </w:rPr>
        <w:t>[</w:t>
      </w:r>
      <w:r w:rsidR="00214328" w:rsidRPr="00D74E21">
        <w:rPr>
          <w:rFonts w:ascii="Palatino Linotype" w:hAnsi="Palatino Linotype"/>
          <w:i/>
          <w:iCs/>
        </w:rPr>
        <w:t>Charter</w:t>
      </w:r>
      <w:r w:rsidR="00214328" w:rsidRPr="00D74E21">
        <w:rPr>
          <w:rFonts w:ascii="Palatino Linotype" w:hAnsi="Palatino Linotype"/>
        </w:rPr>
        <w:t xml:space="preserve"> §192(f)];  </w:t>
      </w:r>
    </w:p>
    <w:p w:rsidR="00770ED7" w:rsidRPr="00D74E21" w:rsidRDefault="00770ED7" w:rsidP="00770ED7">
      <w:pPr>
        <w:pStyle w:val="ListParagraph"/>
        <w:snapToGrid w:val="0"/>
        <w:ind w:left="1440"/>
        <w:jc w:val="both"/>
        <w:rPr>
          <w:rFonts w:ascii="Palatino Linotype" w:hAnsi="Palatino Linotype"/>
        </w:rPr>
      </w:pPr>
    </w:p>
    <w:p w:rsidR="00155CCD" w:rsidRPr="00D74E21" w:rsidRDefault="00282F54" w:rsidP="00155CCD">
      <w:pPr>
        <w:pStyle w:val="ListParagraph"/>
        <w:numPr>
          <w:ilvl w:val="0"/>
          <w:numId w:val="6"/>
        </w:numPr>
        <w:snapToGrid w:val="0"/>
        <w:jc w:val="both"/>
        <w:rPr>
          <w:rFonts w:ascii="Palatino Linotype" w:hAnsi="Palatino Linotype"/>
        </w:rPr>
      </w:pPr>
      <w:r w:rsidRPr="00D74E21">
        <w:rPr>
          <w:rFonts w:ascii="Palatino Linotype" w:hAnsi="Palatino Linotype"/>
        </w:rPr>
        <w:t xml:space="preserve">CPC </w:t>
      </w:r>
      <w:r w:rsidR="00214328" w:rsidRPr="00D74E21">
        <w:rPr>
          <w:rFonts w:ascii="Palatino Linotype" w:hAnsi="Palatino Linotype"/>
        </w:rPr>
        <w:t>oversee</w:t>
      </w:r>
      <w:r w:rsidRPr="00D74E21">
        <w:rPr>
          <w:rFonts w:ascii="Palatino Linotype" w:hAnsi="Palatino Linotype"/>
        </w:rPr>
        <w:t>s and coordinates</w:t>
      </w:r>
      <w:r w:rsidR="00214328" w:rsidRPr="00D74E21">
        <w:rPr>
          <w:rFonts w:ascii="Palatino Linotype" w:hAnsi="Palatino Linotype"/>
        </w:rPr>
        <w:t xml:space="preserve"> environmental reviews under the </w:t>
      </w:r>
      <w:r w:rsidR="00214328" w:rsidRPr="00D74E21">
        <w:rPr>
          <w:rFonts w:ascii="Palatino Linotype" w:hAnsi="Palatino Linotype"/>
          <w:i/>
          <w:iCs/>
        </w:rPr>
        <w:t>City Environmental Quality Review</w:t>
      </w:r>
      <w:r w:rsidR="00214328" w:rsidRPr="00D74E21">
        <w:rPr>
          <w:rFonts w:ascii="Palatino Linotype" w:hAnsi="Palatino Linotype"/>
        </w:rPr>
        <w:t xml:space="preserve"> (“CEQR”), as mandated by state law (</w:t>
      </w:r>
      <w:r w:rsidR="00214328" w:rsidRPr="00D74E21">
        <w:rPr>
          <w:rFonts w:ascii="Palatino Linotype" w:hAnsi="Palatino Linotype"/>
          <w:i/>
          <w:iCs/>
        </w:rPr>
        <w:t>Environmental Conservation Law</w:t>
      </w:r>
      <w:r w:rsidR="00214328" w:rsidRPr="00D74E21">
        <w:rPr>
          <w:rFonts w:ascii="Palatino Linotype" w:hAnsi="Palatino Linotype"/>
        </w:rPr>
        <w:t xml:space="preserve"> – Article 8)</w:t>
      </w:r>
      <w:r w:rsidRPr="00D74E21">
        <w:rPr>
          <w:rFonts w:ascii="Palatino Linotype" w:hAnsi="Palatino Linotype"/>
        </w:rPr>
        <w:t>.</w:t>
      </w:r>
      <w:r w:rsidR="00214328" w:rsidRPr="00D74E21">
        <w:rPr>
          <w:rFonts w:ascii="Palatino Linotype" w:hAnsi="Palatino Linotype"/>
        </w:rPr>
        <w:t xml:space="preserve"> [</w:t>
      </w:r>
      <w:r w:rsidR="00214328" w:rsidRPr="00D74E21">
        <w:rPr>
          <w:rFonts w:ascii="Palatino Linotype" w:hAnsi="Palatino Linotype"/>
          <w:i/>
          <w:iCs/>
        </w:rPr>
        <w:t>Charter</w:t>
      </w:r>
      <w:r w:rsidR="00214328" w:rsidRPr="00D74E21">
        <w:rPr>
          <w:rFonts w:ascii="Palatino Linotype" w:hAnsi="Palatino Linotype"/>
        </w:rPr>
        <w:t xml:space="preserve"> §192(e)];</w:t>
      </w:r>
    </w:p>
    <w:p w:rsidR="00770ED7" w:rsidRPr="00D74E21" w:rsidRDefault="00770ED7" w:rsidP="00770ED7">
      <w:pPr>
        <w:pStyle w:val="ListParagraph"/>
        <w:rPr>
          <w:rFonts w:ascii="Palatino Linotype" w:hAnsi="Palatino Linotype"/>
        </w:rPr>
      </w:pPr>
    </w:p>
    <w:p w:rsidR="00155CCD" w:rsidRPr="00D74E21" w:rsidRDefault="00E824CB" w:rsidP="00155CCD">
      <w:pPr>
        <w:pStyle w:val="ListParagraph"/>
        <w:numPr>
          <w:ilvl w:val="0"/>
          <w:numId w:val="6"/>
        </w:numPr>
        <w:snapToGrid w:val="0"/>
        <w:jc w:val="both"/>
        <w:rPr>
          <w:rFonts w:ascii="Palatino Linotype" w:hAnsi="Palatino Linotype"/>
        </w:rPr>
      </w:pPr>
      <w:r w:rsidRPr="00D74E21">
        <w:rPr>
          <w:rFonts w:ascii="Palatino Linotype" w:hAnsi="Palatino Linotype"/>
        </w:rPr>
        <w:t xml:space="preserve">Every four years, </w:t>
      </w:r>
      <w:r w:rsidR="00CA0AE2" w:rsidRPr="00D74E21">
        <w:rPr>
          <w:rFonts w:ascii="Palatino Linotype" w:hAnsi="Palatino Linotype"/>
        </w:rPr>
        <w:t xml:space="preserve">the </w:t>
      </w:r>
      <w:r w:rsidRPr="00D74E21">
        <w:rPr>
          <w:rFonts w:ascii="Palatino Linotype" w:hAnsi="Palatino Linotype"/>
        </w:rPr>
        <w:t>CPC must prepare and file with the Mayor, Council, Public Advocate, Borough President</w:t>
      </w:r>
      <w:r w:rsidR="00282F54" w:rsidRPr="00D74E21">
        <w:rPr>
          <w:rFonts w:ascii="Palatino Linotype" w:hAnsi="Palatino Linotype"/>
        </w:rPr>
        <w:t>s</w:t>
      </w:r>
      <w:r w:rsidRPr="00D74E21">
        <w:rPr>
          <w:rFonts w:ascii="Palatino Linotype" w:hAnsi="Palatino Linotype"/>
        </w:rPr>
        <w:t xml:space="preserve"> and Community Boards, a</w:t>
      </w:r>
      <w:r w:rsidR="00214328" w:rsidRPr="00D74E21">
        <w:rPr>
          <w:rFonts w:ascii="Palatino Linotype" w:hAnsi="Palatino Linotype"/>
        </w:rPr>
        <w:t xml:space="preserve"> zoning and planning report</w:t>
      </w:r>
      <w:r w:rsidRPr="00D74E21">
        <w:rPr>
          <w:rFonts w:ascii="Palatino Linotype" w:hAnsi="Palatino Linotype"/>
        </w:rPr>
        <w:t xml:space="preserve"> containing</w:t>
      </w:r>
      <w:r w:rsidR="00282F54" w:rsidRPr="00D74E21">
        <w:rPr>
          <w:rFonts w:ascii="Palatino Linotype" w:hAnsi="Palatino Linotype"/>
        </w:rPr>
        <w:t xml:space="preserve"> CPC’s Planning Policy, and in light of this policy</w:t>
      </w:r>
      <w:r w:rsidR="00214328" w:rsidRPr="00D74E21">
        <w:rPr>
          <w:rFonts w:ascii="Palatino Linotype" w:hAnsi="Palatino Linotype"/>
        </w:rPr>
        <w:t xml:space="preserve">, </w:t>
      </w:r>
      <w:r w:rsidR="00282F54" w:rsidRPr="00D74E21">
        <w:rPr>
          <w:rFonts w:ascii="Palatino Linotype" w:hAnsi="Palatino Linotype"/>
        </w:rPr>
        <w:t>provide a proposal for implementing the policy</w:t>
      </w:r>
      <w:r w:rsidR="00CA0AE2" w:rsidRPr="00D74E21">
        <w:rPr>
          <w:rFonts w:ascii="Palatino Linotype" w:hAnsi="Palatino Linotype"/>
        </w:rPr>
        <w:t>, along with any associated</w:t>
      </w:r>
      <w:r w:rsidR="00282F54" w:rsidRPr="00D74E21">
        <w:rPr>
          <w:rFonts w:ascii="Palatino Linotype" w:hAnsi="Palatino Linotype"/>
        </w:rPr>
        <w:t xml:space="preserve"> recommended amendments, if any, to the Zoning Resolution.  The report must also include the plans and studies CPC undertook or completed in the previous four years. </w:t>
      </w:r>
      <w:r w:rsidR="00214328" w:rsidRPr="00D74E21">
        <w:rPr>
          <w:rFonts w:ascii="Palatino Linotype" w:hAnsi="Palatino Linotype"/>
        </w:rPr>
        <w:t>[</w:t>
      </w:r>
      <w:r w:rsidR="00214328" w:rsidRPr="00D74E21">
        <w:rPr>
          <w:rFonts w:ascii="Palatino Linotype" w:hAnsi="Palatino Linotype"/>
          <w:i/>
          <w:iCs/>
        </w:rPr>
        <w:t>Charter</w:t>
      </w:r>
      <w:r w:rsidR="00214328" w:rsidRPr="00D74E21">
        <w:rPr>
          <w:rFonts w:ascii="Palatino Linotype" w:hAnsi="Palatino Linotype"/>
        </w:rPr>
        <w:t xml:space="preserve"> §192(f)]; and</w:t>
      </w:r>
    </w:p>
    <w:p w:rsidR="00770ED7" w:rsidRPr="00D74E21" w:rsidRDefault="00770ED7" w:rsidP="00770ED7">
      <w:pPr>
        <w:pStyle w:val="ListParagraph"/>
        <w:rPr>
          <w:rFonts w:ascii="Palatino Linotype" w:hAnsi="Palatino Linotype"/>
        </w:rPr>
      </w:pPr>
    </w:p>
    <w:p w:rsidR="00155CCD" w:rsidRPr="00D74E21" w:rsidRDefault="00282F54" w:rsidP="00155CCD">
      <w:pPr>
        <w:pStyle w:val="ListParagraph"/>
        <w:numPr>
          <w:ilvl w:val="0"/>
          <w:numId w:val="6"/>
        </w:numPr>
        <w:snapToGrid w:val="0"/>
        <w:jc w:val="both"/>
        <w:rPr>
          <w:rFonts w:ascii="Palatino Linotype" w:hAnsi="Palatino Linotype"/>
        </w:rPr>
      </w:pPr>
      <w:r w:rsidRPr="00D74E21">
        <w:rPr>
          <w:rFonts w:ascii="Palatino Linotype" w:hAnsi="Palatino Linotype"/>
        </w:rPr>
        <w:t xml:space="preserve">CPC must </w:t>
      </w:r>
      <w:r w:rsidR="00E824CB" w:rsidRPr="00D74E21">
        <w:rPr>
          <w:rFonts w:ascii="Palatino Linotype" w:hAnsi="Palatino Linotype"/>
        </w:rPr>
        <w:t>review</w:t>
      </w:r>
      <w:r w:rsidR="00CA0AE2" w:rsidRPr="00D74E21">
        <w:rPr>
          <w:rFonts w:ascii="Palatino Linotype" w:hAnsi="Palatino Linotype"/>
        </w:rPr>
        <w:t>,</w:t>
      </w:r>
      <w:r w:rsidR="00E824CB" w:rsidRPr="00D74E21">
        <w:rPr>
          <w:rFonts w:ascii="Palatino Linotype" w:hAnsi="Palatino Linotype"/>
        </w:rPr>
        <w:t xml:space="preserve"> and </w:t>
      </w:r>
      <w:r w:rsidR="00CA0AE2" w:rsidRPr="00D74E21">
        <w:rPr>
          <w:rFonts w:ascii="Palatino Linotype" w:hAnsi="Palatino Linotype"/>
        </w:rPr>
        <w:t xml:space="preserve">either approve </w:t>
      </w:r>
      <w:r w:rsidR="00214328" w:rsidRPr="00D74E21">
        <w:rPr>
          <w:rFonts w:ascii="Palatino Linotype" w:hAnsi="Palatino Linotype"/>
        </w:rPr>
        <w:t>or d</w:t>
      </w:r>
      <w:r w:rsidRPr="00D74E21">
        <w:rPr>
          <w:rFonts w:ascii="Palatino Linotype" w:hAnsi="Palatino Linotype"/>
        </w:rPr>
        <w:t>eny,</w:t>
      </w:r>
      <w:r w:rsidR="00214328" w:rsidRPr="00D74E21">
        <w:rPr>
          <w:rFonts w:ascii="Palatino Linotype" w:hAnsi="Palatino Linotype"/>
        </w:rPr>
        <w:t xml:space="preserve"> </w:t>
      </w:r>
      <w:r w:rsidRPr="00D74E21">
        <w:rPr>
          <w:rFonts w:ascii="Palatino Linotype" w:hAnsi="Palatino Linotype"/>
        </w:rPr>
        <w:t xml:space="preserve">any </w:t>
      </w:r>
      <w:r w:rsidR="006643DD" w:rsidRPr="00D74E21">
        <w:rPr>
          <w:rFonts w:ascii="Palatino Linotype" w:hAnsi="Palatino Linotype"/>
        </w:rPr>
        <w:t xml:space="preserve">City </w:t>
      </w:r>
      <w:r w:rsidRPr="00D74E21">
        <w:rPr>
          <w:rFonts w:ascii="Palatino Linotype" w:hAnsi="Palatino Linotype"/>
        </w:rPr>
        <w:t>proposal involving</w:t>
      </w:r>
      <w:r w:rsidR="00E824CB" w:rsidRPr="00D74E21">
        <w:rPr>
          <w:rFonts w:ascii="Palatino Linotype" w:hAnsi="Palatino Linotype"/>
        </w:rPr>
        <w:t xml:space="preserve"> the City’s </w:t>
      </w:r>
      <w:r w:rsidRPr="00D74E21">
        <w:rPr>
          <w:rFonts w:ascii="Palatino Linotype" w:hAnsi="Palatino Linotype"/>
        </w:rPr>
        <w:t>request</w:t>
      </w:r>
      <w:r w:rsidR="00CA0AE2" w:rsidRPr="00D74E21">
        <w:rPr>
          <w:rFonts w:ascii="Palatino Linotype" w:hAnsi="Palatino Linotype"/>
        </w:rPr>
        <w:t xml:space="preserve"> </w:t>
      </w:r>
      <w:r w:rsidR="006643DD" w:rsidRPr="00D74E21">
        <w:rPr>
          <w:rFonts w:ascii="Palatino Linotype" w:hAnsi="Palatino Linotype"/>
        </w:rPr>
        <w:t xml:space="preserve">to make acquisitions </w:t>
      </w:r>
      <w:r w:rsidR="00BF63B8" w:rsidRPr="00D74E21">
        <w:rPr>
          <w:rFonts w:ascii="Palatino Linotype" w:hAnsi="Palatino Linotype"/>
        </w:rPr>
        <w:t>f</w:t>
      </w:r>
      <w:r w:rsidR="00CA0AE2" w:rsidRPr="00D74E21">
        <w:rPr>
          <w:rFonts w:ascii="Palatino Linotype" w:hAnsi="Palatino Linotype"/>
        </w:rPr>
        <w:t>or</w:t>
      </w:r>
      <w:r w:rsidR="00BF63B8" w:rsidRPr="00D74E21">
        <w:rPr>
          <w:rFonts w:ascii="Palatino Linotype" w:hAnsi="Palatino Linotype"/>
        </w:rPr>
        <w:t xml:space="preserve"> office space</w:t>
      </w:r>
      <w:r w:rsidR="00CA0AE2" w:rsidRPr="00D74E21">
        <w:rPr>
          <w:rFonts w:ascii="Palatino Linotype" w:hAnsi="Palatino Linotype"/>
        </w:rPr>
        <w:t xml:space="preserve"> and</w:t>
      </w:r>
      <w:r w:rsidR="00516A6E" w:rsidRPr="00D74E21">
        <w:rPr>
          <w:rFonts w:ascii="Palatino Linotype" w:hAnsi="Palatino Linotype"/>
        </w:rPr>
        <w:t xml:space="preserve"> any</w:t>
      </w:r>
      <w:r w:rsidR="00CA0AE2" w:rsidRPr="00D74E21">
        <w:rPr>
          <w:rFonts w:ascii="Palatino Linotype" w:hAnsi="Palatino Linotype"/>
        </w:rPr>
        <w:t xml:space="preserve"> requests</w:t>
      </w:r>
      <w:r w:rsidR="00E824CB" w:rsidRPr="00D74E21">
        <w:rPr>
          <w:rFonts w:ascii="Palatino Linotype" w:hAnsi="Palatino Linotype"/>
        </w:rPr>
        <w:t xml:space="preserve"> </w:t>
      </w:r>
      <w:r w:rsidR="00CA0AE2" w:rsidRPr="00D74E21">
        <w:rPr>
          <w:rFonts w:ascii="Palatino Linotype" w:hAnsi="Palatino Linotype"/>
        </w:rPr>
        <w:t xml:space="preserve">for </w:t>
      </w:r>
      <w:r w:rsidR="00E824CB" w:rsidRPr="00D74E21">
        <w:rPr>
          <w:rFonts w:ascii="Palatino Linotype" w:hAnsi="Palatino Linotype"/>
        </w:rPr>
        <w:t>existing buildings for office use</w:t>
      </w:r>
      <w:r w:rsidR="00CA0AE2" w:rsidRPr="00D74E21">
        <w:rPr>
          <w:rFonts w:ascii="Palatino Linotype" w:hAnsi="Palatino Linotype"/>
        </w:rPr>
        <w:t>.</w:t>
      </w:r>
      <w:r w:rsidR="00214328" w:rsidRPr="00D74E21">
        <w:rPr>
          <w:rFonts w:ascii="Palatino Linotype" w:hAnsi="Palatino Linotype"/>
        </w:rPr>
        <w:t xml:space="preserve"> </w:t>
      </w:r>
      <w:r w:rsidR="00214328" w:rsidRPr="00D74E21">
        <w:rPr>
          <w:rFonts w:ascii="Palatino Linotype" w:hAnsi="Palatino Linotype"/>
          <w:iCs/>
        </w:rPr>
        <w:t>[</w:t>
      </w:r>
      <w:r w:rsidR="00214328" w:rsidRPr="00D74E21">
        <w:rPr>
          <w:rFonts w:ascii="Palatino Linotype" w:hAnsi="Palatino Linotype"/>
          <w:i/>
          <w:iCs/>
        </w:rPr>
        <w:t>Charter</w:t>
      </w:r>
      <w:r w:rsidR="00CA0AE2" w:rsidRPr="00D74E21">
        <w:rPr>
          <w:rFonts w:ascii="Palatino Linotype" w:hAnsi="Palatino Linotype"/>
        </w:rPr>
        <w:t xml:space="preserve"> §195]</w:t>
      </w:r>
    </w:p>
    <w:p w:rsidR="00155CCD" w:rsidRPr="00D74E21" w:rsidRDefault="00155CCD" w:rsidP="00155CCD">
      <w:pPr>
        <w:pStyle w:val="ListParagraph"/>
        <w:snapToGrid w:val="0"/>
        <w:ind w:left="1440"/>
        <w:jc w:val="both"/>
        <w:rPr>
          <w:rFonts w:ascii="Palatino Linotype" w:hAnsi="Palatino Linotype"/>
        </w:rPr>
      </w:pPr>
    </w:p>
    <w:p w:rsidR="00155CCD" w:rsidRPr="00D74E21" w:rsidRDefault="00155CCD" w:rsidP="008C5721">
      <w:pPr>
        <w:snapToGrid w:val="0"/>
        <w:jc w:val="both"/>
        <w:rPr>
          <w:rFonts w:ascii="Palatino Linotype" w:hAnsi="Palatino Linotype"/>
        </w:rPr>
      </w:pPr>
      <w:r w:rsidRPr="00D74E21">
        <w:rPr>
          <w:rFonts w:ascii="Palatino Linotype" w:hAnsi="Palatino Linotype"/>
        </w:rPr>
        <w:t xml:space="preserve">CPC </w:t>
      </w:r>
      <w:r w:rsidR="00160D71" w:rsidRPr="00D74E21">
        <w:rPr>
          <w:rFonts w:ascii="Palatino Linotype" w:hAnsi="Palatino Linotype"/>
        </w:rPr>
        <w:t>is also responsible for</w:t>
      </w:r>
      <w:r w:rsidRPr="00D74E21">
        <w:rPr>
          <w:rFonts w:ascii="Palatino Linotype" w:hAnsi="Palatino Linotype"/>
        </w:rPr>
        <w:t xml:space="preserve"> promulgat</w:t>
      </w:r>
      <w:r w:rsidR="00160D71" w:rsidRPr="00D74E21">
        <w:rPr>
          <w:rFonts w:ascii="Palatino Linotype" w:hAnsi="Palatino Linotype"/>
        </w:rPr>
        <w:t>ing</w:t>
      </w:r>
      <w:r w:rsidRPr="00D74E21">
        <w:rPr>
          <w:rFonts w:ascii="Palatino Linotype" w:hAnsi="Palatino Linotype"/>
        </w:rPr>
        <w:t xml:space="preserve"> </w:t>
      </w:r>
      <w:r w:rsidR="00160D71" w:rsidRPr="00D74E21">
        <w:rPr>
          <w:rFonts w:ascii="Palatino Linotype" w:hAnsi="Palatino Linotype"/>
        </w:rPr>
        <w:t xml:space="preserve">various </w:t>
      </w:r>
      <w:r w:rsidRPr="00D74E21">
        <w:rPr>
          <w:rFonts w:ascii="Palatino Linotype" w:hAnsi="Palatino Linotype"/>
        </w:rPr>
        <w:t>rules</w:t>
      </w:r>
      <w:r w:rsidR="004E79DF" w:rsidRPr="00D74E21">
        <w:rPr>
          <w:rFonts w:ascii="Palatino Linotype" w:hAnsi="Palatino Linotype"/>
        </w:rPr>
        <w:t xml:space="preserve">, </w:t>
      </w:r>
      <w:r w:rsidR="00160D71" w:rsidRPr="00D74E21">
        <w:rPr>
          <w:rFonts w:ascii="Palatino Linotype" w:hAnsi="Palatino Linotype"/>
        </w:rPr>
        <w:t xml:space="preserve">some of </w:t>
      </w:r>
      <w:r w:rsidR="004E79DF" w:rsidRPr="00D74E21">
        <w:rPr>
          <w:rFonts w:ascii="Palatino Linotype" w:hAnsi="Palatino Linotype"/>
        </w:rPr>
        <w:t>which consist</w:t>
      </w:r>
      <w:r w:rsidR="00160D71" w:rsidRPr="00D74E21">
        <w:rPr>
          <w:rFonts w:ascii="Palatino Linotype" w:hAnsi="Palatino Linotype"/>
        </w:rPr>
        <w:t>s</w:t>
      </w:r>
      <w:r w:rsidR="004E79DF" w:rsidRPr="00D74E21">
        <w:rPr>
          <w:rFonts w:ascii="Palatino Linotype" w:hAnsi="Palatino Linotype"/>
        </w:rPr>
        <w:t xml:space="preserve"> of the following</w:t>
      </w:r>
      <w:r w:rsidRPr="00D74E21">
        <w:rPr>
          <w:rFonts w:ascii="Palatino Linotype" w:hAnsi="Palatino Linotype"/>
        </w:rPr>
        <w:t>:</w:t>
      </w:r>
    </w:p>
    <w:p w:rsidR="00155CCD" w:rsidRPr="00D74E21" w:rsidRDefault="00282F54" w:rsidP="00155CCD">
      <w:pPr>
        <w:pStyle w:val="ListParagraph"/>
        <w:numPr>
          <w:ilvl w:val="0"/>
          <w:numId w:val="6"/>
        </w:numPr>
        <w:snapToGrid w:val="0"/>
        <w:jc w:val="both"/>
        <w:rPr>
          <w:rFonts w:ascii="Palatino Linotype" w:hAnsi="Palatino Linotype"/>
        </w:rPr>
      </w:pPr>
      <w:r w:rsidRPr="00D74E21">
        <w:rPr>
          <w:rFonts w:ascii="Palatino Linotype" w:hAnsi="Palatino Linotype"/>
        </w:rPr>
        <w:t xml:space="preserve">It is CPC’s responsibility to </w:t>
      </w:r>
      <w:r w:rsidR="00214328" w:rsidRPr="00D74E21">
        <w:rPr>
          <w:rFonts w:ascii="Palatino Linotype" w:hAnsi="Palatino Linotype"/>
        </w:rPr>
        <w:t>establish minimum standards for certifying</w:t>
      </w:r>
      <w:r w:rsidRPr="00D74E21">
        <w:rPr>
          <w:rFonts w:ascii="Palatino Linotype" w:hAnsi="Palatino Linotype"/>
        </w:rPr>
        <w:t xml:space="preserve"> the</w:t>
      </w:r>
      <w:r w:rsidR="00214328" w:rsidRPr="00D74E21">
        <w:rPr>
          <w:rFonts w:ascii="Palatino Linotype" w:hAnsi="Palatino Linotype"/>
        </w:rPr>
        <w:t xml:space="preserve"> </w:t>
      </w:r>
      <w:r w:rsidR="00214328" w:rsidRPr="00D74E21">
        <w:rPr>
          <w:rFonts w:ascii="Palatino Linotype" w:hAnsi="Palatino Linotype"/>
          <w:i/>
          <w:iCs/>
        </w:rPr>
        <w:t>Uniform Land Use and Review Procedure</w:t>
      </w:r>
      <w:r w:rsidR="00214328" w:rsidRPr="00D74E21">
        <w:rPr>
          <w:rFonts w:ascii="Palatino Linotype" w:hAnsi="Palatino Linotype"/>
        </w:rPr>
        <w:t xml:space="preserve"> (“</w:t>
      </w:r>
      <w:r w:rsidR="00214328" w:rsidRPr="00D74E21">
        <w:rPr>
          <w:rFonts w:ascii="Palatino Linotype" w:hAnsi="Palatino Linotype"/>
          <w:i/>
          <w:iCs/>
        </w:rPr>
        <w:t>ULURP</w:t>
      </w:r>
      <w:r w:rsidR="00214328" w:rsidRPr="00D74E21">
        <w:rPr>
          <w:rFonts w:ascii="Palatino Linotype" w:hAnsi="Palatino Linotype"/>
        </w:rPr>
        <w:t>”) applications</w:t>
      </w:r>
      <w:r w:rsidRPr="00D74E21">
        <w:rPr>
          <w:rFonts w:ascii="Palatino Linotype" w:hAnsi="Palatino Linotype"/>
        </w:rPr>
        <w:t>,</w:t>
      </w:r>
      <w:r w:rsidR="00214328" w:rsidRPr="00D74E21">
        <w:rPr>
          <w:rFonts w:ascii="Palatino Linotype" w:hAnsi="Palatino Linotype"/>
        </w:rPr>
        <w:t xml:space="preserve"> </w:t>
      </w:r>
      <w:r w:rsidR="00155CCD" w:rsidRPr="00D74E21">
        <w:rPr>
          <w:rFonts w:ascii="Palatino Linotype" w:hAnsi="Palatino Linotype"/>
        </w:rPr>
        <w:t xml:space="preserve">which includes providing </w:t>
      </w:r>
      <w:r w:rsidR="00815DB4" w:rsidRPr="00D74E21">
        <w:rPr>
          <w:rFonts w:ascii="Palatino Linotype" w:hAnsi="Palatino Linotype"/>
        </w:rPr>
        <w:t xml:space="preserve">specific time </w:t>
      </w:r>
      <w:r w:rsidR="00214328" w:rsidRPr="00D74E21">
        <w:rPr>
          <w:rFonts w:ascii="Palatino Linotype" w:hAnsi="Palatino Linotype"/>
        </w:rPr>
        <w:t>periods for pre-certification review</w:t>
      </w:r>
      <w:r w:rsidR="00155CCD" w:rsidRPr="00D74E21">
        <w:rPr>
          <w:rFonts w:ascii="Palatino Linotype" w:hAnsi="Palatino Linotype"/>
        </w:rPr>
        <w:t>.</w:t>
      </w:r>
      <w:r w:rsidR="00214328" w:rsidRPr="00D74E21">
        <w:rPr>
          <w:rFonts w:ascii="Palatino Linotype" w:hAnsi="Palatino Linotype"/>
        </w:rPr>
        <w:t xml:space="preserve"> </w:t>
      </w:r>
      <w:r w:rsidR="00214328" w:rsidRPr="00D74E21">
        <w:rPr>
          <w:rFonts w:ascii="Palatino Linotype" w:hAnsi="Palatino Linotype"/>
          <w:iCs/>
        </w:rPr>
        <w:t>[</w:t>
      </w:r>
      <w:r w:rsidR="00214328" w:rsidRPr="00D74E21">
        <w:rPr>
          <w:rFonts w:ascii="Palatino Linotype" w:hAnsi="Palatino Linotype"/>
          <w:i/>
          <w:iCs/>
        </w:rPr>
        <w:t>Charter</w:t>
      </w:r>
      <w:r w:rsidR="00214328" w:rsidRPr="00D74E21">
        <w:rPr>
          <w:rFonts w:ascii="Palatino Linotype" w:hAnsi="Palatino Linotype"/>
        </w:rPr>
        <w:t xml:space="preserve"> §197-c (i)];</w:t>
      </w:r>
    </w:p>
    <w:p w:rsidR="00B855AC" w:rsidRPr="00D74E21" w:rsidRDefault="00B855AC" w:rsidP="00B855AC">
      <w:pPr>
        <w:pStyle w:val="ListParagraph"/>
        <w:snapToGrid w:val="0"/>
        <w:ind w:left="1440"/>
        <w:jc w:val="both"/>
        <w:rPr>
          <w:rFonts w:ascii="Palatino Linotype" w:hAnsi="Palatino Linotype"/>
        </w:rPr>
      </w:pPr>
    </w:p>
    <w:p w:rsidR="00155CCD" w:rsidRPr="00D74E21" w:rsidRDefault="00155CCD" w:rsidP="00155CCD">
      <w:pPr>
        <w:pStyle w:val="ListParagraph"/>
        <w:numPr>
          <w:ilvl w:val="0"/>
          <w:numId w:val="6"/>
        </w:numPr>
        <w:snapToGrid w:val="0"/>
        <w:jc w:val="both"/>
        <w:rPr>
          <w:rFonts w:ascii="Palatino Linotype" w:hAnsi="Palatino Linotype"/>
        </w:rPr>
      </w:pPr>
      <w:r w:rsidRPr="00D74E21">
        <w:rPr>
          <w:rFonts w:ascii="Palatino Linotype" w:hAnsi="Palatino Linotype"/>
        </w:rPr>
        <w:t xml:space="preserve">The criteria associated with the selection of sites for capital projects is also established by CPC. </w:t>
      </w:r>
      <w:r w:rsidR="00214328" w:rsidRPr="00D74E21">
        <w:rPr>
          <w:rFonts w:ascii="Palatino Linotype" w:hAnsi="Palatino Linotype"/>
          <w:iCs/>
        </w:rPr>
        <w:t>[</w:t>
      </w:r>
      <w:r w:rsidR="00214328" w:rsidRPr="00D74E21">
        <w:rPr>
          <w:rFonts w:ascii="Palatino Linotype" w:hAnsi="Palatino Linotype"/>
          <w:i/>
          <w:iCs/>
        </w:rPr>
        <w:t>Charter</w:t>
      </w:r>
      <w:r w:rsidR="00214328" w:rsidRPr="00D74E21">
        <w:rPr>
          <w:rFonts w:ascii="Palatino Linotype" w:hAnsi="Palatino Linotype"/>
        </w:rPr>
        <w:t xml:space="preserve"> §218 (a)];</w:t>
      </w:r>
    </w:p>
    <w:p w:rsidR="00B855AC" w:rsidRPr="00D74E21" w:rsidRDefault="00B855AC" w:rsidP="00B855AC">
      <w:pPr>
        <w:pStyle w:val="ListParagraph"/>
        <w:snapToGrid w:val="0"/>
        <w:ind w:left="1440"/>
        <w:jc w:val="both"/>
        <w:rPr>
          <w:rFonts w:ascii="Palatino Linotype" w:hAnsi="Palatino Linotype"/>
        </w:rPr>
      </w:pPr>
    </w:p>
    <w:p w:rsidR="00155CCD" w:rsidRPr="00D74E21" w:rsidRDefault="00155CCD" w:rsidP="00155CCD">
      <w:pPr>
        <w:pStyle w:val="ListParagraph"/>
        <w:numPr>
          <w:ilvl w:val="0"/>
          <w:numId w:val="6"/>
        </w:numPr>
        <w:snapToGrid w:val="0"/>
        <w:jc w:val="both"/>
        <w:rPr>
          <w:rFonts w:ascii="Palatino Linotype" w:hAnsi="Palatino Linotype"/>
        </w:rPr>
      </w:pPr>
      <w:r w:rsidRPr="00D74E21">
        <w:rPr>
          <w:rFonts w:ascii="Palatino Linotype" w:hAnsi="Palatino Linotype"/>
        </w:rPr>
        <w:t xml:space="preserve">CPC establishes the </w:t>
      </w:r>
      <w:r w:rsidR="00214328" w:rsidRPr="00D74E21">
        <w:rPr>
          <w:rFonts w:ascii="Palatino Linotype" w:hAnsi="Palatino Linotype"/>
        </w:rPr>
        <w:t>minimum standards for the form and content of plans for the development of the City and boroughs</w:t>
      </w:r>
      <w:r w:rsidRPr="00D74E21">
        <w:rPr>
          <w:rFonts w:ascii="Palatino Linotype" w:hAnsi="Palatino Linotype"/>
        </w:rPr>
        <w:t>.</w:t>
      </w:r>
      <w:r w:rsidR="00214328" w:rsidRPr="00D74E21">
        <w:rPr>
          <w:rFonts w:ascii="Palatino Linotype" w:hAnsi="Palatino Linotype"/>
        </w:rPr>
        <w:t xml:space="preserve"> </w:t>
      </w:r>
      <w:r w:rsidR="00214328" w:rsidRPr="00D74E21">
        <w:rPr>
          <w:rFonts w:ascii="Palatino Linotype" w:hAnsi="Palatino Linotype"/>
          <w:iCs/>
        </w:rPr>
        <w:t>[</w:t>
      </w:r>
      <w:r w:rsidR="00214328" w:rsidRPr="00D74E21">
        <w:rPr>
          <w:rFonts w:ascii="Palatino Linotype" w:hAnsi="Palatino Linotype"/>
          <w:i/>
          <w:iCs/>
        </w:rPr>
        <w:t>Charter</w:t>
      </w:r>
      <w:r w:rsidR="00214328" w:rsidRPr="00D74E21">
        <w:rPr>
          <w:rFonts w:ascii="Palatino Linotype" w:hAnsi="Palatino Linotype"/>
        </w:rPr>
        <w:t xml:space="preserve"> §197-a (b)]; and</w:t>
      </w:r>
    </w:p>
    <w:p w:rsidR="00B855AC" w:rsidRPr="00D74E21" w:rsidRDefault="00B855AC" w:rsidP="00B855AC">
      <w:pPr>
        <w:pStyle w:val="ListParagraph"/>
        <w:snapToGrid w:val="0"/>
        <w:ind w:left="1440"/>
        <w:jc w:val="both"/>
        <w:rPr>
          <w:rFonts w:ascii="Palatino Linotype" w:hAnsi="Palatino Linotype"/>
        </w:rPr>
      </w:pPr>
    </w:p>
    <w:p w:rsidR="00214328" w:rsidRPr="00D74E21" w:rsidRDefault="00155CCD" w:rsidP="00155CCD">
      <w:pPr>
        <w:pStyle w:val="ListParagraph"/>
        <w:numPr>
          <w:ilvl w:val="0"/>
          <w:numId w:val="6"/>
        </w:numPr>
        <w:snapToGrid w:val="0"/>
        <w:jc w:val="both"/>
        <w:rPr>
          <w:rFonts w:ascii="Palatino Linotype" w:hAnsi="Palatino Linotype"/>
        </w:rPr>
      </w:pPr>
      <w:r w:rsidRPr="00D74E21">
        <w:rPr>
          <w:rFonts w:ascii="Palatino Linotype" w:hAnsi="Palatino Linotype"/>
        </w:rPr>
        <w:t xml:space="preserve">CPC also adopts rules that either list major concessions or establishes a procedure for determining whether a concession is defined as a </w:t>
      </w:r>
      <w:r w:rsidRPr="00D74E21">
        <w:rPr>
          <w:rFonts w:ascii="Palatino Linotype" w:hAnsi="Palatino Linotype"/>
          <w:i/>
        </w:rPr>
        <w:t xml:space="preserve">major concession, </w:t>
      </w:r>
      <w:r w:rsidRPr="00D74E21">
        <w:rPr>
          <w:rFonts w:ascii="Palatino Linotype" w:hAnsi="Palatino Linotype"/>
        </w:rPr>
        <w:t xml:space="preserve">as it relates to </w:t>
      </w:r>
      <w:r w:rsidR="00CA0AE2" w:rsidRPr="00D74E21">
        <w:rPr>
          <w:rFonts w:ascii="Palatino Linotype" w:hAnsi="Palatino Linotype"/>
        </w:rPr>
        <w:t xml:space="preserve">the act of </w:t>
      </w:r>
      <w:r w:rsidRPr="00D74E21">
        <w:rPr>
          <w:rFonts w:ascii="Palatino Linotype" w:hAnsi="Palatino Linotype"/>
        </w:rPr>
        <w:t>City Agencies granting concessions.</w:t>
      </w:r>
      <w:r w:rsidR="00214328" w:rsidRPr="00D74E21">
        <w:rPr>
          <w:rFonts w:ascii="Palatino Linotype" w:hAnsi="Palatino Linotype"/>
        </w:rPr>
        <w:t xml:space="preserve"> </w:t>
      </w:r>
      <w:r w:rsidR="00214328" w:rsidRPr="00D74E21">
        <w:rPr>
          <w:rFonts w:ascii="Palatino Linotype" w:hAnsi="Palatino Linotype"/>
          <w:iCs/>
        </w:rPr>
        <w:t>[</w:t>
      </w:r>
      <w:r w:rsidR="00214328" w:rsidRPr="00D74E21">
        <w:rPr>
          <w:rFonts w:ascii="Palatino Linotype" w:hAnsi="Palatino Linotype"/>
          <w:i/>
          <w:iCs/>
        </w:rPr>
        <w:t>Charter</w:t>
      </w:r>
      <w:r w:rsidR="00214328" w:rsidRPr="00D74E21">
        <w:rPr>
          <w:rFonts w:ascii="Palatino Linotype" w:hAnsi="Palatino Linotype"/>
        </w:rPr>
        <w:t xml:space="preserve"> §374 (b)].  </w:t>
      </w:r>
    </w:p>
    <w:p w:rsidR="00214328" w:rsidRPr="00D74E21" w:rsidRDefault="00214328" w:rsidP="00214328">
      <w:pPr>
        <w:snapToGrid w:val="0"/>
        <w:ind w:firstLine="720"/>
        <w:jc w:val="both"/>
        <w:rPr>
          <w:rFonts w:ascii="Palatino Linotype" w:hAnsi="Palatino Linotype"/>
        </w:rPr>
      </w:pPr>
    </w:p>
    <w:p w:rsidR="00976D30" w:rsidRPr="00D74E21" w:rsidRDefault="00AB1805" w:rsidP="00252D15">
      <w:pPr>
        <w:pStyle w:val="BodyText"/>
        <w:ind w:firstLine="720"/>
        <w:rPr>
          <w:rFonts w:ascii="Palatino Linotype" w:hAnsi="Palatino Linotype"/>
          <w:sz w:val="24"/>
          <w:szCs w:val="24"/>
        </w:rPr>
      </w:pPr>
      <w:r w:rsidRPr="00D74E21">
        <w:rPr>
          <w:rFonts w:ascii="Palatino Linotype" w:hAnsi="Palatino Linotype"/>
          <w:sz w:val="24"/>
          <w:szCs w:val="24"/>
        </w:rPr>
        <w:t xml:space="preserve">If </w:t>
      </w:r>
      <w:r w:rsidR="00252D15" w:rsidRPr="00D74E21">
        <w:rPr>
          <w:rFonts w:ascii="Palatino Linotype" w:hAnsi="Palatino Linotype"/>
          <w:sz w:val="24"/>
          <w:szCs w:val="24"/>
        </w:rPr>
        <w:t>re-</w:t>
      </w:r>
      <w:r w:rsidR="00976D30" w:rsidRPr="00D74E21">
        <w:rPr>
          <w:rFonts w:ascii="Palatino Linotype" w:hAnsi="Palatino Linotype"/>
          <w:sz w:val="24"/>
          <w:szCs w:val="24"/>
        </w:rPr>
        <w:t>appointed to the CPC</w:t>
      </w:r>
      <w:r w:rsidR="00214328" w:rsidRPr="00D74E21">
        <w:rPr>
          <w:rFonts w:ascii="Palatino Linotype" w:hAnsi="Palatino Linotype"/>
          <w:sz w:val="24"/>
          <w:szCs w:val="24"/>
        </w:rPr>
        <w:t xml:space="preserve">, </w:t>
      </w:r>
      <w:r w:rsidR="006F2BE4" w:rsidRPr="00D74E21">
        <w:rPr>
          <w:rFonts w:ascii="Palatino Linotype" w:hAnsi="Palatino Linotype"/>
          <w:sz w:val="24"/>
          <w:szCs w:val="24"/>
        </w:rPr>
        <w:t>M</w:t>
      </w:r>
      <w:r w:rsidR="00923C63" w:rsidRPr="00D74E21">
        <w:rPr>
          <w:rFonts w:ascii="Palatino Linotype" w:hAnsi="Palatino Linotype"/>
          <w:sz w:val="24"/>
          <w:szCs w:val="24"/>
        </w:rPr>
        <w:t>r</w:t>
      </w:r>
      <w:r w:rsidR="006F2BE4" w:rsidRPr="00D74E21">
        <w:rPr>
          <w:rFonts w:ascii="Palatino Linotype" w:hAnsi="Palatino Linotype"/>
          <w:sz w:val="24"/>
          <w:szCs w:val="24"/>
        </w:rPr>
        <w:t>.</w:t>
      </w:r>
      <w:r w:rsidR="002337CA" w:rsidRPr="00D74E21">
        <w:rPr>
          <w:rFonts w:ascii="Palatino Linotype" w:hAnsi="Palatino Linotype"/>
          <w:sz w:val="24"/>
          <w:szCs w:val="24"/>
        </w:rPr>
        <w:t xml:space="preserve"> </w:t>
      </w:r>
      <w:r w:rsidR="00252D15" w:rsidRPr="00D74E21">
        <w:rPr>
          <w:rFonts w:ascii="Palatino Linotype" w:hAnsi="Palatino Linotype"/>
          <w:sz w:val="24"/>
          <w:szCs w:val="24"/>
        </w:rPr>
        <w:t>Knuckles</w:t>
      </w:r>
      <w:r w:rsidR="00923C63" w:rsidRPr="00D74E21">
        <w:rPr>
          <w:rFonts w:ascii="Palatino Linotype" w:hAnsi="Palatino Linotype"/>
          <w:sz w:val="24"/>
          <w:szCs w:val="24"/>
        </w:rPr>
        <w:t>, a</w:t>
      </w:r>
      <w:r w:rsidR="00214328" w:rsidRPr="00D74E21">
        <w:rPr>
          <w:rFonts w:ascii="Palatino Linotype" w:hAnsi="Palatino Linotype"/>
          <w:sz w:val="24"/>
          <w:szCs w:val="24"/>
        </w:rPr>
        <w:t xml:space="preserve"> resident of </w:t>
      </w:r>
      <w:r w:rsidR="00252D15" w:rsidRPr="00D74E21">
        <w:rPr>
          <w:rFonts w:ascii="Palatino Linotype" w:hAnsi="Palatino Linotype"/>
          <w:sz w:val="24"/>
          <w:szCs w:val="24"/>
        </w:rPr>
        <w:t>the Bronx</w:t>
      </w:r>
      <w:r w:rsidR="00214328" w:rsidRPr="00D74E21">
        <w:rPr>
          <w:rFonts w:ascii="Palatino Linotype" w:hAnsi="Palatino Linotype"/>
          <w:sz w:val="24"/>
          <w:szCs w:val="24"/>
        </w:rPr>
        <w:t xml:space="preserve">, </w:t>
      </w:r>
      <w:r w:rsidR="008E5A05" w:rsidRPr="00D74E21">
        <w:rPr>
          <w:rFonts w:ascii="Palatino Linotype" w:hAnsi="Palatino Linotype"/>
          <w:sz w:val="24"/>
          <w:szCs w:val="24"/>
        </w:rPr>
        <w:t xml:space="preserve">will </w:t>
      </w:r>
      <w:r w:rsidR="00214328" w:rsidRPr="00D74E21">
        <w:rPr>
          <w:rFonts w:ascii="Palatino Linotype" w:hAnsi="Palatino Linotype"/>
          <w:sz w:val="24"/>
          <w:szCs w:val="24"/>
        </w:rPr>
        <w:t>serve the remainder of five-year term</w:t>
      </w:r>
      <w:r w:rsidR="009D5AF2" w:rsidRPr="00D74E21">
        <w:rPr>
          <w:rFonts w:ascii="Palatino Linotype" w:hAnsi="Palatino Linotype"/>
          <w:sz w:val="24"/>
          <w:szCs w:val="24"/>
        </w:rPr>
        <w:t>,</w:t>
      </w:r>
      <w:r w:rsidR="00214328" w:rsidRPr="00D74E21">
        <w:rPr>
          <w:rFonts w:ascii="Palatino Linotype" w:hAnsi="Palatino Linotype"/>
          <w:sz w:val="24"/>
          <w:szCs w:val="24"/>
        </w:rPr>
        <w:t xml:space="preserve"> expir</w:t>
      </w:r>
      <w:r w:rsidR="009D5AF2" w:rsidRPr="00D74E21">
        <w:rPr>
          <w:rFonts w:ascii="Palatino Linotype" w:hAnsi="Palatino Linotype"/>
          <w:sz w:val="24"/>
          <w:szCs w:val="24"/>
        </w:rPr>
        <w:t>ing</w:t>
      </w:r>
      <w:r w:rsidR="00214328" w:rsidRPr="00D74E21">
        <w:rPr>
          <w:rFonts w:ascii="Palatino Linotype" w:hAnsi="Palatino Linotype"/>
          <w:sz w:val="24"/>
          <w:szCs w:val="24"/>
        </w:rPr>
        <w:t xml:space="preserve"> on </w:t>
      </w:r>
      <w:r w:rsidR="00C3508B" w:rsidRPr="00D74E21">
        <w:rPr>
          <w:rFonts w:ascii="Palatino Linotype" w:hAnsi="Palatino Linotype"/>
          <w:sz w:val="24"/>
          <w:szCs w:val="24"/>
        </w:rPr>
        <w:t xml:space="preserve">June 30, </w:t>
      </w:r>
      <w:r w:rsidR="008E5A05" w:rsidRPr="00D74E21">
        <w:rPr>
          <w:rFonts w:ascii="Palatino Linotype" w:hAnsi="Palatino Linotype"/>
          <w:sz w:val="24"/>
          <w:szCs w:val="24"/>
        </w:rPr>
        <w:t>20</w:t>
      </w:r>
      <w:r w:rsidR="00252D15" w:rsidRPr="00D74E21">
        <w:rPr>
          <w:rFonts w:ascii="Palatino Linotype" w:hAnsi="Palatino Linotype"/>
          <w:sz w:val="24"/>
          <w:szCs w:val="24"/>
        </w:rPr>
        <w:t>20</w:t>
      </w:r>
      <w:r w:rsidR="008E5A05" w:rsidRPr="00D74E21">
        <w:rPr>
          <w:rFonts w:ascii="Palatino Linotype" w:hAnsi="Palatino Linotype"/>
          <w:sz w:val="24"/>
          <w:szCs w:val="24"/>
        </w:rPr>
        <w:t>.</w:t>
      </w:r>
      <w:r w:rsidR="00976D30" w:rsidRPr="00D74E21">
        <w:rPr>
          <w:rFonts w:ascii="Palatino Linotype" w:hAnsi="Palatino Linotype"/>
          <w:sz w:val="24"/>
          <w:szCs w:val="24"/>
        </w:rPr>
        <w:t xml:space="preserve"> </w:t>
      </w:r>
      <w:r w:rsidR="00174868" w:rsidRPr="00D74E21">
        <w:rPr>
          <w:rFonts w:ascii="Palatino Linotype" w:hAnsi="Palatino Linotype"/>
          <w:sz w:val="24"/>
          <w:szCs w:val="24"/>
        </w:rPr>
        <w:t xml:space="preserve">A copy of the candidate’s résumé </w:t>
      </w:r>
      <w:r w:rsidR="005E69B9" w:rsidRPr="00D74E21">
        <w:rPr>
          <w:rFonts w:ascii="Palatino Linotype" w:hAnsi="Palatino Linotype"/>
          <w:sz w:val="24"/>
          <w:szCs w:val="24"/>
        </w:rPr>
        <w:t xml:space="preserve">as well as the related associated message </w:t>
      </w:r>
      <w:r w:rsidR="00174868" w:rsidRPr="00D74E21">
        <w:rPr>
          <w:rFonts w:ascii="Palatino Linotype" w:hAnsi="Palatino Linotype"/>
          <w:sz w:val="24"/>
          <w:szCs w:val="24"/>
        </w:rPr>
        <w:t>is attached to this briefing paper.</w:t>
      </w:r>
    </w:p>
    <w:p w:rsidR="00331966" w:rsidRPr="00D74E21" w:rsidRDefault="00331966" w:rsidP="005E69B9">
      <w:pPr>
        <w:pStyle w:val="BodyText"/>
        <w:rPr>
          <w:rFonts w:ascii="Palatino Linotype" w:hAnsi="Palatino Linotype"/>
          <w:sz w:val="24"/>
          <w:szCs w:val="24"/>
        </w:rPr>
      </w:pPr>
    </w:p>
    <w:p w:rsidR="00331966" w:rsidRPr="00D74E21" w:rsidRDefault="00331966" w:rsidP="00331966">
      <w:pPr>
        <w:jc w:val="both"/>
        <w:rPr>
          <w:rFonts w:ascii="Palatino Linotype" w:hAnsi="Palatino Linotype"/>
          <w:b/>
          <w:snapToGrid/>
          <w:szCs w:val="24"/>
        </w:rPr>
      </w:pPr>
      <w:r w:rsidRPr="00D74E21">
        <w:rPr>
          <w:rFonts w:ascii="Palatino Linotype" w:hAnsi="Palatino Linotype"/>
          <w:b/>
          <w:bCs/>
          <w:i/>
          <w:iCs/>
          <w:szCs w:val="24"/>
          <w:u w:val="single"/>
        </w:rPr>
        <w:t>Topic II</w:t>
      </w:r>
      <w:r w:rsidRPr="00D74E21">
        <w:rPr>
          <w:rFonts w:ascii="Palatino Linotype" w:hAnsi="Palatino Linotype"/>
          <w:b/>
          <w:bCs/>
          <w:i/>
          <w:iCs/>
          <w:szCs w:val="24"/>
        </w:rPr>
        <w:t>: New York City Tax Commission – (Candidate</w:t>
      </w:r>
      <w:r w:rsidR="00252D15" w:rsidRPr="00D74E21">
        <w:rPr>
          <w:rFonts w:ascii="Palatino Linotype" w:hAnsi="Palatino Linotype"/>
          <w:b/>
          <w:bCs/>
          <w:i/>
          <w:iCs/>
          <w:szCs w:val="24"/>
        </w:rPr>
        <w:t>s</w:t>
      </w:r>
      <w:r w:rsidRPr="00D74E21">
        <w:rPr>
          <w:rFonts w:ascii="Palatino Linotype" w:hAnsi="Palatino Linotype"/>
          <w:b/>
          <w:bCs/>
          <w:i/>
          <w:iCs/>
          <w:szCs w:val="24"/>
        </w:rPr>
        <w:t xml:space="preserve"> for appointment by the Mayor upon advice and consent of the Council)</w:t>
      </w:r>
    </w:p>
    <w:p w:rsidR="00331966" w:rsidRPr="00D74E21" w:rsidRDefault="00331966" w:rsidP="00331966">
      <w:pPr>
        <w:jc w:val="both"/>
        <w:rPr>
          <w:rFonts w:ascii="Palatino Linotype" w:hAnsi="Palatino Linotype"/>
          <w:b/>
          <w:bCs/>
          <w:szCs w:val="24"/>
        </w:rPr>
      </w:pPr>
    </w:p>
    <w:p w:rsidR="00252D15" w:rsidRPr="00D74E21" w:rsidRDefault="00252D15" w:rsidP="00252D15">
      <w:pPr>
        <w:widowControl/>
        <w:numPr>
          <w:ilvl w:val="0"/>
          <w:numId w:val="10"/>
        </w:numPr>
        <w:snapToGrid w:val="0"/>
        <w:rPr>
          <w:rFonts w:ascii="Palatino Linotype" w:hAnsi="Palatino Linotype"/>
          <w:b/>
          <w:bCs/>
        </w:rPr>
      </w:pPr>
      <w:r w:rsidRPr="00D74E21">
        <w:rPr>
          <w:rFonts w:ascii="Palatino Linotype" w:hAnsi="Palatino Linotype"/>
          <w:b/>
        </w:rPr>
        <w:t>Francis Henn</w:t>
      </w:r>
      <w:r w:rsidRPr="00D74E21">
        <w:rPr>
          <w:rFonts w:ascii="Palatino Linotype" w:hAnsi="Palatino Linotype"/>
        </w:rPr>
        <w:t xml:space="preserve"> </w:t>
      </w:r>
      <w:r w:rsidRPr="00D74E21">
        <w:rPr>
          <w:rFonts w:ascii="Palatino Linotype" w:hAnsi="Palatino Linotype"/>
          <w:b/>
          <w:bCs/>
        </w:rPr>
        <w:t>[M-198]</w:t>
      </w:r>
    </w:p>
    <w:p w:rsidR="00331966" w:rsidRPr="00D74E21" w:rsidRDefault="00252D15" w:rsidP="00252D15">
      <w:pPr>
        <w:widowControl/>
        <w:numPr>
          <w:ilvl w:val="0"/>
          <w:numId w:val="10"/>
        </w:numPr>
        <w:snapToGrid w:val="0"/>
        <w:rPr>
          <w:rFonts w:ascii="Palatino Linotype" w:hAnsi="Palatino Linotype"/>
          <w:b/>
          <w:bCs/>
        </w:rPr>
      </w:pPr>
      <w:r w:rsidRPr="00D74E21">
        <w:rPr>
          <w:rFonts w:ascii="Palatino Linotype" w:hAnsi="Palatino Linotype"/>
          <w:b/>
          <w:bCs/>
        </w:rPr>
        <w:t>Thomas V. Nichols [M-197]</w:t>
      </w:r>
    </w:p>
    <w:p w:rsidR="00331966" w:rsidRPr="00D74E21" w:rsidRDefault="00331966" w:rsidP="00331966">
      <w:pPr>
        <w:jc w:val="both"/>
        <w:rPr>
          <w:rFonts w:ascii="Palatino Linotype" w:hAnsi="Palatino Linotype"/>
          <w:szCs w:val="24"/>
        </w:rPr>
      </w:pPr>
      <w:r w:rsidRPr="00D74E21">
        <w:rPr>
          <w:rFonts w:ascii="Palatino Linotype" w:hAnsi="Palatino Linotype"/>
          <w:szCs w:val="24"/>
        </w:rPr>
        <w:tab/>
      </w:r>
    </w:p>
    <w:p w:rsidR="00331966" w:rsidRPr="00D74E21" w:rsidRDefault="00331966" w:rsidP="00331966">
      <w:pPr>
        <w:ind w:firstLine="360"/>
        <w:jc w:val="both"/>
        <w:rPr>
          <w:rFonts w:ascii="Palatino Linotype" w:hAnsi="Palatino Linotype"/>
          <w:szCs w:val="24"/>
        </w:rPr>
      </w:pPr>
      <w:r w:rsidRPr="00D74E21">
        <w:rPr>
          <w:rFonts w:ascii="Palatino Linotype" w:hAnsi="Palatino Linotype"/>
          <w:szCs w:val="24"/>
        </w:rPr>
        <w:t xml:space="preserve">The Tax Commission (the “Commission”) is charged with the duty of reviewing and correcting all assessments of real property within the City of New York that are set by the New York City Department of Finance.  </w:t>
      </w:r>
      <w:r w:rsidRPr="00D74E21">
        <w:rPr>
          <w:rFonts w:ascii="Palatino Linotype" w:hAnsi="Palatino Linotype"/>
          <w:i/>
          <w:iCs/>
          <w:szCs w:val="24"/>
        </w:rPr>
        <w:t xml:space="preserve">New York City Charter </w:t>
      </w:r>
      <w:r w:rsidRPr="00D74E21">
        <w:rPr>
          <w:rFonts w:ascii="Palatino Linotype" w:hAnsi="Palatino Linotype"/>
          <w:szCs w:val="24"/>
        </w:rPr>
        <w:t>(“Charter”)</w:t>
      </w:r>
      <w:r w:rsidRPr="00D74E21">
        <w:rPr>
          <w:rFonts w:ascii="Palatino Linotype" w:hAnsi="Palatino Linotype"/>
          <w:i/>
          <w:iCs/>
          <w:szCs w:val="24"/>
        </w:rPr>
        <w:t xml:space="preserve"> </w:t>
      </w:r>
      <w:r w:rsidRPr="00D74E21">
        <w:rPr>
          <w:rFonts w:ascii="Palatino Linotype" w:hAnsi="Palatino Linotype"/>
          <w:szCs w:val="24"/>
        </w:rPr>
        <w:t>§ 153 (b).  Any Commissioner shall exercise such other powers and duties as the President may from time to time assign.  [</w:t>
      </w:r>
      <w:r w:rsidRPr="00D74E21">
        <w:rPr>
          <w:rFonts w:ascii="Palatino Linotype" w:hAnsi="Palatino Linotype"/>
          <w:i/>
          <w:iCs/>
          <w:szCs w:val="24"/>
        </w:rPr>
        <w:t>Charter</w:t>
      </w:r>
      <w:r w:rsidRPr="00D74E21">
        <w:rPr>
          <w:rFonts w:ascii="Palatino Linotype" w:hAnsi="Palatino Linotype"/>
          <w:szCs w:val="24"/>
        </w:rPr>
        <w:t xml:space="preserve"> § 154.]</w:t>
      </w:r>
    </w:p>
    <w:p w:rsidR="00331966" w:rsidRPr="00D74E21" w:rsidRDefault="00331966" w:rsidP="00331966">
      <w:pPr>
        <w:jc w:val="both"/>
        <w:rPr>
          <w:rFonts w:ascii="Palatino Linotype" w:hAnsi="Palatino Linotype"/>
          <w:szCs w:val="24"/>
        </w:rPr>
      </w:pPr>
    </w:p>
    <w:p w:rsidR="00331966" w:rsidRPr="00D74E21" w:rsidRDefault="00331966" w:rsidP="00331966">
      <w:pPr>
        <w:jc w:val="both"/>
        <w:rPr>
          <w:rFonts w:ascii="Palatino Linotype" w:hAnsi="Palatino Linotype"/>
          <w:szCs w:val="24"/>
        </w:rPr>
      </w:pPr>
      <w:r w:rsidRPr="00D74E21">
        <w:rPr>
          <w:rFonts w:ascii="Palatino Linotype" w:hAnsi="Palatino Linotype"/>
          <w:szCs w:val="24"/>
        </w:rPr>
        <w:tab/>
        <w:t>The Commission consists of the President and six Commissioners.</w:t>
      </w:r>
      <w:r w:rsidRPr="00D74E21">
        <w:rPr>
          <w:rStyle w:val="FootnoteReference"/>
          <w:rFonts w:ascii="Palatino Linotype" w:hAnsi="Palatino Linotype"/>
          <w:szCs w:val="24"/>
        </w:rPr>
        <w:footnoteReference w:id="1"/>
      </w:r>
      <w:r w:rsidRPr="00D74E21">
        <w:rPr>
          <w:rFonts w:ascii="Palatino Linotype" w:hAnsi="Palatino Linotype"/>
          <w:szCs w:val="24"/>
        </w:rPr>
        <w:t xml:space="preserve">  </w:t>
      </w:r>
      <w:r w:rsidRPr="00D74E21">
        <w:rPr>
          <w:rFonts w:ascii="Palatino Linotype" w:hAnsi="Palatino Linotype"/>
          <w:i/>
          <w:szCs w:val="24"/>
        </w:rPr>
        <w:t>Charter</w:t>
      </w:r>
      <w:r w:rsidRPr="00D74E21">
        <w:rPr>
          <w:rFonts w:ascii="Palatino Linotype" w:hAnsi="Palatino Linotype"/>
          <w:szCs w:val="24"/>
        </w:rPr>
        <w:t xml:space="preserve"> § 31 states that the Mayor, with advice and consent of the Council, shall appoint members of the Commission after a public hearing.  Each Commissioner shall have at least three years of business experience in the field of real estate or real estate law.  At least one resident of each borough shall be included among the Commissioners.  [</w:t>
      </w:r>
      <w:r w:rsidRPr="00D74E21">
        <w:rPr>
          <w:rFonts w:ascii="Palatino Linotype" w:hAnsi="Palatino Linotype"/>
          <w:i/>
          <w:szCs w:val="24"/>
        </w:rPr>
        <w:t>Charter</w:t>
      </w:r>
      <w:r w:rsidRPr="00D74E21">
        <w:rPr>
          <w:rFonts w:ascii="Palatino Linotype" w:hAnsi="Palatino Linotype"/>
          <w:szCs w:val="24"/>
        </w:rPr>
        <w:t xml:space="preserve"> § 153 (a).]  The President of the Commission receives an annual salary of $</w:t>
      </w:r>
      <w:r w:rsidR="00252D15" w:rsidRPr="00D74E21">
        <w:rPr>
          <w:rFonts w:ascii="Palatino Linotype" w:hAnsi="Palatino Linotype"/>
          <w:szCs w:val="24"/>
        </w:rPr>
        <w:t>221</w:t>
      </w:r>
      <w:r w:rsidRPr="00D74E21">
        <w:rPr>
          <w:rFonts w:ascii="Palatino Linotype" w:hAnsi="Palatino Linotype"/>
          <w:szCs w:val="24"/>
        </w:rPr>
        <w:t>,</w:t>
      </w:r>
      <w:r w:rsidR="00252D15" w:rsidRPr="00D74E21">
        <w:rPr>
          <w:rFonts w:ascii="Palatino Linotype" w:hAnsi="Palatino Linotype"/>
          <w:szCs w:val="24"/>
        </w:rPr>
        <w:t>151</w:t>
      </w:r>
      <w:r w:rsidRPr="00D74E21">
        <w:rPr>
          <w:rFonts w:ascii="Palatino Linotype" w:hAnsi="Palatino Linotype"/>
          <w:szCs w:val="24"/>
        </w:rPr>
        <w:t>.  Commissioners receive an annual salary of $25,677.</w:t>
      </w:r>
    </w:p>
    <w:p w:rsidR="00331966" w:rsidRPr="00D74E21" w:rsidRDefault="00331966" w:rsidP="00331966">
      <w:pPr>
        <w:jc w:val="both"/>
        <w:rPr>
          <w:rFonts w:ascii="Palatino Linotype" w:hAnsi="Palatino Linotype"/>
          <w:szCs w:val="24"/>
        </w:rPr>
      </w:pPr>
    </w:p>
    <w:p w:rsidR="00331966" w:rsidRPr="00D74E21" w:rsidRDefault="00331966" w:rsidP="00331966">
      <w:pPr>
        <w:jc w:val="both"/>
        <w:rPr>
          <w:rFonts w:ascii="Palatino Linotype" w:hAnsi="Palatino Linotype"/>
          <w:szCs w:val="24"/>
        </w:rPr>
      </w:pPr>
      <w:r w:rsidRPr="00D74E21">
        <w:rPr>
          <w:rFonts w:ascii="Palatino Linotype" w:hAnsi="Palatino Linotype"/>
          <w:szCs w:val="24"/>
        </w:rPr>
        <w:tab/>
        <w:t xml:space="preserve">Real property tax assessment-related claims subject to administrative and corrective action by the Commission may assert: inequality; excessiveness, including the denial of a full or partial exemption; unlawfulness; and misclassification. </w:t>
      </w:r>
      <w:r w:rsidRPr="00D74E21">
        <w:rPr>
          <w:rFonts w:ascii="Palatino Linotype" w:hAnsi="Palatino Linotype"/>
          <w:szCs w:val="24"/>
          <w:u w:val="single"/>
        </w:rPr>
        <w:t>See</w:t>
      </w:r>
      <w:r w:rsidRPr="00D74E21">
        <w:rPr>
          <w:rFonts w:ascii="Palatino Linotype" w:hAnsi="Palatino Linotype"/>
          <w:szCs w:val="24"/>
        </w:rPr>
        <w:t xml:space="preserve"> definitions – Charter §§ 163 and 164(b) (class one property).  The Commission’s administrative determinations are subject to </w:t>
      </w:r>
      <w:r w:rsidRPr="00D74E21">
        <w:rPr>
          <w:rFonts w:ascii="Palatino Linotype" w:hAnsi="Palatino Linotype"/>
          <w:i/>
          <w:iCs/>
          <w:szCs w:val="24"/>
        </w:rPr>
        <w:t>de novo</w:t>
      </w:r>
      <w:r w:rsidRPr="00D74E21">
        <w:rPr>
          <w:rFonts w:ascii="Palatino Linotype" w:hAnsi="Palatino Linotype"/>
          <w:szCs w:val="24"/>
        </w:rPr>
        <w:t xml:space="preserve"> judicial review.  [</w:t>
      </w:r>
      <w:r w:rsidRPr="00D74E21">
        <w:rPr>
          <w:rFonts w:ascii="Palatino Linotype" w:hAnsi="Palatino Linotype"/>
          <w:i/>
          <w:iCs/>
          <w:szCs w:val="24"/>
        </w:rPr>
        <w:t>Charter</w:t>
      </w:r>
      <w:r w:rsidRPr="00D74E21">
        <w:rPr>
          <w:rFonts w:ascii="Palatino Linotype" w:hAnsi="Palatino Linotype"/>
          <w:szCs w:val="24"/>
        </w:rPr>
        <w:t xml:space="preserve"> § 165(a).]</w:t>
      </w:r>
    </w:p>
    <w:p w:rsidR="00331966" w:rsidRPr="00D74E21" w:rsidRDefault="00331966" w:rsidP="00331966">
      <w:pPr>
        <w:jc w:val="both"/>
        <w:rPr>
          <w:rFonts w:ascii="Palatino Linotype" w:hAnsi="Palatino Linotype"/>
          <w:szCs w:val="24"/>
        </w:rPr>
      </w:pPr>
    </w:p>
    <w:p w:rsidR="00331966" w:rsidRPr="00D74E21" w:rsidRDefault="00331966" w:rsidP="00331966">
      <w:pPr>
        <w:jc w:val="both"/>
        <w:rPr>
          <w:rFonts w:ascii="Palatino Linotype" w:hAnsi="Palatino Linotype"/>
          <w:szCs w:val="24"/>
        </w:rPr>
      </w:pPr>
      <w:r w:rsidRPr="00D74E21">
        <w:rPr>
          <w:rFonts w:ascii="Palatino Linotype" w:hAnsi="Palatino Linotype"/>
          <w:szCs w:val="24"/>
        </w:rPr>
        <w:tab/>
        <w:t>Between the fifteenth day of January and the twenty-fifth day of May, the Commission may itself, or by a Commissioner or assessor authorized by the Commission, act upon applications, compel the attendance of witnesses, administer oaths or affirmations and examine applicants and other witnesses under oath.  In addition, the Commission is empowered to make rules of practice for its proceedings. [</w:t>
      </w:r>
      <w:r w:rsidRPr="00D74E21">
        <w:rPr>
          <w:rFonts w:ascii="Palatino Linotype" w:hAnsi="Palatino Linotype"/>
          <w:i/>
          <w:iCs/>
          <w:szCs w:val="24"/>
        </w:rPr>
        <w:t>Charter</w:t>
      </w:r>
      <w:r w:rsidRPr="00D74E21">
        <w:rPr>
          <w:rFonts w:ascii="Palatino Linotype" w:hAnsi="Palatino Linotype"/>
          <w:szCs w:val="24"/>
        </w:rPr>
        <w:t xml:space="preserve"> § 164(a).] </w:t>
      </w:r>
    </w:p>
    <w:p w:rsidR="00331966" w:rsidRPr="00D74E21" w:rsidRDefault="00331966" w:rsidP="00331966">
      <w:pPr>
        <w:jc w:val="both"/>
        <w:rPr>
          <w:rFonts w:ascii="Palatino Linotype" w:hAnsi="Palatino Linotype"/>
          <w:szCs w:val="24"/>
        </w:rPr>
      </w:pPr>
    </w:p>
    <w:p w:rsidR="00331966" w:rsidRPr="00D74E21" w:rsidRDefault="00331966" w:rsidP="00331966">
      <w:pPr>
        <w:jc w:val="both"/>
        <w:rPr>
          <w:rFonts w:ascii="Palatino Linotype" w:hAnsi="Palatino Linotype"/>
          <w:szCs w:val="24"/>
        </w:rPr>
      </w:pPr>
      <w:r w:rsidRPr="00D74E21">
        <w:rPr>
          <w:rFonts w:ascii="Palatino Linotype" w:hAnsi="Palatino Linotype"/>
          <w:szCs w:val="24"/>
        </w:rPr>
        <w:tab/>
        <w:t>The Commission determines the final assessed valuation or taxable assessed valuation, or the actual assessment or transition assessment, or the proper class designation of the real property of each applicant.  The final assessed valuation or taxable assessed valuation of real property may be the same or less than the original assessment or, if determined to be unlawful, the same shall be ordered stricken from the roll or, where appropriate, entered on the exempt portion of the roll.  If it is determined that the real property is misclassified, the correct class designation or allocation of assessed valuation shall be entered on the roll. [</w:t>
      </w:r>
      <w:r w:rsidRPr="00D74E21">
        <w:rPr>
          <w:rFonts w:ascii="Palatino Linotype" w:hAnsi="Palatino Linotype"/>
          <w:i/>
          <w:iCs/>
          <w:szCs w:val="24"/>
        </w:rPr>
        <w:t>Charter</w:t>
      </w:r>
      <w:r w:rsidRPr="00D74E21">
        <w:rPr>
          <w:rFonts w:ascii="Palatino Linotype" w:hAnsi="Palatino Linotype"/>
          <w:szCs w:val="24"/>
        </w:rPr>
        <w:t xml:space="preserve"> § 164(b).]</w:t>
      </w:r>
    </w:p>
    <w:p w:rsidR="00331966" w:rsidRPr="00D74E21" w:rsidRDefault="00331966" w:rsidP="00331966">
      <w:pPr>
        <w:jc w:val="both"/>
        <w:rPr>
          <w:rFonts w:ascii="Palatino Linotype" w:hAnsi="Palatino Linotype"/>
          <w:szCs w:val="24"/>
        </w:rPr>
      </w:pPr>
    </w:p>
    <w:p w:rsidR="00331966" w:rsidRPr="00D74E21" w:rsidRDefault="00331966" w:rsidP="00331966">
      <w:pPr>
        <w:jc w:val="both"/>
        <w:rPr>
          <w:rFonts w:ascii="Palatino Linotype" w:hAnsi="Palatino Linotype"/>
          <w:szCs w:val="24"/>
        </w:rPr>
      </w:pPr>
      <w:r w:rsidRPr="00D74E21">
        <w:rPr>
          <w:rFonts w:ascii="Palatino Linotype" w:hAnsi="Palatino Linotype"/>
          <w:szCs w:val="24"/>
        </w:rPr>
        <w:tab/>
        <w:t>Applications for correction of assessment of real property assessed at seven hundred fifty thousand dollars or more are dealt with between the first day of February and the first day of September.  [</w:t>
      </w:r>
      <w:r w:rsidRPr="00D74E21">
        <w:rPr>
          <w:rFonts w:ascii="Palatino Linotype" w:hAnsi="Palatino Linotype"/>
          <w:i/>
          <w:iCs/>
          <w:szCs w:val="24"/>
        </w:rPr>
        <w:t>Charter</w:t>
      </w:r>
      <w:r w:rsidRPr="00D74E21">
        <w:rPr>
          <w:rFonts w:ascii="Palatino Linotype" w:hAnsi="Palatino Linotype"/>
          <w:szCs w:val="24"/>
        </w:rPr>
        <w:t xml:space="preserve"> § 164-a (a).]     </w:t>
      </w:r>
    </w:p>
    <w:p w:rsidR="00331966" w:rsidRPr="00D74E21" w:rsidRDefault="00331966" w:rsidP="00331966">
      <w:pPr>
        <w:jc w:val="both"/>
        <w:rPr>
          <w:rFonts w:ascii="Palatino Linotype" w:hAnsi="Palatino Linotype"/>
          <w:szCs w:val="24"/>
        </w:rPr>
      </w:pPr>
    </w:p>
    <w:p w:rsidR="00331966" w:rsidRPr="00D74E21" w:rsidRDefault="00331966" w:rsidP="00331966">
      <w:pPr>
        <w:jc w:val="both"/>
        <w:rPr>
          <w:rFonts w:ascii="Palatino Linotype" w:hAnsi="Palatino Linotype"/>
          <w:szCs w:val="24"/>
        </w:rPr>
      </w:pPr>
      <w:r w:rsidRPr="00D74E21">
        <w:rPr>
          <w:rFonts w:ascii="Palatino Linotype" w:hAnsi="Palatino Linotype"/>
          <w:szCs w:val="24"/>
        </w:rPr>
        <w:tab/>
        <w:t>The final determination of the Commission upon any application for the correction of an assessment shall be rendered not later than the twenty-fifth day of May.  Otherwise, the assessment objected to shall be deemed to be the final determination of the Commission.  [</w:t>
      </w:r>
      <w:r w:rsidRPr="00D74E21">
        <w:rPr>
          <w:rFonts w:ascii="Palatino Linotype" w:hAnsi="Palatino Linotype"/>
          <w:i/>
          <w:iCs/>
          <w:szCs w:val="24"/>
        </w:rPr>
        <w:t>Charter</w:t>
      </w:r>
      <w:r w:rsidRPr="00D74E21">
        <w:rPr>
          <w:rFonts w:ascii="Palatino Linotype" w:hAnsi="Palatino Linotype"/>
          <w:szCs w:val="24"/>
        </w:rPr>
        <w:t xml:space="preserve"> § 165.]  A proceeding to review or correct on the merits any final determination of the Commission may be had as provided by law, and, if brought to review a determination mentioned in </w:t>
      </w:r>
      <w:r w:rsidRPr="00D74E21">
        <w:rPr>
          <w:rFonts w:ascii="Palatino Linotype" w:hAnsi="Palatino Linotype"/>
          <w:i/>
          <w:iCs/>
          <w:szCs w:val="24"/>
        </w:rPr>
        <w:t>Charter</w:t>
      </w:r>
      <w:r w:rsidRPr="00D74E21">
        <w:rPr>
          <w:rFonts w:ascii="Palatino Linotype" w:hAnsi="Palatino Linotype"/>
          <w:szCs w:val="24"/>
        </w:rPr>
        <w:t xml:space="preserve"> § 165, must be commenced before the twenty-fifth day of October following the time when the determination sought to be reviewed or corrected was made.  [</w:t>
      </w:r>
      <w:r w:rsidRPr="00D74E21">
        <w:rPr>
          <w:rFonts w:ascii="Palatino Linotype" w:hAnsi="Palatino Linotype"/>
          <w:i/>
          <w:iCs/>
          <w:szCs w:val="24"/>
        </w:rPr>
        <w:t>Charter</w:t>
      </w:r>
      <w:r w:rsidRPr="00D74E21">
        <w:rPr>
          <w:rFonts w:ascii="Palatino Linotype" w:hAnsi="Palatino Linotype"/>
          <w:szCs w:val="24"/>
        </w:rPr>
        <w:t xml:space="preserve"> § 166.]</w:t>
      </w:r>
    </w:p>
    <w:p w:rsidR="00331966" w:rsidRPr="00D74E21" w:rsidRDefault="00331966" w:rsidP="00331966">
      <w:pPr>
        <w:jc w:val="both"/>
        <w:rPr>
          <w:rFonts w:ascii="Palatino Linotype" w:hAnsi="Palatino Linotype"/>
          <w:szCs w:val="24"/>
        </w:rPr>
      </w:pPr>
    </w:p>
    <w:p w:rsidR="00331966" w:rsidRPr="00D74E21" w:rsidRDefault="00331966" w:rsidP="00331966">
      <w:pPr>
        <w:ind w:firstLine="720"/>
        <w:jc w:val="both"/>
        <w:rPr>
          <w:rFonts w:ascii="Palatino Linotype" w:hAnsi="Palatino Linotype"/>
          <w:szCs w:val="24"/>
        </w:rPr>
      </w:pPr>
      <w:r w:rsidRPr="00D74E21">
        <w:rPr>
          <w:rFonts w:ascii="Palatino Linotype" w:hAnsi="Palatino Linotype"/>
          <w:szCs w:val="24"/>
        </w:rPr>
        <w:t>The President or any Commissioner may enter upon real property and into buildings and structures at all reasonable times to ascertain the character of the property.  Refusal by the owner or his agent to permit such entry shall be triable by a judge of the Criminal court and punishable by not more than thirty days’ imprisonment, or by a fine of not more than fifty dollars, or both. [</w:t>
      </w:r>
      <w:r w:rsidRPr="00D74E21">
        <w:rPr>
          <w:rFonts w:ascii="Palatino Linotype" w:hAnsi="Palatino Linotype"/>
          <w:i/>
          <w:iCs/>
          <w:szCs w:val="24"/>
        </w:rPr>
        <w:t>Charter</w:t>
      </w:r>
      <w:r w:rsidRPr="00D74E21">
        <w:rPr>
          <w:rFonts w:ascii="Palatino Linotype" w:hAnsi="Palatino Linotype"/>
          <w:szCs w:val="24"/>
        </w:rPr>
        <w:t xml:space="preserve"> § 156.]</w:t>
      </w:r>
    </w:p>
    <w:p w:rsidR="00331966" w:rsidRPr="00D74E21" w:rsidRDefault="00331966" w:rsidP="00331966">
      <w:pPr>
        <w:jc w:val="both"/>
        <w:rPr>
          <w:rFonts w:ascii="Palatino Linotype" w:hAnsi="Palatino Linotype"/>
          <w:szCs w:val="24"/>
        </w:rPr>
      </w:pPr>
    </w:p>
    <w:p w:rsidR="00331966" w:rsidRPr="00D74E21" w:rsidRDefault="00331966" w:rsidP="00331966">
      <w:pPr>
        <w:jc w:val="both"/>
        <w:rPr>
          <w:rFonts w:ascii="Palatino Linotype" w:hAnsi="Palatino Linotype"/>
          <w:szCs w:val="24"/>
        </w:rPr>
      </w:pPr>
      <w:r w:rsidRPr="00D74E21">
        <w:rPr>
          <w:rFonts w:ascii="Palatino Linotype" w:hAnsi="Palatino Linotype"/>
          <w:szCs w:val="24"/>
        </w:rPr>
        <w:tab/>
        <w:t>The Commission shall issue an annual report to the City Council and to the Mayor not later than the first day of March in each year.  [</w:t>
      </w:r>
      <w:r w:rsidRPr="00D74E21">
        <w:rPr>
          <w:rFonts w:ascii="Palatino Linotype" w:hAnsi="Palatino Linotype"/>
          <w:i/>
          <w:iCs/>
          <w:szCs w:val="24"/>
        </w:rPr>
        <w:t>Charter</w:t>
      </w:r>
      <w:r w:rsidRPr="00D74E21">
        <w:rPr>
          <w:rFonts w:ascii="Palatino Linotype" w:hAnsi="Palatino Linotype"/>
          <w:szCs w:val="24"/>
        </w:rPr>
        <w:t xml:space="preserve"> § 155.] </w:t>
      </w:r>
    </w:p>
    <w:p w:rsidR="00331966" w:rsidRPr="00D74E21" w:rsidRDefault="00331966" w:rsidP="00331966">
      <w:pPr>
        <w:jc w:val="both"/>
        <w:rPr>
          <w:rFonts w:ascii="Palatino Linotype" w:hAnsi="Palatino Linotype"/>
          <w:szCs w:val="24"/>
        </w:rPr>
      </w:pPr>
    </w:p>
    <w:p w:rsidR="00331966" w:rsidRPr="00D74E21" w:rsidRDefault="00331966" w:rsidP="00331966">
      <w:pPr>
        <w:ind w:firstLine="720"/>
        <w:jc w:val="both"/>
        <w:rPr>
          <w:rFonts w:ascii="Palatino Linotype" w:hAnsi="Palatino Linotype"/>
          <w:szCs w:val="24"/>
        </w:rPr>
      </w:pPr>
      <w:r w:rsidRPr="00D74E21">
        <w:rPr>
          <w:rFonts w:ascii="Palatino Linotype" w:hAnsi="Palatino Linotype"/>
          <w:szCs w:val="24"/>
        </w:rPr>
        <w:t>If appointed</w:t>
      </w:r>
      <w:r w:rsidR="00252D15" w:rsidRPr="00D74E21">
        <w:rPr>
          <w:rFonts w:ascii="Palatino Linotype" w:hAnsi="Palatino Linotype"/>
          <w:szCs w:val="24"/>
        </w:rPr>
        <w:t xml:space="preserve"> as president</w:t>
      </w:r>
      <w:r w:rsidRPr="00D74E21">
        <w:rPr>
          <w:rFonts w:ascii="Palatino Linotype" w:hAnsi="Palatino Linotype"/>
          <w:szCs w:val="24"/>
        </w:rPr>
        <w:t>, M</w:t>
      </w:r>
      <w:r w:rsidR="00252D15" w:rsidRPr="00D74E21">
        <w:rPr>
          <w:rFonts w:ascii="Palatino Linotype" w:hAnsi="Palatino Linotype"/>
          <w:szCs w:val="24"/>
        </w:rPr>
        <w:t>s</w:t>
      </w:r>
      <w:r w:rsidRPr="00D74E21">
        <w:rPr>
          <w:rFonts w:ascii="Palatino Linotype" w:hAnsi="Palatino Linotype"/>
          <w:szCs w:val="24"/>
        </w:rPr>
        <w:t xml:space="preserve">. </w:t>
      </w:r>
      <w:r w:rsidR="00252D15" w:rsidRPr="00D74E21">
        <w:rPr>
          <w:rFonts w:ascii="Palatino Linotype" w:hAnsi="Palatino Linotype"/>
          <w:szCs w:val="24"/>
        </w:rPr>
        <w:t>Henn</w:t>
      </w:r>
      <w:r w:rsidRPr="00D74E21">
        <w:rPr>
          <w:rFonts w:ascii="Palatino Linotype" w:hAnsi="Palatino Linotype"/>
          <w:szCs w:val="24"/>
        </w:rPr>
        <w:t xml:space="preserve">, a resident of Queens, will serve the remainder of a six-year term </w:t>
      </w:r>
      <w:r w:rsidR="00252D15" w:rsidRPr="00D74E21">
        <w:rPr>
          <w:rFonts w:ascii="Palatino Linotype" w:hAnsi="Palatino Linotype"/>
          <w:szCs w:val="24"/>
        </w:rPr>
        <w:t xml:space="preserve">that begins on January 7, 2020 and </w:t>
      </w:r>
      <w:r w:rsidRPr="00D74E21">
        <w:rPr>
          <w:rFonts w:ascii="Palatino Linotype" w:hAnsi="Palatino Linotype"/>
          <w:szCs w:val="24"/>
        </w:rPr>
        <w:t>expires on January 6, 202</w:t>
      </w:r>
      <w:r w:rsidR="00252D15" w:rsidRPr="00D74E21">
        <w:rPr>
          <w:rFonts w:ascii="Palatino Linotype" w:hAnsi="Palatino Linotype"/>
          <w:szCs w:val="24"/>
        </w:rPr>
        <w:t>6</w:t>
      </w:r>
      <w:r w:rsidRPr="00D74E21">
        <w:rPr>
          <w:rFonts w:ascii="Palatino Linotype" w:hAnsi="Palatino Linotype"/>
          <w:szCs w:val="24"/>
        </w:rPr>
        <w:t>.  Copies of M</w:t>
      </w:r>
      <w:r w:rsidR="00252D15" w:rsidRPr="00D74E21">
        <w:rPr>
          <w:rFonts w:ascii="Palatino Linotype" w:hAnsi="Palatino Linotype"/>
          <w:szCs w:val="24"/>
        </w:rPr>
        <w:t>s</w:t>
      </w:r>
      <w:r w:rsidRPr="00D74E21">
        <w:rPr>
          <w:rFonts w:ascii="Palatino Linotype" w:hAnsi="Palatino Linotype"/>
          <w:szCs w:val="24"/>
        </w:rPr>
        <w:t xml:space="preserve">. </w:t>
      </w:r>
      <w:r w:rsidR="00252D15" w:rsidRPr="00D74E21">
        <w:rPr>
          <w:rFonts w:ascii="Palatino Linotype" w:hAnsi="Palatino Linotype"/>
          <w:szCs w:val="24"/>
        </w:rPr>
        <w:t>Henn</w:t>
      </w:r>
      <w:r w:rsidRPr="00D74E21">
        <w:rPr>
          <w:rFonts w:ascii="Palatino Linotype" w:hAnsi="Palatino Linotype"/>
          <w:szCs w:val="24"/>
        </w:rPr>
        <w:t>’s résumé and report/resolution are attached to this Briefing paper.</w:t>
      </w:r>
    </w:p>
    <w:p w:rsidR="00252D15" w:rsidRPr="00D74E21" w:rsidRDefault="00252D15" w:rsidP="00331966">
      <w:pPr>
        <w:ind w:firstLine="720"/>
        <w:jc w:val="both"/>
        <w:rPr>
          <w:rFonts w:ascii="Palatino Linotype" w:hAnsi="Palatino Linotype"/>
          <w:szCs w:val="24"/>
        </w:rPr>
      </w:pPr>
    </w:p>
    <w:p w:rsidR="00252D15" w:rsidRPr="00D74E21" w:rsidRDefault="00252D15" w:rsidP="00252D15">
      <w:pPr>
        <w:ind w:firstLine="720"/>
        <w:jc w:val="both"/>
        <w:rPr>
          <w:rFonts w:ascii="Palatino Linotype" w:hAnsi="Palatino Linotype"/>
          <w:color w:val="000000"/>
          <w:sz w:val="26"/>
          <w:szCs w:val="26"/>
        </w:rPr>
      </w:pPr>
      <w:r w:rsidRPr="00D74E21">
        <w:rPr>
          <w:rFonts w:ascii="Palatino Linotype" w:hAnsi="Palatino Linotype"/>
          <w:szCs w:val="24"/>
        </w:rPr>
        <w:t>If appointed, Mr. Nichols, a resident of Staten Island, will serve the remainder of a six-year term that begins on January 7, 2020 and expires on January 6, 2026.  Copies of Mr. Nichol’s résumé and report/resolution are attached to this Briefing paper.</w:t>
      </w:r>
    </w:p>
    <w:p w:rsidR="00252D15" w:rsidRPr="00D74E21" w:rsidRDefault="00252D15" w:rsidP="00331966">
      <w:pPr>
        <w:ind w:firstLine="720"/>
        <w:jc w:val="both"/>
        <w:rPr>
          <w:rFonts w:ascii="Palatino Linotype" w:hAnsi="Palatino Linotype"/>
          <w:color w:val="000000"/>
          <w:sz w:val="26"/>
          <w:szCs w:val="26"/>
        </w:rPr>
      </w:pPr>
    </w:p>
    <w:p w:rsidR="00331966" w:rsidRPr="00D74E21" w:rsidRDefault="00331966" w:rsidP="00331966">
      <w:pPr>
        <w:jc w:val="both"/>
        <w:rPr>
          <w:rFonts w:ascii="Palatino Linotype" w:hAnsi="Palatino Linotype"/>
          <w:szCs w:val="24"/>
        </w:rPr>
      </w:pPr>
    </w:p>
    <w:p w:rsidR="00331966" w:rsidRPr="00D74E21" w:rsidRDefault="00331966" w:rsidP="005E69B9">
      <w:pPr>
        <w:pStyle w:val="BodyText"/>
        <w:rPr>
          <w:rFonts w:ascii="Palatino Linotype" w:hAnsi="Palatino Linotype"/>
          <w:sz w:val="24"/>
          <w:szCs w:val="24"/>
        </w:rPr>
      </w:pPr>
    </w:p>
    <w:p w:rsidR="00790996" w:rsidRPr="00D74E21" w:rsidRDefault="00790996" w:rsidP="00790996">
      <w:pPr>
        <w:rPr>
          <w:rFonts w:ascii="Palatino Linotype" w:eastAsiaTheme="minorHAnsi" w:hAnsi="Palatino Linotype"/>
          <w:b/>
          <w:bCs/>
          <w:i/>
          <w:szCs w:val="24"/>
        </w:rPr>
      </w:pPr>
      <w:r w:rsidRPr="00D74E21">
        <w:rPr>
          <w:rFonts w:ascii="Palatino Linotype" w:eastAsiaTheme="minorHAnsi" w:hAnsi="Palatino Linotype"/>
          <w:b/>
          <w:bCs/>
          <w:i/>
          <w:iCs/>
          <w:szCs w:val="24"/>
          <w:u w:val="single"/>
        </w:rPr>
        <w:t>Topic III:</w:t>
      </w:r>
      <w:r w:rsidRPr="00D74E21">
        <w:rPr>
          <w:rFonts w:ascii="Palatino Linotype" w:eastAsiaTheme="minorHAnsi" w:hAnsi="Palatino Linotype"/>
          <w:b/>
          <w:bCs/>
          <w:i/>
          <w:iCs/>
          <w:szCs w:val="24"/>
        </w:rPr>
        <w:t xml:space="preserve"> New York City Youth Board</w:t>
      </w:r>
      <w:r w:rsidRPr="00D74E21">
        <w:rPr>
          <w:rFonts w:ascii="Palatino Linotype" w:eastAsiaTheme="minorHAnsi" w:hAnsi="Palatino Linotype"/>
          <w:b/>
          <w:bCs/>
          <w:i/>
          <w:szCs w:val="24"/>
        </w:rPr>
        <w:t xml:space="preserve"> – (Council recommendation</w:t>
      </w:r>
      <w:r w:rsidR="00D74E21" w:rsidRPr="00D74E21">
        <w:rPr>
          <w:rFonts w:ascii="Palatino Linotype" w:eastAsiaTheme="minorHAnsi" w:hAnsi="Palatino Linotype"/>
          <w:b/>
          <w:bCs/>
          <w:i/>
          <w:szCs w:val="24"/>
        </w:rPr>
        <w:t>s</w:t>
      </w:r>
      <w:r w:rsidRPr="00D74E21">
        <w:rPr>
          <w:rFonts w:ascii="Palatino Linotype" w:eastAsiaTheme="minorHAnsi" w:hAnsi="Palatino Linotype"/>
          <w:b/>
          <w:bCs/>
          <w:i/>
          <w:szCs w:val="24"/>
        </w:rPr>
        <w:t xml:space="preserve"> subject to appointment by the Mayor)</w:t>
      </w:r>
    </w:p>
    <w:p w:rsidR="00790996" w:rsidRPr="00D74E21" w:rsidRDefault="00790996" w:rsidP="00790996">
      <w:pPr>
        <w:rPr>
          <w:rFonts w:ascii="Palatino Linotype" w:eastAsiaTheme="minorHAnsi" w:hAnsi="Palatino Linotype"/>
          <w:b/>
          <w:bCs/>
          <w:szCs w:val="24"/>
        </w:rPr>
      </w:pPr>
    </w:p>
    <w:p w:rsidR="00790996" w:rsidRPr="00D74E21" w:rsidRDefault="00252D15" w:rsidP="00790996">
      <w:pPr>
        <w:numPr>
          <w:ilvl w:val="0"/>
          <w:numId w:val="3"/>
        </w:numPr>
        <w:rPr>
          <w:rFonts w:ascii="Palatino Linotype" w:eastAsiaTheme="minorHAnsi" w:hAnsi="Palatino Linotype"/>
          <w:b/>
          <w:szCs w:val="24"/>
        </w:rPr>
      </w:pPr>
      <w:r w:rsidRPr="00D74E21">
        <w:rPr>
          <w:rFonts w:ascii="Palatino Linotype" w:eastAsiaTheme="minorHAnsi" w:hAnsi="Palatino Linotype"/>
          <w:b/>
          <w:bCs/>
          <w:szCs w:val="24"/>
        </w:rPr>
        <w:t>Christopher Bastardi</w:t>
      </w:r>
      <w:r w:rsidR="00790996" w:rsidRPr="00D74E21">
        <w:rPr>
          <w:rFonts w:ascii="Palatino Linotype" w:eastAsiaTheme="minorHAnsi" w:hAnsi="Palatino Linotype"/>
          <w:b/>
          <w:bCs/>
          <w:szCs w:val="24"/>
        </w:rPr>
        <w:t xml:space="preserve"> [Preconsidered M]</w:t>
      </w:r>
    </w:p>
    <w:p w:rsidR="00252D15" w:rsidRPr="00D74E21" w:rsidRDefault="00252D15" w:rsidP="00790996">
      <w:pPr>
        <w:numPr>
          <w:ilvl w:val="0"/>
          <w:numId w:val="3"/>
        </w:numPr>
        <w:rPr>
          <w:rFonts w:ascii="Palatino Linotype" w:eastAsiaTheme="minorHAnsi" w:hAnsi="Palatino Linotype"/>
          <w:b/>
          <w:szCs w:val="24"/>
        </w:rPr>
      </w:pPr>
      <w:r w:rsidRPr="00D74E21">
        <w:rPr>
          <w:rFonts w:ascii="Palatino Linotype" w:eastAsiaTheme="minorHAnsi" w:hAnsi="Palatino Linotype"/>
          <w:b/>
          <w:bCs/>
          <w:szCs w:val="24"/>
        </w:rPr>
        <w:t>Melanie Kruvelis [Preconsidered M]</w:t>
      </w:r>
    </w:p>
    <w:p w:rsidR="00790996" w:rsidRPr="00D74E21" w:rsidRDefault="00790996" w:rsidP="00790996">
      <w:pPr>
        <w:rPr>
          <w:rFonts w:ascii="Palatino Linotype" w:eastAsiaTheme="minorHAnsi" w:hAnsi="Palatino Linotype"/>
          <w:b/>
          <w:bCs/>
          <w:szCs w:val="24"/>
        </w:rPr>
      </w:pPr>
    </w:p>
    <w:p w:rsidR="00790996" w:rsidRPr="00D74E21" w:rsidRDefault="00790996" w:rsidP="00D74E21">
      <w:pPr>
        <w:ind w:firstLine="720"/>
        <w:jc w:val="both"/>
        <w:rPr>
          <w:rFonts w:ascii="Palatino Linotype" w:eastAsiaTheme="minorHAnsi" w:hAnsi="Palatino Linotype"/>
          <w:szCs w:val="24"/>
        </w:rPr>
      </w:pPr>
      <w:r w:rsidRPr="00D74E21">
        <w:rPr>
          <w:rFonts w:ascii="Palatino Linotype" w:eastAsiaTheme="minorHAnsi" w:hAnsi="Palatino Linotype"/>
          <w:szCs w:val="24"/>
        </w:rPr>
        <w:t xml:space="preserve">Section 734 of the </w:t>
      </w:r>
      <w:r w:rsidRPr="00D74E21">
        <w:rPr>
          <w:rFonts w:ascii="Palatino Linotype" w:eastAsiaTheme="minorHAnsi" w:hAnsi="Palatino Linotype"/>
          <w:i/>
          <w:iCs/>
          <w:szCs w:val="24"/>
        </w:rPr>
        <w:t>New York City Charter (“Charter”)</w:t>
      </w:r>
      <w:r w:rsidRPr="00D74E21">
        <w:rPr>
          <w:rFonts w:ascii="Palatino Linotype" w:eastAsiaTheme="minorHAnsi" w:hAnsi="Palatino Linotype"/>
          <w:szCs w:val="24"/>
        </w:rPr>
        <w:t xml:space="preserve"> states that there shall be a youth board, which shall serve as a forum for representatives of disciplines concerned with the welfare of youth [</w:t>
      </w:r>
      <w:r w:rsidRPr="00D74E21">
        <w:rPr>
          <w:rFonts w:ascii="Palatino Linotype" w:eastAsiaTheme="minorHAnsi" w:hAnsi="Palatino Linotype"/>
          <w:i/>
          <w:iCs/>
          <w:szCs w:val="24"/>
        </w:rPr>
        <w:t>Charter</w:t>
      </w:r>
      <w:r w:rsidRPr="00D74E21">
        <w:rPr>
          <w:rFonts w:ascii="Palatino Linotype" w:eastAsiaTheme="minorHAnsi" w:hAnsi="Palatino Linotype"/>
          <w:szCs w:val="24"/>
        </w:rPr>
        <w:t xml:space="preserve"> §734(a)].  The Board must be representative of the community, and is required to include persons representing the areas of social service, health care, education, business, industry and labor [</w:t>
      </w:r>
      <w:r w:rsidRPr="00D74E21">
        <w:rPr>
          <w:rFonts w:ascii="Palatino Linotype" w:eastAsiaTheme="minorHAnsi" w:hAnsi="Palatino Linotype"/>
          <w:i/>
          <w:iCs/>
          <w:szCs w:val="24"/>
        </w:rPr>
        <w:t>Charter</w:t>
      </w:r>
      <w:r w:rsidRPr="00D74E21">
        <w:rPr>
          <w:rFonts w:ascii="Palatino Linotype" w:eastAsiaTheme="minorHAnsi" w:hAnsi="Palatino Linotype"/>
          <w:szCs w:val="24"/>
        </w:rPr>
        <w:t xml:space="preserve"> §734(b)].  </w:t>
      </w:r>
    </w:p>
    <w:p w:rsidR="00790996" w:rsidRPr="00D74E21" w:rsidRDefault="00790996" w:rsidP="00790996">
      <w:pPr>
        <w:jc w:val="both"/>
        <w:rPr>
          <w:rFonts w:ascii="Palatino Linotype" w:eastAsiaTheme="minorHAnsi" w:hAnsi="Palatino Linotype"/>
          <w:szCs w:val="24"/>
        </w:rPr>
      </w:pPr>
    </w:p>
    <w:p w:rsidR="00790996" w:rsidRPr="00D74E21" w:rsidRDefault="00790996" w:rsidP="00D74E21">
      <w:pPr>
        <w:ind w:firstLine="720"/>
        <w:jc w:val="both"/>
        <w:rPr>
          <w:rFonts w:ascii="Palatino Linotype" w:eastAsiaTheme="minorHAnsi" w:hAnsi="Palatino Linotype"/>
          <w:szCs w:val="24"/>
        </w:rPr>
      </w:pPr>
      <w:r w:rsidRPr="00D74E21">
        <w:rPr>
          <w:rFonts w:ascii="Palatino Linotype" w:eastAsiaTheme="minorHAnsi" w:hAnsi="Palatino Linotype"/>
          <w:szCs w:val="24"/>
        </w:rPr>
        <w:t xml:space="preserve">The Board serves as an advisory body to the Commissioner of the Department of Youth and Community Development (“DYCD”) with respect to the development of programs and policies relating to youth in the City of New York pursuant to Chapter 30 of the </w:t>
      </w:r>
      <w:r w:rsidRPr="00D74E21">
        <w:rPr>
          <w:rFonts w:ascii="Palatino Linotype" w:eastAsiaTheme="minorHAnsi" w:hAnsi="Palatino Linotype"/>
          <w:i/>
          <w:iCs/>
          <w:szCs w:val="24"/>
        </w:rPr>
        <w:t xml:space="preserve">Charter, </w:t>
      </w:r>
      <w:r w:rsidRPr="00D74E21">
        <w:rPr>
          <w:rFonts w:ascii="Palatino Linotype" w:eastAsiaTheme="minorHAnsi" w:hAnsi="Palatino Linotype"/>
          <w:szCs w:val="24"/>
        </w:rPr>
        <w:t xml:space="preserve">Chapter 4, Title 21 of the </w:t>
      </w:r>
      <w:r w:rsidRPr="00D74E21">
        <w:rPr>
          <w:rFonts w:ascii="Palatino Linotype" w:eastAsiaTheme="minorHAnsi" w:hAnsi="Palatino Linotype"/>
          <w:i/>
          <w:iCs/>
          <w:szCs w:val="24"/>
        </w:rPr>
        <w:t xml:space="preserve">Administrative Code, </w:t>
      </w:r>
      <w:r w:rsidRPr="00D74E21">
        <w:rPr>
          <w:rFonts w:ascii="Palatino Linotype" w:eastAsiaTheme="minorHAnsi" w:hAnsi="Palatino Linotype"/>
          <w:szCs w:val="24"/>
        </w:rPr>
        <w:t xml:space="preserve">Article 19-G of the </w:t>
      </w:r>
      <w:r w:rsidRPr="00D74E21">
        <w:rPr>
          <w:rFonts w:ascii="Palatino Linotype" w:eastAsiaTheme="minorHAnsi" w:hAnsi="Palatino Linotype"/>
          <w:i/>
          <w:iCs/>
          <w:szCs w:val="24"/>
        </w:rPr>
        <w:t>New York State Executive Law</w:t>
      </w:r>
      <w:r w:rsidRPr="00D74E21">
        <w:rPr>
          <w:rFonts w:ascii="Palatino Linotype" w:eastAsiaTheme="minorHAnsi" w:hAnsi="Palatino Linotype"/>
          <w:szCs w:val="24"/>
        </w:rPr>
        <w:t xml:space="preserve">, and regulations promulgated by the Director of the Division of Youth pursuant to such Article codified at Title 9 of the </w:t>
      </w:r>
      <w:r w:rsidRPr="00D74E21">
        <w:rPr>
          <w:rFonts w:ascii="Palatino Linotype" w:eastAsiaTheme="minorHAnsi" w:hAnsi="Palatino Linotype"/>
          <w:i/>
          <w:iCs/>
          <w:szCs w:val="24"/>
        </w:rPr>
        <w:t>Official Compilation of Codes, Rules and Regulations of the State of New York (“NYCRR”)</w:t>
      </w:r>
      <w:r w:rsidRPr="00D74E21">
        <w:rPr>
          <w:rFonts w:ascii="Palatino Linotype" w:eastAsiaTheme="minorHAnsi" w:hAnsi="Palatino Linotype"/>
          <w:szCs w:val="24"/>
        </w:rPr>
        <w:t xml:space="preserve"> Part 164, Subpart 165-1 [New York City Youth Board By-laws, Article II]. According to Article II of the Board’s By-Laws, the powers, duties and responsibilities of the Board are to:</w:t>
      </w:r>
    </w:p>
    <w:p w:rsidR="00790996" w:rsidRPr="00D74E21" w:rsidRDefault="00790996" w:rsidP="00790996">
      <w:pPr>
        <w:jc w:val="both"/>
        <w:rPr>
          <w:rFonts w:ascii="Palatino Linotype" w:eastAsiaTheme="minorHAnsi" w:hAnsi="Palatino Linotype"/>
          <w:szCs w:val="24"/>
        </w:rPr>
      </w:pPr>
    </w:p>
    <w:p w:rsidR="00790996" w:rsidRPr="00D74E21" w:rsidRDefault="00790996" w:rsidP="00790996">
      <w:pPr>
        <w:numPr>
          <w:ilvl w:val="0"/>
          <w:numId w:val="12"/>
        </w:numPr>
        <w:jc w:val="both"/>
        <w:rPr>
          <w:rFonts w:ascii="Palatino Linotype" w:eastAsiaTheme="minorHAnsi" w:hAnsi="Palatino Linotype"/>
          <w:szCs w:val="24"/>
        </w:rPr>
      </w:pPr>
      <w:r w:rsidRPr="00D74E21">
        <w:rPr>
          <w:rFonts w:ascii="Palatino Linotype" w:eastAsiaTheme="minorHAnsi" w:hAnsi="Palatino Linotype"/>
          <w:szCs w:val="24"/>
        </w:rPr>
        <w:t>After consultation with the Commissioner of the Department of Youth and Community Development, recommend policies and/or plans, which promote youth development and prevent delinquency.</w:t>
      </w:r>
    </w:p>
    <w:p w:rsidR="00790996" w:rsidRPr="00D74E21" w:rsidRDefault="00790996" w:rsidP="00790996">
      <w:pPr>
        <w:jc w:val="both"/>
        <w:rPr>
          <w:rFonts w:ascii="Palatino Linotype" w:eastAsiaTheme="minorHAnsi" w:hAnsi="Palatino Linotype"/>
          <w:szCs w:val="24"/>
        </w:rPr>
      </w:pPr>
    </w:p>
    <w:p w:rsidR="00790996" w:rsidRPr="00D74E21" w:rsidRDefault="00790996" w:rsidP="00790996">
      <w:pPr>
        <w:numPr>
          <w:ilvl w:val="0"/>
          <w:numId w:val="12"/>
        </w:numPr>
        <w:jc w:val="both"/>
        <w:rPr>
          <w:rFonts w:ascii="Palatino Linotype" w:eastAsiaTheme="minorHAnsi" w:hAnsi="Palatino Linotype"/>
          <w:szCs w:val="24"/>
        </w:rPr>
      </w:pPr>
      <w:r w:rsidRPr="00D74E21">
        <w:rPr>
          <w:rFonts w:ascii="Palatino Linotype" w:eastAsiaTheme="minorHAnsi" w:hAnsi="Palatino Linotype"/>
          <w:szCs w:val="24"/>
        </w:rPr>
        <w:t>Advocate for youth with the executive, administrative and legislative bodies and the community at large regarding the development of services and strategies which address locally identified youth problems and needs.</w:t>
      </w:r>
    </w:p>
    <w:p w:rsidR="00790996" w:rsidRPr="00D74E21" w:rsidRDefault="00790996" w:rsidP="00790996">
      <w:pPr>
        <w:jc w:val="both"/>
        <w:rPr>
          <w:rFonts w:ascii="Palatino Linotype" w:eastAsiaTheme="minorHAnsi" w:hAnsi="Palatino Linotype"/>
          <w:szCs w:val="24"/>
        </w:rPr>
      </w:pPr>
    </w:p>
    <w:p w:rsidR="00790996" w:rsidRPr="00D74E21" w:rsidRDefault="00790996" w:rsidP="00790996">
      <w:pPr>
        <w:numPr>
          <w:ilvl w:val="0"/>
          <w:numId w:val="12"/>
        </w:numPr>
        <w:jc w:val="both"/>
        <w:rPr>
          <w:rFonts w:ascii="Palatino Linotype" w:eastAsiaTheme="minorHAnsi" w:hAnsi="Palatino Linotype"/>
          <w:i/>
          <w:iCs/>
          <w:szCs w:val="24"/>
        </w:rPr>
      </w:pPr>
      <w:r w:rsidRPr="00D74E21">
        <w:rPr>
          <w:rFonts w:ascii="Palatino Linotype" w:eastAsiaTheme="minorHAnsi" w:hAnsi="Palatino Linotype"/>
          <w:szCs w:val="24"/>
        </w:rPr>
        <w:t>Establish closer cooperation among employees, labor, school, churches, recreation and/or youth commission, service clubs, youth and family service providers and other public and private agencies to encourage youth programs on the basis of local community planning.</w:t>
      </w:r>
    </w:p>
    <w:p w:rsidR="00790996" w:rsidRPr="00D74E21" w:rsidRDefault="00790996" w:rsidP="00790996">
      <w:pPr>
        <w:jc w:val="both"/>
        <w:rPr>
          <w:rFonts w:ascii="Palatino Linotype" w:eastAsiaTheme="minorHAnsi" w:hAnsi="Palatino Linotype"/>
          <w:szCs w:val="24"/>
        </w:rPr>
      </w:pPr>
    </w:p>
    <w:p w:rsidR="00790996" w:rsidRPr="00D74E21" w:rsidRDefault="00790996" w:rsidP="00790996">
      <w:pPr>
        <w:numPr>
          <w:ilvl w:val="0"/>
          <w:numId w:val="12"/>
        </w:numPr>
        <w:jc w:val="both"/>
        <w:rPr>
          <w:rFonts w:ascii="Palatino Linotype" w:eastAsiaTheme="minorHAnsi" w:hAnsi="Palatino Linotype"/>
          <w:i/>
          <w:iCs/>
          <w:szCs w:val="24"/>
        </w:rPr>
      </w:pPr>
      <w:r w:rsidRPr="00D74E21">
        <w:rPr>
          <w:rFonts w:ascii="Palatino Linotype" w:eastAsiaTheme="minorHAnsi" w:hAnsi="Palatino Linotype"/>
          <w:szCs w:val="24"/>
        </w:rPr>
        <w:t>Review and analyze grants given in the Department of Youth and Community Development from federal, state and City governments and from private individuals, corporations and associations, and assist the Commissioner in developing criteria for their allocation.</w:t>
      </w:r>
    </w:p>
    <w:p w:rsidR="00790996" w:rsidRPr="00D74E21" w:rsidRDefault="00790996" w:rsidP="00790996">
      <w:pPr>
        <w:jc w:val="both"/>
        <w:rPr>
          <w:rFonts w:ascii="Palatino Linotype" w:eastAsiaTheme="minorHAnsi" w:hAnsi="Palatino Linotype"/>
          <w:szCs w:val="24"/>
        </w:rPr>
      </w:pPr>
    </w:p>
    <w:p w:rsidR="00790996" w:rsidRPr="00D74E21" w:rsidRDefault="00790996" w:rsidP="00790996">
      <w:pPr>
        <w:numPr>
          <w:ilvl w:val="0"/>
          <w:numId w:val="12"/>
        </w:numPr>
        <w:jc w:val="both"/>
        <w:rPr>
          <w:rFonts w:ascii="Palatino Linotype" w:eastAsiaTheme="minorHAnsi" w:hAnsi="Palatino Linotype"/>
          <w:i/>
          <w:iCs/>
          <w:szCs w:val="24"/>
        </w:rPr>
      </w:pPr>
      <w:r w:rsidRPr="00D74E21">
        <w:rPr>
          <w:rFonts w:ascii="Palatino Linotype" w:eastAsiaTheme="minorHAnsi" w:hAnsi="Palatino Linotype"/>
          <w:szCs w:val="24"/>
        </w:rPr>
        <w:t>In cooperation with the Commissioner of the Department of Youth and Community Development, review, analyze and recommend the acceptance or rejection of, proposals for the creation or expansion of recreational services and youth service projects or other youth programs as defined by laws of the State of New York, and make appropriate recommendations to the Mayor.</w:t>
      </w:r>
    </w:p>
    <w:p w:rsidR="00790996" w:rsidRPr="00D74E21" w:rsidRDefault="00790996" w:rsidP="00790996">
      <w:pPr>
        <w:jc w:val="both"/>
        <w:rPr>
          <w:rFonts w:ascii="Palatino Linotype" w:eastAsiaTheme="minorHAnsi" w:hAnsi="Palatino Linotype"/>
          <w:szCs w:val="24"/>
        </w:rPr>
      </w:pPr>
    </w:p>
    <w:p w:rsidR="00790996" w:rsidRPr="00D74E21" w:rsidRDefault="00790996" w:rsidP="00790996">
      <w:pPr>
        <w:numPr>
          <w:ilvl w:val="0"/>
          <w:numId w:val="12"/>
        </w:numPr>
        <w:jc w:val="both"/>
        <w:rPr>
          <w:rFonts w:ascii="Palatino Linotype" w:eastAsiaTheme="minorHAnsi" w:hAnsi="Palatino Linotype"/>
          <w:i/>
          <w:iCs/>
          <w:szCs w:val="24"/>
        </w:rPr>
      </w:pPr>
      <w:r w:rsidRPr="00D74E21">
        <w:rPr>
          <w:rFonts w:ascii="Palatino Linotype" w:eastAsiaTheme="minorHAnsi" w:hAnsi="Palatino Linotype"/>
          <w:szCs w:val="24"/>
        </w:rPr>
        <w:t>Receive, review and analyze statistical records and data, including those that reflect the incidence and trends of delinquency and youthful crimes and offenses in the City.</w:t>
      </w:r>
    </w:p>
    <w:p w:rsidR="00790996" w:rsidRPr="00D74E21" w:rsidRDefault="00790996" w:rsidP="00790996">
      <w:pPr>
        <w:jc w:val="both"/>
        <w:rPr>
          <w:rFonts w:ascii="Palatino Linotype" w:eastAsiaTheme="minorHAnsi" w:hAnsi="Palatino Linotype"/>
          <w:szCs w:val="24"/>
        </w:rPr>
      </w:pPr>
    </w:p>
    <w:p w:rsidR="00790996" w:rsidRPr="00D74E21" w:rsidRDefault="00790996" w:rsidP="00790996">
      <w:pPr>
        <w:numPr>
          <w:ilvl w:val="0"/>
          <w:numId w:val="12"/>
        </w:numPr>
        <w:jc w:val="both"/>
        <w:rPr>
          <w:rFonts w:ascii="Palatino Linotype" w:eastAsiaTheme="minorHAnsi" w:hAnsi="Palatino Linotype"/>
          <w:i/>
          <w:iCs/>
          <w:szCs w:val="24"/>
        </w:rPr>
      </w:pPr>
      <w:r w:rsidRPr="00D74E21">
        <w:rPr>
          <w:rFonts w:ascii="Palatino Linotype" w:eastAsiaTheme="minorHAnsi" w:hAnsi="Palatino Linotype"/>
          <w:szCs w:val="24"/>
        </w:rPr>
        <w:t>Appoint such advisory groups and committees as may be necessary to carry out the powers and duties of the Board.</w:t>
      </w:r>
    </w:p>
    <w:p w:rsidR="00790996" w:rsidRPr="00D74E21" w:rsidRDefault="00790996" w:rsidP="00790996">
      <w:pPr>
        <w:jc w:val="both"/>
        <w:rPr>
          <w:rFonts w:ascii="Palatino Linotype" w:eastAsiaTheme="minorHAnsi" w:hAnsi="Palatino Linotype"/>
          <w:szCs w:val="24"/>
        </w:rPr>
      </w:pPr>
    </w:p>
    <w:p w:rsidR="00790996" w:rsidRPr="00D74E21" w:rsidRDefault="00790996" w:rsidP="00790996">
      <w:pPr>
        <w:numPr>
          <w:ilvl w:val="0"/>
          <w:numId w:val="12"/>
        </w:numPr>
        <w:jc w:val="both"/>
        <w:rPr>
          <w:rFonts w:ascii="Palatino Linotype" w:eastAsiaTheme="minorHAnsi" w:hAnsi="Palatino Linotype"/>
          <w:i/>
          <w:iCs/>
          <w:szCs w:val="24"/>
        </w:rPr>
      </w:pPr>
      <w:r w:rsidRPr="00D74E21">
        <w:rPr>
          <w:rFonts w:ascii="Palatino Linotype" w:eastAsiaTheme="minorHAnsi" w:hAnsi="Palatino Linotype"/>
          <w:szCs w:val="24"/>
        </w:rPr>
        <w:t>Assist in the development of a comprehensive planning process, except as provided in section 165.2 (a)(4)(I)(a) and (b) of Part 164 of Title 9 of the NYCRR.</w:t>
      </w:r>
    </w:p>
    <w:p w:rsidR="00790996" w:rsidRPr="00D74E21" w:rsidRDefault="00790996" w:rsidP="00790996">
      <w:pPr>
        <w:jc w:val="both"/>
        <w:rPr>
          <w:rFonts w:ascii="Palatino Linotype" w:eastAsiaTheme="minorHAnsi" w:hAnsi="Palatino Linotype"/>
          <w:szCs w:val="24"/>
        </w:rPr>
      </w:pPr>
    </w:p>
    <w:p w:rsidR="00790996" w:rsidRPr="00D74E21" w:rsidRDefault="00790996" w:rsidP="00D74E21">
      <w:pPr>
        <w:ind w:firstLine="720"/>
        <w:jc w:val="both"/>
        <w:rPr>
          <w:rFonts w:ascii="Palatino Linotype" w:eastAsiaTheme="minorHAnsi" w:hAnsi="Palatino Linotype"/>
          <w:i/>
          <w:iCs/>
          <w:szCs w:val="24"/>
        </w:rPr>
      </w:pPr>
      <w:r w:rsidRPr="00D74E21">
        <w:rPr>
          <w:rFonts w:ascii="Palatino Linotype" w:eastAsiaTheme="minorHAnsi" w:hAnsi="Palatino Linotype"/>
          <w:szCs w:val="24"/>
        </w:rPr>
        <w:t>The Board consists of up to 28 members appointed by the Mayor, 14 of whom are appointed upon recommendation of the City Council [</w:t>
      </w:r>
      <w:r w:rsidRPr="00D74E21">
        <w:rPr>
          <w:rFonts w:ascii="Palatino Linotype" w:eastAsiaTheme="minorHAnsi" w:hAnsi="Palatino Linotype"/>
          <w:i/>
          <w:iCs/>
          <w:szCs w:val="24"/>
        </w:rPr>
        <w:t>Charter</w:t>
      </w:r>
      <w:r w:rsidRPr="00D74E21">
        <w:rPr>
          <w:rFonts w:ascii="Palatino Linotype" w:eastAsiaTheme="minorHAnsi" w:hAnsi="Palatino Linotype"/>
          <w:szCs w:val="24"/>
        </w:rPr>
        <w:t xml:space="preserve"> §734(c)].  The Mayor designates one of the members of the Board to serve as its Chair [</w:t>
      </w:r>
      <w:r w:rsidRPr="00D74E21">
        <w:rPr>
          <w:rFonts w:ascii="Palatino Linotype" w:eastAsiaTheme="minorHAnsi" w:hAnsi="Palatino Linotype"/>
          <w:i/>
          <w:iCs/>
          <w:szCs w:val="24"/>
        </w:rPr>
        <w:t>Charter</w:t>
      </w:r>
      <w:r w:rsidRPr="00D74E21">
        <w:rPr>
          <w:rFonts w:ascii="Palatino Linotype" w:eastAsiaTheme="minorHAnsi" w:hAnsi="Palatino Linotype"/>
          <w:szCs w:val="24"/>
        </w:rPr>
        <w:t xml:space="preserve"> §734(d)].  The members of the Board are required to meet at least quarterly [</w:t>
      </w:r>
      <w:r w:rsidRPr="00D74E21">
        <w:rPr>
          <w:rFonts w:ascii="Palatino Linotype" w:eastAsiaTheme="minorHAnsi" w:hAnsi="Palatino Linotype"/>
          <w:i/>
          <w:iCs/>
          <w:szCs w:val="24"/>
        </w:rPr>
        <w:t>Charter</w:t>
      </w:r>
      <w:r w:rsidRPr="00D74E21">
        <w:rPr>
          <w:rFonts w:ascii="Palatino Linotype" w:eastAsiaTheme="minorHAnsi" w:hAnsi="Palatino Linotype"/>
          <w:szCs w:val="24"/>
        </w:rPr>
        <w:t xml:space="preserve"> §734(f)], and serve without compensation [</w:t>
      </w:r>
      <w:r w:rsidRPr="00D74E21">
        <w:rPr>
          <w:rFonts w:ascii="Palatino Linotype" w:eastAsiaTheme="minorHAnsi" w:hAnsi="Palatino Linotype"/>
          <w:i/>
          <w:iCs/>
          <w:szCs w:val="24"/>
        </w:rPr>
        <w:t>Charter</w:t>
      </w:r>
      <w:r w:rsidRPr="00D74E21">
        <w:rPr>
          <w:rFonts w:ascii="Palatino Linotype" w:eastAsiaTheme="minorHAnsi" w:hAnsi="Palatino Linotype"/>
          <w:szCs w:val="24"/>
        </w:rPr>
        <w:t xml:space="preserve"> §734(e)].  The </w:t>
      </w:r>
      <w:r w:rsidRPr="00D74E21">
        <w:rPr>
          <w:rFonts w:ascii="Palatino Linotype" w:eastAsiaTheme="minorHAnsi" w:hAnsi="Palatino Linotype"/>
          <w:i/>
          <w:iCs/>
          <w:szCs w:val="24"/>
        </w:rPr>
        <w:t>Charter</w:t>
      </w:r>
      <w:r w:rsidRPr="00D74E21">
        <w:rPr>
          <w:rFonts w:ascii="Palatino Linotype" w:eastAsiaTheme="minorHAnsi" w:hAnsi="Palatino Linotype"/>
          <w:szCs w:val="24"/>
        </w:rPr>
        <w:t xml:space="preserve"> does not define member terms of office.</w:t>
      </w:r>
      <w:r w:rsidRPr="00D74E21">
        <w:rPr>
          <w:rFonts w:ascii="Palatino Linotype" w:eastAsiaTheme="minorHAnsi" w:hAnsi="Palatino Linotype"/>
          <w:i/>
          <w:iCs/>
          <w:szCs w:val="24"/>
        </w:rPr>
        <w:t xml:space="preserve"> </w:t>
      </w:r>
    </w:p>
    <w:p w:rsidR="00790996" w:rsidRPr="00D74E21" w:rsidRDefault="00790996" w:rsidP="00790996">
      <w:pPr>
        <w:jc w:val="both"/>
        <w:rPr>
          <w:rFonts w:ascii="Palatino Linotype" w:eastAsiaTheme="minorHAnsi" w:hAnsi="Palatino Linotype"/>
          <w:i/>
          <w:iCs/>
          <w:szCs w:val="24"/>
        </w:rPr>
      </w:pPr>
    </w:p>
    <w:p w:rsidR="00252D15" w:rsidRPr="00D74E21" w:rsidRDefault="00790996" w:rsidP="00252D15">
      <w:pPr>
        <w:ind w:firstLine="720"/>
        <w:jc w:val="both"/>
        <w:rPr>
          <w:rFonts w:ascii="Palatino Linotype" w:hAnsi="Palatino Linotype"/>
          <w:szCs w:val="24"/>
        </w:rPr>
      </w:pPr>
      <w:r w:rsidRPr="00D74E21">
        <w:rPr>
          <w:rFonts w:ascii="Palatino Linotype" w:eastAsiaTheme="minorHAnsi" w:hAnsi="Palatino Linotype"/>
          <w:szCs w:val="24"/>
        </w:rPr>
        <w:t>If recommended by the Council and subsequently appointed by the Mayor, M</w:t>
      </w:r>
      <w:r w:rsidR="00252D15" w:rsidRPr="00D74E21">
        <w:rPr>
          <w:rFonts w:ascii="Palatino Linotype" w:eastAsiaTheme="minorHAnsi" w:hAnsi="Palatino Linotype"/>
          <w:szCs w:val="24"/>
        </w:rPr>
        <w:t>r</w:t>
      </w:r>
      <w:r w:rsidRPr="00D74E21">
        <w:rPr>
          <w:rFonts w:ascii="Palatino Linotype" w:eastAsiaTheme="minorHAnsi" w:hAnsi="Palatino Linotype"/>
          <w:szCs w:val="24"/>
        </w:rPr>
        <w:t>.</w:t>
      </w:r>
      <w:r w:rsidR="00252D15" w:rsidRPr="00D74E21">
        <w:rPr>
          <w:rFonts w:ascii="Palatino Linotype" w:eastAsiaTheme="minorHAnsi" w:hAnsi="Palatino Linotype"/>
          <w:szCs w:val="24"/>
        </w:rPr>
        <w:t xml:space="preserve"> Bastardi,</w:t>
      </w:r>
      <w:r w:rsidRPr="00D74E21">
        <w:rPr>
          <w:rFonts w:ascii="Palatino Linotype" w:eastAsiaTheme="minorHAnsi" w:hAnsi="Palatino Linotype"/>
          <w:szCs w:val="24"/>
        </w:rPr>
        <w:t xml:space="preserve"> a resident of </w:t>
      </w:r>
      <w:r w:rsidR="00252D15" w:rsidRPr="00D74E21">
        <w:rPr>
          <w:rFonts w:ascii="Palatino Linotype" w:eastAsiaTheme="minorHAnsi" w:hAnsi="Palatino Linotype"/>
          <w:szCs w:val="24"/>
        </w:rPr>
        <w:t>Manhattan</w:t>
      </w:r>
      <w:r w:rsidRPr="00D74E21">
        <w:rPr>
          <w:rFonts w:ascii="Palatino Linotype" w:eastAsiaTheme="minorHAnsi" w:hAnsi="Palatino Linotype"/>
          <w:szCs w:val="24"/>
        </w:rPr>
        <w:t xml:space="preserve">, will fill a vacant position and be eligible to serve for an undefined term.   </w:t>
      </w:r>
      <w:r w:rsidR="00252D15" w:rsidRPr="00D74E21">
        <w:rPr>
          <w:rFonts w:ascii="Palatino Linotype" w:hAnsi="Palatino Linotype"/>
          <w:szCs w:val="24"/>
        </w:rPr>
        <w:t>Copies of Mr. Bastardi’s résumé and report/resolution are attached to this Briefing paper.</w:t>
      </w:r>
    </w:p>
    <w:p w:rsidR="00D74E21" w:rsidRPr="00D74E21" w:rsidRDefault="00D74E21" w:rsidP="00252D15">
      <w:pPr>
        <w:ind w:firstLine="720"/>
        <w:jc w:val="both"/>
        <w:rPr>
          <w:rFonts w:ascii="Palatino Linotype" w:hAnsi="Palatino Linotype"/>
          <w:szCs w:val="24"/>
        </w:rPr>
      </w:pPr>
    </w:p>
    <w:p w:rsidR="00D74E21" w:rsidRDefault="00D74E21" w:rsidP="00D74E21">
      <w:pPr>
        <w:ind w:firstLine="720"/>
        <w:jc w:val="both"/>
        <w:rPr>
          <w:rFonts w:ascii="Palatino Linotype" w:eastAsiaTheme="minorHAnsi" w:hAnsi="Palatino Linotype"/>
          <w:szCs w:val="24"/>
        </w:rPr>
      </w:pPr>
    </w:p>
    <w:p w:rsidR="00D74E21" w:rsidRPr="00D74E21" w:rsidRDefault="00D74E21" w:rsidP="00D74E21">
      <w:pPr>
        <w:ind w:firstLine="720"/>
        <w:jc w:val="both"/>
        <w:rPr>
          <w:rFonts w:ascii="Palatino Linotype" w:hAnsi="Palatino Linotype"/>
          <w:color w:val="000000"/>
          <w:sz w:val="26"/>
          <w:szCs w:val="26"/>
        </w:rPr>
      </w:pPr>
      <w:r w:rsidRPr="00D74E21">
        <w:rPr>
          <w:rFonts w:ascii="Palatino Linotype" w:eastAsiaTheme="minorHAnsi" w:hAnsi="Palatino Linotype"/>
          <w:szCs w:val="24"/>
        </w:rPr>
        <w:t xml:space="preserve">If recommended by the Council and subsequently appointed by the Mayor, Ms. Kruvelis, a resident of Brooklyn, will fill a vacant position and be eligible to serve for an undefined term.   </w:t>
      </w:r>
      <w:r w:rsidRPr="00D74E21">
        <w:rPr>
          <w:rFonts w:ascii="Palatino Linotype" w:hAnsi="Palatino Linotype"/>
          <w:szCs w:val="24"/>
        </w:rPr>
        <w:t>Copies of Ms. Kruvelis’ résumé and report/resolution are attached to this Briefing paper.</w:t>
      </w:r>
    </w:p>
    <w:p w:rsidR="00D74E21" w:rsidRPr="00D74E21" w:rsidRDefault="00D74E21" w:rsidP="00D74E21">
      <w:pPr>
        <w:ind w:firstLine="720"/>
        <w:jc w:val="both"/>
        <w:rPr>
          <w:rFonts w:ascii="Palatino Linotype" w:eastAsiaTheme="minorHAnsi" w:hAnsi="Palatino Linotype"/>
          <w:szCs w:val="24"/>
        </w:rPr>
      </w:pPr>
      <w:r w:rsidRPr="00D74E21">
        <w:rPr>
          <w:rFonts w:ascii="Palatino Linotype" w:eastAsiaTheme="minorHAnsi" w:hAnsi="Palatino Linotype"/>
          <w:szCs w:val="24"/>
        </w:rPr>
        <w:t xml:space="preserve"> </w:t>
      </w:r>
    </w:p>
    <w:p w:rsidR="00D74E21" w:rsidRPr="00D74E21" w:rsidRDefault="00D74E21" w:rsidP="00252D15">
      <w:pPr>
        <w:ind w:firstLine="720"/>
        <w:jc w:val="both"/>
        <w:rPr>
          <w:rFonts w:ascii="Palatino Linotype" w:hAnsi="Palatino Linotype"/>
          <w:color w:val="000000"/>
          <w:sz w:val="26"/>
          <w:szCs w:val="26"/>
        </w:rPr>
      </w:pPr>
    </w:p>
    <w:p w:rsidR="00790996" w:rsidRPr="00D74E21" w:rsidRDefault="00790996" w:rsidP="00252D15">
      <w:pPr>
        <w:ind w:firstLine="720"/>
        <w:jc w:val="both"/>
        <w:rPr>
          <w:rFonts w:ascii="Palatino Linotype" w:eastAsiaTheme="minorHAnsi" w:hAnsi="Palatino Linotype"/>
          <w:szCs w:val="24"/>
        </w:rPr>
      </w:pPr>
      <w:r w:rsidRPr="00D74E21">
        <w:rPr>
          <w:rFonts w:ascii="Palatino Linotype" w:eastAsiaTheme="minorHAnsi" w:hAnsi="Palatino Linotype"/>
          <w:szCs w:val="24"/>
        </w:rPr>
        <w:t xml:space="preserve"> </w:t>
      </w:r>
    </w:p>
    <w:p w:rsidR="00F04E85" w:rsidRPr="00D74E21" w:rsidRDefault="00F04E85" w:rsidP="00F04E85">
      <w:pPr>
        <w:jc w:val="both"/>
        <w:rPr>
          <w:rFonts w:ascii="Palatino Linotype" w:hAnsi="Palatino Linotype"/>
        </w:rPr>
      </w:pPr>
    </w:p>
    <w:p w:rsidR="00174868" w:rsidRPr="00D74E21" w:rsidRDefault="00174868" w:rsidP="00327807">
      <w:pPr>
        <w:snapToGrid w:val="0"/>
        <w:jc w:val="both"/>
        <w:rPr>
          <w:rFonts w:ascii="Palatino Linotype" w:hAnsi="Palatino Linotype"/>
          <w:b/>
          <w:u w:val="single"/>
        </w:rPr>
      </w:pPr>
    </w:p>
    <w:p w:rsidR="00327807" w:rsidRPr="00D74E21" w:rsidRDefault="00327807" w:rsidP="00327807">
      <w:pPr>
        <w:snapToGrid w:val="0"/>
        <w:jc w:val="both"/>
        <w:rPr>
          <w:rFonts w:ascii="Palatino Linotype" w:hAnsi="Palatino Linotype"/>
          <w:b/>
          <w:u w:val="single"/>
        </w:rPr>
      </w:pPr>
      <w:r w:rsidRPr="00D74E21">
        <w:rPr>
          <w:rFonts w:ascii="Palatino Linotype" w:hAnsi="Palatino Linotype"/>
          <w:b/>
          <w:u w:val="single"/>
        </w:rPr>
        <w:t>PROJECT STAFF</w:t>
      </w:r>
    </w:p>
    <w:p w:rsidR="00202F73" w:rsidRPr="00D74E21" w:rsidRDefault="00202F73" w:rsidP="00202F73">
      <w:pPr>
        <w:snapToGrid w:val="0"/>
        <w:jc w:val="both"/>
        <w:rPr>
          <w:rFonts w:ascii="Palatino Linotype" w:hAnsi="Palatino Linotype"/>
        </w:rPr>
      </w:pPr>
      <w:r w:rsidRPr="00D74E21">
        <w:rPr>
          <w:rFonts w:ascii="Palatino Linotype" w:hAnsi="Palatino Linotype"/>
        </w:rPr>
        <w:t xml:space="preserve">Charles W. Davis III, </w:t>
      </w:r>
      <w:r w:rsidR="00D84956" w:rsidRPr="00D74E21">
        <w:rPr>
          <w:rFonts w:ascii="Palatino Linotype" w:hAnsi="Palatino Linotype"/>
        </w:rPr>
        <w:t>Chief Compliance Officer</w:t>
      </w:r>
    </w:p>
    <w:p w:rsidR="00202F73" w:rsidRPr="00D74E21" w:rsidRDefault="00D84956" w:rsidP="00202F73">
      <w:pPr>
        <w:snapToGrid w:val="0"/>
        <w:jc w:val="both"/>
        <w:rPr>
          <w:rFonts w:ascii="Palatino Linotype" w:hAnsi="Palatino Linotype"/>
        </w:rPr>
      </w:pPr>
      <w:r w:rsidRPr="00D74E21">
        <w:rPr>
          <w:rFonts w:ascii="Palatino Linotype" w:hAnsi="Palatino Linotype"/>
        </w:rPr>
        <w:t>Andre Johnson Brown, Legislative Investigator</w:t>
      </w:r>
    </w:p>
    <w:p w:rsidR="002337CA" w:rsidRPr="00D74E21" w:rsidRDefault="00790996" w:rsidP="002337CA">
      <w:pPr>
        <w:snapToGrid w:val="0"/>
        <w:jc w:val="both"/>
        <w:rPr>
          <w:rFonts w:ascii="Palatino Linotype" w:hAnsi="Palatino Linotype"/>
        </w:rPr>
      </w:pPr>
      <w:r w:rsidRPr="00D74E21">
        <w:rPr>
          <w:rFonts w:ascii="Palatino Linotype" w:hAnsi="Palatino Linotype"/>
        </w:rPr>
        <w:t>Alycia Vassell, Senior Legislative Investigator</w:t>
      </w:r>
    </w:p>
    <w:p w:rsidR="00790996" w:rsidRPr="00D74E21" w:rsidRDefault="00790996" w:rsidP="002337CA">
      <w:pPr>
        <w:snapToGrid w:val="0"/>
        <w:jc w:val="both"/>
        <w:rPr>
          <w:rFonts w:ascii="Palatino Linotype" w:hAnsi="Palatino Linotype"/>
        </w:rPr>
      </w:pPr>
      <w:r w:rsidRPr="00D74E21">
        <w:rPr>
          <w:rFonts w:ascii="Palatino Linotype" w:hAnsi="Palatino Linotype"/>
        </w:rPr>
        <w:t xml:space="preserve">Julius Caranda, Senior Legislative Investigator </w:t>
      </w:r>
    </w:p>
    <w:p w:rsidR="00327807" w:rsidRPr="00D74E21" w:rsidRDefault="00327807" w:rsidP="00327807">
      <w:pPr>
        <w:pStyle w:val="BlockText"/>
        <w:ind w:left="0" w:right="0"/>
        <w:rPr>
          <w:rFonts w:ascii="Palatino Linotype" w:hAnsi="Palatino Linotype"/>
        </w:rPr>
      </w:pPr>
    </w:p>
    <w:p w:rsidR="003C6183" w:rsidRPr="00D74E21" w:rsidRDefault="003C6183" w:rsidP="00327807">
      <w:pPr>
        <w:jc w:val="both"/>
        <w:rPr>
          <w:rFonts w:ascii="Palatino Linotype" w:hAnsi="Palatino Linotype"/>
          <w:szCs w:val="24"/>
        </w:rPr>
      </w:pPr>
    </w:p>
    <w:sectPr w:rsidR="003C6183" w:rsidRPr="00D74E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32A" w:rsidRDefault="007D732A" w:rsidP="00FE1F7D">
      <w:r>
        <w:separator/>
      </w:r>
    </w:p>
  </w:endnote>
  <w:endnote w:type="continuationSeparator" w:id="0">
    <w:p w:rsidR="007D732A" w:rsidRDefault="007D732A" w:rsidP="00FE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43579"/>
      <w:docPartObj>
        <w:docPartGallery w:val="Page Numbers (Bottom of Page)"/>
        <w:docPartUnique/>
      </w:docPartObj>
    </w:sdtPr>
    <w:sdtEndPr>
      <w:rPr>
        <w:noProof/>
      </w:rPr>
    </w:sdtEndPr>
    <w:sdtContent>
      <w:p w:rsidR="00155CCD" w:rsidRDefault="00155CCD">
        <w:pPr>
          <w:pStyle w:val="Footer"/>
          <w:jc w:val="center"/>
        </w:pPr>
        <w:r>
          <w:fldChar w:fldCharType="begin"/>
        </w:r>
        <w:r>
          <w:instrText xml:space="preserve"> PAGE   \* MERGEFORMAT </w:instrText>
        </w:r>
        <w:r>
          <w:fldChar w:fldCharType="separate"/>
        </w:r>
        <w:r w:rsidR="006E3F51">
          <w:rPr>
            <w:noProof/>
          </w:rPr>
          <w:t>7</w:t>
        </w:r>
        <w:r>
          <w:rPr>
            <w:noProof/>
          </w:rPr>
          <w:fldChar w:fldCharType="end"/>
        </w:r>
      </w:p>
    </w:sdtContent>
  </w:sdt>
  <w:p w:rsidR="00155CCD" w:rsidRDefault="00155CC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32A" w:rsidRDefault="007D732A" w:rsidP="00FE1F7D">
      <w:r>
        <w:separator/>
      </w:r>
    </w:p>
  </w:footnote>
  <w:footnote w:type="continuationSeparator" w:id="0">
    <w:p w:rsidR="007D732A" w:rsidRDefault="007D732A" w:rsidP="00FE1F7D">
      <w:r>
        <w:continuationSeparator/>
      </w:r>
    </w:p>
  </w:footnote>
  <w:footnote w:id="1">
    <w:p w:rsidR="00331966" w:rsidRDefault="00331966" w:rsidP="00331966">
      <w:pPr>
        <w:pStyle w:val="FootnoteText"/>
      </w:pPr>
      <w:r>
        <w:rPr>
          <w:rStyle w:val="FootnoteReference"/>
        </w:rPr>
        <w:footnoteRef/>
      </w:r>
      <w:r>
        <w:t xml:space="preserve"> The Tax Commission currently consists of the following members: Ellen E. Hoffman, President; Susan Grossman; Kirk Tzanides; and Richard Stabile.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0FD"/>
    <w:multiLevelType w:val="hybridMultilevel"/>
    <w:tmpl w:val="9F3AF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D5F50"/>
    <w:multiLevelType w:val="hybridMultilevel"/>
    <w:tmpl w:val="8BDE5E9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A782C"/>
    <w:multiLevelType w:val="hybridMultilevel"/>
    <w:tmpl w:val="FF04EF5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2B06BB9"/>
    <w:multiLevelType w:val="hybridMultilevel"/>
    <w:tmpl w:val="CC84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31B9D"/>
    <w:multiLevelType w:val="hybridMultilevel"/>
    <w:tmpl w:val="2790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D3B65"/>
    <w:multiLevelType w:val="hybridMultilevel"/>
    <w:tmpl w:val="27C4DDE0"/>
    <w:lvl w:ilvl="0" w:tplc="04090005">
      <w:start w:val="1"/>
      <w:numFmt w:val="bullet"/>
      <w:lvlText w:val=""/>
      <w:lvlJc w:val="left"/>
      <w:pPr>
        <w:tabs>
          <w:tab w:val="num" w:pos="2352"/>
        </w:tabs>
        <w:ind w:left="2352" w:hanging="360"/>
      </w:pPr>
      <w:rPr>
        <w:rFonts w:ascii="Wingdings" w:hAnsi="Wingdings" w:hint="default"/>
      </w:rPr>
    </w:lvl>
    <w:lvl w:ilvl="1" w:tplc="04090003">
      <w:start w:val="1"/>
      <w:numFmt w:val="bullet"/>
      <w:lvlText w:val="o"/>
      <w:lvlJc w:val="left"/>
      <w:pPr>
        <w:tabs>
          <w:tab w:val="num" w:pos="3072"/>
        </w:tabs>
        <w:ind w:left="3072" w:hanging="360"/>
      </w:pPr>
      <w:rPr>
        <w:rFonts w:ascii="Courier New" w:hAnsi="Courier New" w:cs="Times New Roman" w:hint="default"/>
      </w:rPr>
    </w:lvl>
    <w:lvl w:ilvl="2" w:tplc="04090005">
      <w:start w:val="1"/>
      <w:numFmt w:val="bullet"/>
      <w:lvlText w:val=""/>
      <w:lvlJc w:val="left"/>
      <w:pPr>
        <w:tabs>
          <w:tab w:val="num" w:pos="3792"/>
        </w:tabs>
        <w:ind w:left="3792" w:hanging="360"/>
      </w:pPr>
      <w:rPr>
        <w:rFonts w:ascii="Wingdings" w:hAnsi="Wingdings" w:hint="default"/>
      </w:rPr>
    </w:lvl>
    <w:lvl w:ilvl="3" w:tplc="04090001">
      <w:start w:val="1"/>
      <w:numFmt w:val="bullet"/>
      <w:lvlText w:val=""/>
      <w:lvlJc w:val="left"/>
      <w:pPr>
        <w:tabs>
          <w:tab w:val="num" w:pos="4512"/>
        </w:tabs>
        <w:ind w:left="4512" w:hanging="360"/>
      </w:pPr>
      <w:rPr>
        <w:rFonts w:ascii="Symbol" w:hAnsi="Symbol" w:hint="default"/>
      </w:rPr>
    </w:lvl>
    <w:lvl w:ilvl="4" w:tplc="04090003">
      <w:start w:val="1"/>
      <w:numFmt w:val="bullet"/>
      <w:lvlText w:val="o"/>
      <w:lvlJc w:val="left"/>
      <w:pPr>
        <w:tabs>
          <w:tab w:val="num" w:pos="5232"/>
        </w:tabs>
        <w:ind w:left="5232" w:hanging="360"/>
      </w:pPr>
      <w:rPr>
        <w:rFonts w:ascii="Courier New" w:hAnsi="Courier New" w:cs="Times New Roman" w:hint="default"/>
      </w:rPr>
    </w:lvl>
    <w:lvl w:ilvl="5" w:tplc="04090005">
      <w:start w:val="1"/>
      <w:numFmt w:val="bullet"/>
      <w:lvlText w:val=""/>
      <w:lvlJc w:val="left"/>
      <w:pPr>
        <w:tabs>
          <w:tab w:val="num" w:pos="5952"/>
        </w:tabs>
        <w:ind w:left="5952" w:hanging="360"/>
      </w:pPr>
      <w:rPr>
        <w:rFonts w:ascii="Wingdings" w:hAnsi="Wingdings" w:hint="default"/>
      </w:rPr>
    </w:lvl>
    <w:lvl w:ilvl="6" w:tplc="04090001">
      <w:start w:val="1"/>
      <w:numFmt w:val="bullet"/>
      <w:lvlText w:val=""/>
      <w:lvlJc w:val="left"/>
      <w:pPr>
        <w:tabs>
          <w:tab w:val="num" w:pos="6672"/>
        </w:tabs>
        <w:ind w:left="6672" w:hanging="360"/>
      </w:pPr>
      <w:rPr>
        <w:rFonts w:ascii="Symbol" w:hAnsi="Symbol" w:hint="default"/>
      </w:rPr>
    </w:lvl>
    <w:lvl w:ilvl="7" w:tplc="04090003">
      <w:start w:val="1"/>
      <w:numFmt w:val="bullet"/>
      <w:lvlText w:val="o"/>
      <w:lvlJc w:val="left"/>
      <w:pPr>
        <w:tabs>
          <w:tab w:val="num" w:pos="7392"/>
        </w:tabs>
        <w:ind w:left="7392" w:hanging="360"/>
      </w:pPr>
      <w:rPr>
        <w:rFonts w:ascii="Courier New" w:hAnsi="Courier New" w:cs="Times New Roman" w:hint="default"/>
      </w:rPr>
    </w:lvl>
    <w:lvl w:ilvl="8" w:tplc="04090005">
      <w:start w:val="1"/>
      <w:numFmt w:val="bullet"/>
      <w:lvlText w:val=""/>
      <w:lvlJc w:val="left"/>
      <w:pPr>
        <w:tabs>
          <w:tab w:val="num" w:pos="8112"/>
        </w:tabs>
        <w:ind w:left="8112" w:hanging="360"/>
      </w:pPr>
      <w:rPr>
        <w:rFonts w:ascii="Wingdings" w:hAnsi="Wingdings" w:hint="default"/>
      </w:rPr>
    </w:lvl>
  </w:abstractNum>
  <w:abstractNum w:abstractNumId="6" w15:restartNumberingAfterBreak="0">
    <w:nsid w:val="4E030236"/>
    <w:multiLevelType w:val="hybridMultilevel"/>
    <w:tmpl w:val="02AE2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6C01EF"/>
    <w:multiLevelType w:val="hybridMultilevel"/>
    <w:tmpl w:val="9334C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FD0A9F"/>
    <w:multiLevelType w:val="hybridMultilevel"/>
    <w:tmpl w:val="56266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A21E2B"/>
    <w:multiLevelType w:val="hybridMultilevel"/>
    <w:tmpl w:val="28220C88"/>
    <w:lvl w:ilvl="0" w:tplc="8A6493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5"/>
  </w:num>
  <w:num w:numId="6">
    <w:abstractNumId w:val="8"/>
  </w:num>
  <w:num w:numId="7">
    <w:abstractNumId w:val="0"/>
  </w:num>
  <w:num w:numId="8">
    <w:abstractNumId w:val="6"/>
  </w:num>
  <w:num w:numId="9">
    <w:abstractNumId w:val="0"/>
  </w:num>
  <w:num w:numId="10">
    <w:abstractNumId w:val="7"/>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83"/>
    <w:rsid w:val="000405D3"/>
    <w:rsid w:val="0005263D"/>
    <w:rsid w:val="00062D57"/>
    <w:rsid w:val="000670A6"/>
    <w:rsid w:val="000B55E7"/>
    <w:rsid w:val="000C7488"/>
    <w:rsid w:val="000D7C9C"/>
    <w:rsid w:val="001110F4"/>
    <w:rsid w:val="00113339"/>
    <w:rsid w:val="00122005"/>
    <w:rsid w:val="00122CAC"/>
    <w:rsid w:val="00127DC2"/>
    <w:rsid w:val="00145660"/>
    <w:rsid w:val="001553C5"/>
    <w:rsid w:val="00155CCD"/>
    <w:rsid w:val="00160D71"/>
    <w:rsid w:val="00174868"/>
    <w:rsid w:val="00184DA0"/>
    <w:rsid w:val="00191B45"/>
    <w:rsid w:val="001A0917"/>
    <w:rsid w:val="001B5407"/>
    <w:rsid w:val="001B61CC"/>
    <w:rsid w:val="001C56BF"/>
    <w:rsid w:val="001D051E"/>
    <w:rsid w:val="001D5680"/>
    <w:rsid w:val="001E59E3"/>
    <w:rsid w:val="00202F73"/>
    <w:rsid w:val="00204621"/>
    <w:rsid w:val="0020573C"/>
    <w:rsid w:val="00206EC6"/>
    <w:rsid w:val="002116B3"/>
    <w:rsid w:val="00214328"/>
    <w:rsid w:val="00220A63"/>
    <w:rsid w:val="00221930"/>
    <w:rsid w:val="00223F7F"/>
    <w:rsid w:val="002337CA"/>
    <w:rsid w:val="0024164F"/>
    <w:rsid w:val="00247141"/>
    <w:rsid w:val="00252D15"/>
    <w:rsid w:val="0027276D"/>
    <w:rsid w:val="00282F54"/>
    <w:rsid w:val="002838E0"/>
    <w:rsid w:val="00292A63"/>
    <w:rsid w:val="002A1C10"/>
    <w:rsid w:val="002A2214"/>
    <w:rsid w:val="002D0619"/>
    <w:rsid w:val="002E37EF"/>
    <w:rsid w:val="002F41D7"/>
    <w:rsid w:val="002F6C2B"/>
    <w:rsid w:val="0030015D"/>
    <w:rsid w:val="00327807"/>
    <w:rsid w:val="00331966"/>
    <w:rsid w:val="0033693D"/>
    <w:rsid w:val="00375624"/>
    <w:rsid w:val="003762EC"/>
    <w:rsid w:val="00380302"/>
    <w:rsid w:val="003B147B"/>
    <w:rsid w:val="003C1ADE"/>
    <w:rsid w:val="003C6183"/>
    <w:rsid w:val="003E520F"/>
    <w:rsid w:val="003E7D56"/>
    <w:rsid w:val="00424C96"/>
    <w:rsid w:val="00437ADB"/>
    <w:rsid w:val="00451659"/>
    <w:rsid w:val="00452BE8"/>
    <w:rsid w:val="004877DF"/>
    <w:rsid w:val="00490AB4"/>
    <w:rsid w:val="004A2052"/>
    <w:rsid w:val="004B5537"/>
    <w:rsid w:val="004C3E34"/>
    <w:rsid w:val="004E7572"/>
    <w:rsid w:val="004E79DF"/>
    <w:rsid w:val="00514922"/>
    <w:rsid w:val="00516A6E"/>
    <w:rsid w:val="005258F4"/>
    <w:rsid w:val="005568E9"/>
    <w:rsid w:val="00573F4A"/>
    <w:rsid w:val="00575506"/>
    <w:rsid w:val="00591E8C"/>
    <w:rsid w:val="005A1937"/>
    <w:rsid w:val="005B695F"/>
    <w:rsid w:val="005E69B9"/>
    <w:rsid w:val="006073BD"/>
    <w:rsid w:val="0061437D"/>
    <w:rsid w:val="00633DFA"/>
    <w:rsid w:val="00641737"/>
    <w:rsid w:val="00647148"/>
    <w:rsid w:val="00652072"/>
    <w:rsid w:val="006612C2"/>
    <w:rsid w:val="006643DD"/>
    <w:rsid w:val="006756A5"/>
    <w:rsid w:val="00685FE0"/>
    <w:rsid w:val="00686012"/>
    <w:rsid w:val="006860F9"/>
    <w:rsid w:val="00687008"/>
    <w:rsid w:val="006A1643"/>
    <w:rsid w:val="006B18FB"/>
    <w:rsid w:val="006B5656"/>
    <w:rsid w:val="006C0BCF"/>
    <w:rsid w:val="006C3945"/>
    <w:rsid w:val="006E16E0"/>
    <w:rsid w:val="006E3F51"/>
    <w:rsid w:val="006E5D5B"/>
    <w:rsid w:val="006F2BE4"/>
    <w:rsid w:val="007230FA"/>
    <w:rsid w:val="00725EF0"/>
    <w:rsid w:val="0074403D"/>
    <w:rsid w:val="00753423"/>
    <w:rsid w:val="00753A26"/>
    <w:rsid w:val="007566F5"/>
    <w:rsid w:val="00770ED7"/>
    <w:rsid w:val="007713C8"/>
    <w:rsid w:val="007875F2"/>
    <w:rsid w:val="00790996"/>
    <w:rsid w:val="007B5067"/>
    <w:rsid w:val="007B76E8"/>
    <w:rsid w:val="007D732A"/>
    <w:rsid w:val="007F0762"/>
    <w:rsid w:val="007F2960"/>
    <w:rsid w:val="00812308"/>
    <w:rsid w:val="00815DB4"/>
    <w:rsid w:val="00821B55"/>
    <w:rsid w:val="00824277"/>
    <w:rsid w:val="008577C1"/>
    <w:rsid w:val="00865332"/>
    <w:rsid w:val="0087006E"/>
    <w:rsid w:val="00873E78"/>
    <w:rsid w:val="00876288"/>
    <w:rsid w:val="00886EA4"/>
    <w:rsid w:val="008A105F"/>
    <w:rsid w:val="008C374B"/>
    <w:rsid w:val="008C5721"/>
    <w:rsid w:val="008D4827"/>
    <w:rsid w:val="008E5A05"/>
    <w:rsid w:val="0090632A"/>
    <w:rsid w:val="00923C63"/>
    <w:rsid w:val="00935D67"/>
    <w:rsid w:val="00962918"/>
    <w:rsid w:val="00976D30"/>
    <w:rsid w:val="0098228E"/>
    <w:rsid w:val="009A0D19"/>
    <w:rsid w:val="009C4D86"/>
    <w:rsid w:val="009D311F"/>
    <w:rsid w:val="009D5AF2"/>
    <w:rsid w:val="009D6E52"/>
    <w:rsid w:val="00A1319E"/>
    <w:rsid w:val="00A257D8"/>
    <w:rsid w:val="00A31500"/>
    <w:rsid w:val="00A53C66"/>
    <w:rsid w:val="00AA02F1"/>
    <w:rsid w:val="00AA2EA9"/>
    <w:rsid w:val="00AA2EC8"/>
    <w:rsid w:val="00AB1805"/>
    <w:rsid w:val="00AC03D3"/>
    <w:rsid w:val="00AC682A"/>
    <w:rsid w:val="00AE5460"/>
    <w:rsid w:val="00B00324"/>
    <w:rsid w:val="00B03A83"/>
    <w:rsid w:val="00B20A05"/>
    <w:rsid w:val="00B20B3F"/>
    <w:rsid w:val="00B55E68"/>
    <w:rsid w:val="00B855AC"/>
    <w:rsid w:val="00B93265"/>
    <w:rsid w:val="00B97086"/>
    <w:rsid w:val="00BB0EB6"/>
    <w:rsid w:val="00BB6FB0"/>
    <w:rsid w:val="00BF63B8"/>
    <w:rsid w:val="00C06286"/>
    <w:rsid w:val="00C1696B"/>
    <w:rsid w:val="00C25AA2"/>
    <w:rsid w:val="00C31104"/>
    <w:rsid w:val="00C3508B"/>
    <w:rsid w:val="00C41367"/>
    <w:rsid w:val="00C4497E"/>
    <w:rsid w:val="00C543D5"/>
    <w:rsid w:val="00C62167"/>
    <w:rsid w:val="00C67C13"/>
    <w:rsid w:val="00CA0AE2"/>
    <w:rsid w:val="00CA2A03"/>
    <w:rsid w:val="00CA39B7"/>
    <w:rsid w:val="00CE2B42"/>
    <w:rsid w:val="00CE4C5A"/>
    <w:rsid w:val="00CF6302"/>
    <w:rsid w:val="00D254F0"/>
    <w:rsid w:val="00D41D4D"/>
    <w:rsid w:val="00D70F61"/>
    <w:rsid w:val="00D74E21"/>
    <w:rsid w:val="00D84956"/>
    <w:rsid w:val="00D943E9"/>
    <w:rsid w:val="00D96B84"/>
    <w:rsid w:val="00DA5C3D"/>
    <w:rsid w:val="00DA71BD"/>
    <w:rsid w:val="00DF5DEA"/>
    <w:rsid w:val="00DF7623"/>
    <w:rsid w:val="00E10882"/>
    <w:rsid w:val="00E158D2"/>
    <w:rsid w:val="00E27DF9"/>
    <w:rsid w:val="00E674B9"/>
    <w:rsid w:val="00E824CB"/>
    <w:rsid w:val="00E8426E"/>
    <w:rsid w:val="00EA1029"/>
    <w:rsid w:val="00EC06FD"/>
    <w:rsid w:val="00EC0815"/>
    <w:rsid w:val="00ED3CE8"/>
    <w:rsid w:val="00EE076A"/>
    <w:rsid w:val="00EE44D1"/>
    <w:rsid w:val="00EF60BD"/>
    <w:rsid w:val="00F04E85"/>
    <w:rsid w:val="00F05C1D"/>
    <w:rsid w:val="00F120E6"/>
    <w:rsid w:val="00F1485E"/>
    <w:rsid w:val="00F346A5"/>
    <w:rsid w:val="00F518F1"/>
    <w:rsid w:val="00F54F1E"/>
    <w:rsid w:val="00F744D1"/>
    <w:rsid w:val="00F80BAA"/>
    <w:rsid w:val="00FC0417"/>
    <w:rsid w:val="00FD4A0E"/>
    <w:rsid w:val="00FE1F7D"/>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6D72E"/>
  <w15:docId w15:val="{FFD8C4DA-68E1-4252-9731-BA8AC950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183"/>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C6183"/>
    <w:pPr>
      <w:keepNext/>
      <w:tabs>
        <w:tab w:val="center" w:pos="5400"/>
      </w:tabs>
      <w:jc w:val="center"/>
      <w:outlineLvl w:val="0"/>
    </w:pPr>
    <w:rPr>
      <w:rFonts w:ascii="Tahoma" w:hAnsi="Tahoma"/>
      <w:b/>
      <w:sz w:val="28"/>
    </w:rPr>
  </w:style>
  <w:style w:type="paragraph" w:styleId="Heading2">
    <w:name w:val="heading 2"/>
    <w:basedOn w:val="Normal"/>
    <w:next w:val="Normal"/>
    <w:link w:val="Heading2Char"/>
    <w:qFormat/>
    <w:rsid w:val="003C6183"/>
    <w:pPr>
      <w:keepNext/>
      <w:ind w:left="720"/>
      <w:jc w:val="both"/>
      <w:outlineLvl w:val="1"/>
    </w:pPr>
    <w:rPr>
      <w:rFonts w:ascii="Tahoma" w:hAnsi="Tahoma"/>
      <w:sz w:val="28"/>
    </w:rPr>
  </w:style>
  <w:style w:type="paragraph" w:styleId="Heading4">
    <w:name w:val="heading 4"/>
    <w:basedOn w:val="Normal"/>
    <w:next w:val="Normal"/>
    <w:link w:val="Heading4Char"/>
    <w:uiPriority w:val="9"/>
    <w:semiHidden/>
    <w:unhideWhenUsed/>
    <w:qFormat/>
    <w:rsid w:val="00886E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183"/>
    <w:rPr>
      <w:rFonts w:ascii="Tahoma" w:eastAsia="Times New Roman" w:hAnsi="Tahoma" w:cs="Times New Roman"/>
      <w:b/>
      <w:snapToGrid w:val="0"/>
      <w:sz w:val="28"/>
      <w:szCs w:val="20"/>
    </w:rPr>
  </w:style>
  <w:style w:type="character" w:customStyle="1" w:styleId="Heading2Char">
    <w:name w:val="Heading 2 Char"/>
    <w:basedOn w:val="DefaultParagraphFont"/>
    <w:link w:val="Heading2"/>
    <w:rsid w:val="003C6183"/>
    <w:rPr>
      <w:rFonts w:ascii="Tahoma" w:eastAsia="Times New Roman" w:hAnsi="Tahoma" w:cs="Times New Roman"/>
      <w:snapToGrid w:val="0"/>
      <w:sz w:val="28"/>
      <w:szCs w:val="20"/>
    </w:rPr>
  </w:style>
  <w:style w:type="character" w:styleId="CommentReference">
    <w:name w:val="annotation reference"/>
    <w:rsid w:val="003C6183"/>
    <w:rPr>
      <w:sz w:val="16"/>
      <w:szCs w:val="16"/>
    </w:rPr>
  </w:style>
  <w:style w:type="paragraph" w:styleId="CommentText">
    <w:name w:val="annotation text"/>
    <w:basedOn w:val="Normal"/>
    <w:link w:val="CommentTextChar"/>
    <w:rsid w:val="003C6183"/>
    <w:rPr>
      <w:sz w:val="20"/>
    </w:rPr>
  </w:style>
  <w:style w:type="character" w:customStyle="1" w:styleId="CommentTextChar">
    <w:name w:val="Comment Text Char"/>
    <w:basedOn w:val="DefaultParagraphFont"/>
    <w:link w:val="CommentText"/>
    <w:rsid w:val="003C6183"/>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3C6183"/>
    <w:rPr>
      <w:rFonts w:ascii="Tahoma" w:hAnsi="Tahoma" w:cs="Tahoma"/>
      <w:sz w:val="16"/>
      <w:szCs w:val="16"/>
    </w:rPr>
  </w:style>
  <w:style w:type="character" w:customStyle="1" w:styleId="BalloonTextChar">
    <w:name w:val="Balloon Text Char"/>
    <w:basedOn w:val="DefaultParagraphFont"/>
    <w:link w:val="BalloonText"/>
    <w:uiPriority w:val="99"/>
    <w:semiHidden/>
    <w:rsid w:val="003C6183"/>
    <w:rPr>
      <w:rFonts w:ascii="Tahoma" w:eastAsia="Times New Roman" w:hAnsi="Tahoma" w:cs="Tahoma"/>
      <w:snapToGrid w:val="0"/>
      <w:sz w:val="16"/>
      <w:szCs w:val="16"/>
    </w:rPr>
  </w:style>
  <w:style w:type="paragraph" w:styleId="Header">
    <w:name w:val="header"/>
    <w:basedOn w:val="Normal"/>
    <w:link w:val="HeaderChar"/>
    <w:uiPriority w:val="99"/>
    <w:unhideWhenUsed/>
    <w:rsid w:val="00FE1F7D"/>
    <w:pPr>
      <w:tabs>
        <w:tab w:val="center" w:pos="4680"/>
        <w:tab w:val="right" w:pos="9360"/>
      </w:tabs>
    </w:pPr>
  </w:style>
  <w:style w:type="character" w:customStyle="1" w:styleId="HeaderChar">
    <w:name w:val="Header Char"/>
    <w:basedOn w:val="DefaultParagraphFont"/>
    <w:link w:val="Header"/>
    <w:uiPriority w:val="99"/>
    <w:rsid w:val="00FE1F7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E1F7D"/>
    <w:pPr>
      <w:tabs>
        <w:tab w:val="center" w:pos="4680"/>
        <w:tab w:val="right" w:pos="9360"/>
      </w:tabs>
    </w:pPr>
  </w:style>
  <w:style w:type="character" w:customStyle="1" w:styleId="FooterChar">
    <w:name w:val="Footer Char"/>
    <w:basedOn w:val="DefaultParagraphFont"/>
    <w:link w:val="Footer"/>
    <w:uiPriority w:val="99"/>
    <w:rsid w:val="00FE1F7D"/>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semiHidden/>
    <w:rsid w:val="00886EA4"/>
    <w:rPr>
      <w:rFonts w:asciiTheme="majorHAnsi" w:eastAsiaTheme="majorEastAsia" w:hAnsiTheme="majorHAnsi" w:cstheme="majorBidi"/>
      <w:b/>
      <w:bCs/>
      <w:i/>
      <w:iCs/>
      <w:snapToGrid w:val="0"/>
      <w:color w:val="4F81BD" w:themeColor="accent1"/>
      <w:sz w:val="24"/>
      <w:szCs w:val="20"/>
    </w:rPr>
  </w:style>
  <w:style w:type="paragraph" w:styleId="BodyText">
    <w:name w:val="Body Text"/>
    <w:basedOn w:val="Normal"/>
    <w:link w:val="BodyTextChar"/>
    <w:uiPriority w:val="99"/>
    <w:unhideWhenUsed/>
    <w:rsid w:val="00886EA4"/>
    <w:pPr>
      <w:widowControl/>
      <w:snapToGrid w:val="0"/>
      <w:jc w:val="both"/>
    </w:pPr>
    <w:rPr>
      <w:rFonts w:ascii="Tahoma" w:eastAsiaTheme="minorHAnsi" w:hAnsi="Tahoma" w:cs="Tahoma"/>
      <w:snapToGrid/>
      <w:sz w:val="28"/>
      <w:szCs w:val="28"/>
    </w:rPr>
  </w:style>
  <w:style w:type="character" w:customStyle="1" w:styleId="BodyTextChar">
    <w:name w:val="Body Text Char"/>
    <w:basedOn w:val="DefaultParagraphFont"/>
    <w:link w:val="BodyText"/>
    <w:uiPriority w:val="99"/>
    <w:rsid w:val="00886EA4"/>
    <w:rPr>
      <w:rFonts w:ascii="Tahoma" w:hAnsi="Tahoma" w:cs="Tahoma"/>
      <w:sz w:val="28"/>
      <w:szCs w:val="28"/>
    </w:rPr>
  </w:style>
  <w:style w:type="character" w:customStyle="1" w:styleId="a">
    <w:name w:val="a"/>
    <w:rsid w:val="00204621"/>
  </w:style>
  <w:style w:type="paragraph" w:styleId="ListParagraph">
    <w:name w:val="List Paragraph"/>
    <w:basedOn w:val="Normal"/>
    <w:uiPriority w:val="34"/>
    <w:qFormat/>
    <w:rsid w:val="00F120E6"/>
    <w:pPr>
      <w:ind w:left="720"/>
      <w:contextualSpacing/>
    </w:pPr>
  </w:style>
  <w:style w:type="paragraph" w:customStyle="1" w:styleId="DoubleSpaceParagaph">
    <w:name w:val="Double Space Paragaph"/>
    <w:aliases w:val="DS"/>
    <w:basedOn w:val="Normal"/>
    <w:rsid w:val="00D70F61"/>
    <w:pPr>
      <w:widowControl/>
      <w:suppressAutoHyphens/>
      <w:spacing w:line="480" w:lineRule="auto"/>
      <w:ind w:firstLine="1440"/>
      <w:jc w:val="both"/>
    </w:pPr>
    <w:rPr>
      <w:snapToGrid/>
    </w:rPr>
  </w:style>
  <w:style w:type="paragraph" w:styleId="FootnoteText">
    <w:name w:val="footnote text"/>
    <w:basedOn w:val="Normal"/>
    <w:link w:val="FootnoteTextChar"/>
    <w:semiHidden/>
    <w:rsid w:val="00327807"/>
    <w:pPr>
      <w:widowControl/>
    </w:pPr>
    <w:rPr>
      <w:rFonts w:ascii="Century Schoolbook" w:hAnsi="Century Schoolbook"/>
      <w:snapToGrid/>
      <w:sz w:val="20"/>
    </w:rPr>
  </w:style>
  <w:style w:type="character" w:customStyle="1" w:styleId="FootnoteTextChar">
    <w:name w:val="Footnote Text Char"/>
    <w:basedOn w:val="DefaultParagraphFont"/>
    <w:link w:val="FootnoteText"/>
    <w:semiHidden/>
    <w:rsid w:val="00327807"/>
    <w:rPr>
      <w:rFonts w:ascii="Century Schoolbook" w:eastAsia="Times New Roman" w:hAnsi="Century Schoolbook" w:cs="Times New Roman"/>
      <w:sz w:val="20"/>
      <w:szCs w:val="20"/>
    </w:rPr>
  </w:style>
  <w:style w:type="character" w:styleId="FootnoteReference">
    <w:name w:val="footnote reference"/>
    <w:semiHidden/>
    <w:rsid w:val="00327807"/>
    <w:rPr>
      <w:vertAlign w:val="superscript"/>
    </w:rPr>
  </w:style>
  <w:style w:type="paragraph" w:styleId="BlockText">
    <w:name w:val="Block Text"/>
    <w:basedOn w:val="Normal"/>
    <w:rsid w:val="00327807"/>
    <w:pPr>
      <w:snapToGrid w:val="0"/>
      <w:ind w:left="1440" w:right="1440"/>
      <w:jc w:val="both"/>
    </w:pPr>
    <w:rPr>
      <w:snapToGrid/>
    </w:rPr>
  </w:style>
  <w:style w:type="paragraph" w:styleId="NoSpacing">
    <w:name w:val="No Spacing"/>
    <w:uiPriority w:val="1"/>
    <w:qFormat/>
    <w:rsid w:val="00ED3CE8"/>
    <w:pPr>
      <w:widowControl w:val="0"/>
      <w:snapToGrid w:val="0"/>
      <w:spacing w:after="0" w:line="240" w:lineRule="auto"/>
    </w:pPr>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semiHidden/>
    <w:unhideWhenUsed/>
    <w:rsid w:val="00F04E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F04E8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4112">
      <w:bodyDiv w:val="1"/>
      <w:marLeft w:val="0"/>
      <w:marRight w:val="0"/>
      <w:marTop w:val="0"/>
      <w:marBottom w:val="0"/>
      <w:divBdr>
        <w:top w:val="none" w:sz="0" w:space="0" w:color="auto"/>
        <w:left w:val="none" w:sz="0" w:space="0" w:color="auto"/>
        <w:bottom w:val="none" w:sz="0" w:space="0" w:color="auto"/>
        <w:right w:val="none" w:sz="0" w:space="0" w:color="auto"/>
      </w:divBdr>
    </w:div>
    <w:div w:id="696352478">
      <w:bodyDiv w:val="1"/>
      <w:marLeft w:val="0"/>
      <w:marRight w:val="0"/>
      <w:marTop w:val="0"/>
      <w:marBottom w:val="0"/>
      <w:divBdr>
        <w:top w:val="none" w:sz="0" w:space="0" w:color="auto"/>
        <w:left w:val="none" w:sz="0" w:space="0" w:color="auto"/>
        <w:bottom w:val="none" w:sz="0" w:space="0" w:color="auto"/>
        <w:right w:val="none" w:sz="0" w:space="0" w:color="auto"/>
      </w:divBdr>
    </w:div>
    <w:div w:id="781993707">
      <w:bodyDiv w:val="1"/>
      <w:marLeft w:val="0"/>
      <w:marRight w:val="0"/>
      <w:marTop w:val="0"/>
      <w:marBottom w:val="0"/>
      <w:divBdr>
        <w:top w:val="none" w:sz="0" w:space="0" w:color="auto"/>
        <w:left w:val="none" w:sz="0" w:space="0" w:color="auto"/>
        <w:bottom w:val="none" w:sz="0" w:space="0" w:color="auto"/>
        <w:right w:val="none" w:sz="0" w:space="0" w:color="auto"/>
      </w:divBdr>
    </w:div>
    <w:div w:id="1166432638">
      <w:bodyDiv w:val="1"/>
      <w:marLeft w:val="0"/>
      <w:marRight w:val="0"/>
      <w:marTop w:val="0"/>
      <w:marBottom w:val="0"/>
      <w:divBdr>
        <w:top w:val="none" w:sz="0" w:space="0" w:color="auto"/>
        <w:left w:val="none" w:sz="0" w:space="0" w:color="auto"/>
        <w:bottom w:val="none" w:sz="0" w:space="0" w:color="auto"/>
        <w:right w:val="none" w:sz="0" w:space="0" w:color="auto"/>
      </w:divBdr>
    </w:div>
    <w:div w:id="1231501604">
      <w:bodyDiv w:val="1"/>
      <w:marLeft w:val="0"/>
      <w:marRight w:val="0"/>
      <w:marTop w:val="0"/>
      <w:marBottom w:val="0"/>
      <w:divBdr>
        <w:top w:val="none" w:sz="0" w:space="0" w:color="auto"/>
        <w:left w:val="none" w:sz="0" w:space="0" w:color="auto"/>
        <w:bottom w:val="none" w:sz="0" w:space="0" w:color="auto"/>
        <w:right w:val="none" w:sz="0" w:space="0" w:color="auto"/>
      </w:divBdr>
    </w:div>
    <w:div w:id="1634750382">
      <w:bodyDiv w:val="1"/>
      <w:marLeft w:val="0"/>
      <w:marRight w:val="0"/>
      <w:marTop w:val="0"/>
      <w:marBottom w:val="0"/>
      <w:divBdr>
        <w:top w:val="none" w:sz="0" w:space="0" w:color="auto"/>
        <w:left w:val="none" w:sz="0" w:space="0" w:color="auto"/>
        <w:bottom w:val="none" w:sz="0" w:space="0" w:color="auto"/>
        <w:right w:val="none" w:sz="0" w:space="0" w:color="auto"/>
      </w:divBdr>
    </w:div>
    <w:div w:id="1844204009">
      <w:bodyDiv w:val="1"/>
      <w:marLeft w:val="0"/>
      <w:marRight w:val="0"/>
      <w:marTop w:val="0"/>
      <w:marBottom w:val="0"/>
      <w:divBdr>
        <w:top w:val="none" w:sz="0" w:space="0" w:color="auto"/>
        <w:left w:val="none" w:sz="0" w:space="0" w:color="auto"/>
        <w:bottom w:val="none" w:sz="0" w:space="0" w:color="auto"/>
        <w:right w:val="none" w:sz="0" w:space="0" w:color="auto"/>
      </w:divBdr>
    </w:div>
    <w:div w:id="20358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E110-786A-4769-B40F-D5E69121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Amatullah</dc:creator>
  <cp:lastModifiedBy>DelFranco, Ruthie</cp:lastModifiedBy>
  <cp:revision>2</cp:revision>
  <cp:lastPrinted>2019-03-27T16:13:00Z</cp:lastPrinted>
  <dcterms:created xsi:type="dcterms:W3CDTF">2019-12-18T16:53:00Z</dcterms:created>
  <dcterms:modified xsi:type="dcterms:W3CDTF">2019-12-18T16:53:00Z</dcterms:modified>
</cp:coreProperties>
</file>