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31F0" w:rsidRPr="003B203D" w:rsidRDefault="008031F0" w:rsidP="008031F0">
      <w:pPr>
        <w:ind w:left="2160" w:firstLine="720"/>
        <w:jc w:val="right"/>
        <w:rPr>
          <w:szCs w:val="24"/>
        </w:rPr>
      </w:pPr>
      <w:bookmarkStart w:id="0" w:name="_GoBack"/>
      <w:bookmarkEnd w:id="0"/>
      <w:r w:rsidRPr="003B203D">
        <w:rPr>
          <w:szCs w:val="24"/>
          <w:u w:val="single"/>
        </w:rPr>
        <w:t xml:space="preserve">Committee on </w:t>
      </w:r>
      <w:r>
        <w:rPr>
          <w:szCs w:val="24"/>
          <w:u w:val="single"/>
        </w:rPr>
        <w:t>Aging</w:t>
      </w:r>
    </w:p>
    <w:p w:rsidR="008031F0" w:rsidRDefault="008031F0" w:rsidP="008031F0">
      <w:pPr>
        <w:pStyle w:val="Body"/>
        <w:spacing w:after="0" w:line="240" w:lineRule="auto"/>
        <w:ind w:left="3600" w:firstLine="720"/>
        <w:jc w:val="right"/>
        <w:rPr>
          <w:rFonts w:ascii="Times New Roman" w:hAnsi="Times New Roman"/>
          <w:sz w:val="24"/>
          <w:szCs w:val="24"/>
        </w:rPr>
      </w:pPr>
      <w:r>
        <w:rPr>
          <w:rFonts w:ascii="Times New Roman" w:hAnsi="Times New Roman"/>
          <w:sz w:val="24"/>
          <w:szCs w:val="24"/>
        </w:rPr>
        <w:t>Nuzhat Chowdhury, Counsel</w:t>
      </w:r>
    </w:p>
    <w:p w:rsidR="008031F0" w:rsidRDefault="008031F0" w:rsidP="008031F0">
      <w:pPr>
        <w:pStyle w:val="Body"/>
        <w:spacing w:after="0" w:line="240" w:lineRule="auto"/>
        <w:ind w:left="3600" w:firstLine="720"/>
        <w:jc w:val="right"/>
        <w:rPr>
          <w:rFonts w:ascii="Times New Roman" w:eastAsia="Times New Roman" w:hAnsi="Times New Roman" w:cs="Times New Roman"/>
          <w:sz w:val="24"/>
          <w:szCs w:val="24"/>
        </w:rPr>
      </w:pPr>
      <w:r>
        <w:rPr>
          <w:rFonts w:ascii="Times New Roman" w:hAnsi="Times New Roman"/>
          <w:sz w:val="24"/>
          <w:szCs w:val="24"/>
        </w:rPr>
        <w:t>Kalima Johnson, Senior Policy Analyst</w:t>
      </w:r>
    </w:p>
    <w:p w:rsidR="008031F0" w:rsidRDefault="008031F0" w:rsidP="008031F0">
      <w:pPr>
        <w:pStyle w:val="Body"/>
        <w:spacing w:after="0" w:line="240" w:lineRule="auto"/>
        <w:ind w:left="4320"/>
        <w:jc w:val="right"/>
        <w:rPr>
          <w:rFonts w:ascii="Times New Roman" w:hAnsi="Times New Roman"/>
          <w:sz w:val="24"/>
          <w:szCs w:val="24"/>
        </w:rPr>
      </w:pPr>
      <w:r>
        <w:rPr>
          <w:rFonts w:ascii="Times New Roman" w:hAnsi="Times New Roman" w:cs="Times New Roman"/>
          <w:sz w:val="24"/>
          <w:szCs w:val="24"/>
        </w:rPr>
        <w:t>Daniel Kroop</w:t>
      </w:r>
      <w:r w:rsidRPr="007F0595">
        <w:rPr>
          <w:rFonts w:ascii="Times New Roman" w:hAnsi="Times New Roman" w:cs="Times New Roman"/>
          <w:sz w:val="24"/>
          <w:szCs w:val="24"/>
        </w:rPr>
        <w:t>,</w:t>
      </w:r>
      <w:r>
        <w:t xml:space="preserve"> </w:t>
      </w:r>
      <w:r>
        <w:rPr>
          <w:rFonts w:ascii="Times New Roman" w:hAnsi="Times New Roman"/>
          <w:sz w:val="24"/>
          <w:szCs w:val="24"/>
        </w:rPr>
        <w:t>Finance Analyst</w:t>
      </w:r>
    </w:p>
    <w:p w:rsidR="008031F0" w:rsidRPr="00C26C84" w:rsidRDefault="008031F0" w:rsidP="008031F0">
      <w:pPr>
        <w:pStyle w:val="Body"/>
        <w:spacing w:after="0" w:line="240" w:lineRule="auto"/>
        <w:ind w:left="4320"/>
        <w:jc w:val="right"/>
        <w:rPr>
          <w:rFonts w:ascii="Times New Roman" w:eastAsia="Times New Roman" w:hAnsi="Times New Roman" w:cs="Times New Roman"/>
          <w:sz w:val="24"/>
          <w:szCs w:val="24"/>
        </w:rPr>
      </w:pPr>
      <w:r>
        <w:rPr>
          <w:rFonts w:ascii="Times New Roman" w:hAnsi="Times New Roman" w:cs="Times New Roman"/>
          <w:sz w:val="24"/>
          <w:szCs w:val="24"/>
        </w:rPr>
        <w:t>Dohini Sompura, Finance Unit Head</w:t>
      </w:r>
    </w:p>
    <w:p w:rsidR="008031F0" w:rsidRDefault="008031F0" w:rsidP="008031F0">
      <w:pPr>
        <w:suppressLineNumbers/>
        <w:tabs>
          <w:tab w:val="left" w:pos="-1440"/>
        </w:tabs>
        <w:ind w:left="3600"/>
        <w:jc w:val="right"/>
        <w:rPr>
          <w:szCs w:val="24"/>
        </w:rPr>
      </w:pPr>
      <w:r w:rsidRPr="003B203D">
        <w:rPr>
          <w:szCs w:val="24"/>
        </w:rPr>
        <w:t xml:space="preserve">        </w:t>
      </w:r>
      <w:r>
        <w:rPr>
          <w:szCs w:val="24"/>
        </w:rPr>
        <w:tab/>
      </w:r>
    </w:p>
    <w:p w:rsidR="008031F0" w:rsidRPr="009840AC" w:rsidRDefault="008031F0" w:rsidP="008031F0">
      <w:pPr>
        <w:suppressLineNumbers/>
        <w:tabs>
          <w:tab w:val="left" w:pos="-1440"/>
        </w:tabs>
        <w:ind w:left="3600"/>
        <w:jc w:val="right"/>
        <w:rPr>
          <w:szCs w:val="24"/>
          <w:u w:val="single"/>
        </w:rPr>
      </w:pPr>
      <w:r w:rsidRPr="009840AC">
        <w:rPr>
          <w:szCs w:val="24"/>
          <w:u w:val="single"/>
        </w:rPr>
        <w:t>Committee on Housing &amp; Buildings</w:t>
      </w:r>
    </w:p>
    <w:p w:rsidR="008031F0" w:rsidRDefault="008031F0" w:rsidP="008031F0">
      <w:pPr>
        <w:suppressLineNumbers/>
        <w:tabs>
          <w:tab w:val="left" w:pos="-1440"/>
        </w:tabs>
        <w:ind w:left="3600"/>
        <w:jc w:val="right"/>
        <w:rPr>
          <w:szCs w:val="24"/>
        </w:rPr>
      </w:pPr>
      <w:r>
        <w:rPr>
          <w:szCs w:val="24"/>
        </w:rPr>
        <w:t>Austen Brandford, Senior Counsel</w:t>
      </w:r>
    </w:p>
    <w:p w:rsidR="008031F0" w:rsidRDefault="008031F0" w:rsidP="008031F0">
      <w:pPr>
        <w:suppressLineNumbers/>
        <w:tabs>
          <w:tab w:val="left" w:pos="-1440"/>
        </w:tabs>
        <w:ind w:left="3600"/>
        <w:jc w:val="right"/>
        <w:rPr>
          <w:szCs w:val="24"/>
        </w:rPr>
      </w:pPr>
      <w:r>
        <w:rPr>
          <w:szCs w:val="24"/>
        </w:rPr>
        <w:t>Audrey Son, Counsel</w:t>
      </w:r>
    </w:p>
    <w:p w:rsidR="008031F0" w:rsidRPr="003B203D" w:rsidRDefault="008031F0" w:rsidP="008031F0">
      <w:pPr>
        <w:suppressLineNumbers/>
        <w:tabs>
          <w:tab w:val="left" w:pos="-1440"/>
        </w:tabs>
        <w:ind w:left="3600"/>
        <w:jc w:val="right"/>
        <w:rPr>
          <w:szCs w:val="24"/>
        </w:rPr>
      </w:pPr>
      <w:r>
        <w:rPr>
          <w:szCs w:val="24"/>
        </w:rPr>
        <w:t>Genan Zilkha, Counsel</w:t>
      </w:r>
    </w:p>
    <w:p w:rsidR="008031F0" w:rsidRDefault="008031F0" w:rsidP="008031F0">
      <w:pPr>
        <w:suppressLineNumbers/>
        <w:tabs>
          <w:tab w:val="left" w:pos="-1440"/>
        </w:tabs>
        <w:ind w:left="4320"/>
        <w:jc w:val="right"/>
        <w:rPr>
          <w:szCs w:val="24"/>
        </w:rPr>
      </w:pPr>
      <w:r w:rsidRPr="003B203D">
        <w:rPr>
          <w:szCs w:val="24"/>
        </w:rPr>
        <w:t xml:space="preserve">Jose Conde, </w:t>
      </w:r>
      <w:r>
        <w:rPr>
          <w:szCs w:val="24"/>
        </w:rPr>
        <w:t xml:space="preserve">Senior </w:t>
      </w:r>
      <w:r w:rsidRPr="003B203D">
        <w:rPr>
          <w:szCs w:val="24"/>
        </w:rPr>
        <w:t>Policy Analyst</w:t>
      </w:r>
    </w:p>
    <w:p w:rsidR="008031F0" w:rsidRPr="003B203D" w:rsidRDefault="008031F0" w:rsidP="008031F0">
      <w:pPr>
        <w:suppressLineNumbers/>
        <w:tabs>
          <w:tab w:val="left" w:pos="-1440"/>
        </w:tabs>
        <w:ind w:left="4320"/>
        <w:jc w:val="right"/>
        <w:rPr>
          <w:szCs w:val="24"/>
        </w:rPr>
      </w:pPr>
      <w:r>
        <w:rPr>
          <w:szCs w:val="24"/>
        </w:rPr>
        <w:t>Charles Kim, Policy Analyst</w:t>
      </w:r>
    </w:p>
    <w:p w:rsidR="008031F0" w:rsidRDefault="008031F0" w:rsidP="008031F0">
      <w:pPr>
        <w:suppressLineNumbers/>
        <w:tabs>
          <w:tab w:val="left" w:pos="-1440"/>
        </w:tabs>
        <w:ind w:left="4320"/>
        <w:jc w:val="right"/>
        <w:rPr>
          <w:szCs w:val="24"/>
        </w:rPr>
      </w:pPr>
      <w:r w:rsidRPr="003B203D">
        <w:rPr>
          <w:szCs w:val="24"/>
        </w:rPr>
        <w:t>Sarah Gastelum</w:t>
      </w:r>
      <w:r>
        <w:rPr>
          <w:szCs w:val="24"/>
        </w:rPr>
        <w:t>, Principal Finance Analyst</w:t>
      </w:r>
    </w:p>
    <w:p w:rsidR="008031F0" w:rsidRDefault="008031F0" w:rsidP="008031F0">
      <w:pPr>
        <w:suppressLineNumbers/>
        <w:tabs>
          <w:tab w:val="left" w:pos="-1440"/>
        </w:tabs>
        <w:ind w:left="4320"/>
        <w:jc w:val="right"/>
        <w:rPr>
          <w:szCs w:val="24"/>
        </w:rPr>
      </w:pPr>
      <w:r>
        <w:rPr>
          <w:szCs w:val="24"/>
        </w:rPr>
        <w:t>Luke Zangerle, Finance Analyst</w:t>
      </w:r>
    </w:p>
    <w:p w:rsidR="008031F0" w:rsidRDefault="008031F0" w:rsidP="008031F0">
      <w:pPr>
        <w:tabs>
          <w:tab w:val="left" w:pos="-1440"/>
        </w:tabs>
        <w:ind w:left="3600"/>
        <w:jc w:val="right"/>
        <w:rPr>
          <w:szCs w:val="24"/>
        </w:rPr>
      </w:pPr>
    </w:p>
    <w:p w:rsidR="00FF5F98" w:rsidRDefault="00FF5F98" w:rsidP="00E2455D">
      <w:pPr>
        <w:tabs>
          <w:tab w:val="left" w:pos="-1440"/>
        </w:tabs>
        <w:ind w:left="3600"/>
        <w:jc w:val="right"/>
        <w:rPr>
          <w:szCs w:val="24"/>
        </w:rPr>
      </w:pPr>
    </w:p>
    <w:p w:rsidR="00E2455D" w:rsidRDefault="00E2455D" w:rsidP="00E2455D">
      <w:pPr>
        <w:pStyle w:val="Body"/>
        <w:spacing w:after="0" w:line="240" w:lineRule="auto"/>
        <w:rPr>
          <w:rFonts w:ascii="Times New Roman" w:hAnsi="Times New Roman"/>
          <w:sz w:val="24"/>
          <w:szCs w:val="24"/>
        </w:rPr>
      </w:pPr>
    </w:p>
    <w:p w:rsidR="00E2455D" w:rsidRDefault="00E2455D" w:rsidP="00C26C84">
      <w:pPr>
        <w:pStyle w:val="Body"/>
        <w:spacing w:after="0" w:line="240" w:lineRule="auto"/>
        <w:ind w:left="4320"/>
        <w:jc w:val="right"/>
        <w:rPr>
          <w:rFonts w:ascii="Times New Roman" w:eastAsia="Times New Roman" w:hAnsi="Times New Roman" w:cs="Times New Roman"/>
          <w:sz w:val="24"/>
          <w:szCs w:val="24"/>
        </w:rPr>
      </w:pPr>
    </w:p>
    <w:p w:rsidR="00CF312F" w:rsidRDefault="00CF312F" w:rsidP="00C26C84">
      <w:pPr>
        <w:tabs>
          <w:tab w:val="left" w:pos="-1440"/>
        </w:tabs>
        <w:jc w:val="left"/>
        <w:rPr>
          <w:szCs w:val="24"/>
        </w:rPr>
      </w:pPr>
    </w:p>
    <w:p w:rsidR="00C26C84" w:rsidRDefault="00F31540" w:rsidP="00C26C84">
      <w:pPr>
        <w:pStyle w:val="Body"/>
        <w:spacing w:after="0" w:line="240" w:lineRule="auto"/>
        <w:jc w:val="center"/>
        <w:rPr>
          <w:rFonts w:ascii="Times New Roman" w:eastAsia="Times New Roman" w:hAnsi="Times New Roman" w:cs="Times New Roman"/>
          <w:sz w:val="24"/>
          <w:szCs w:val="24"/>
        </w:rPr>
      </w:pPr>
      <w:r w:rsidRPr="001E0D31">
        <w:rPr>
          <w:rFonts w:ascii="Times New Roman" w:eastAsia="Times New Roman" w:hAnsi="Times New Roman" w:cs="Times New Roman"/>
          <w:noProof/>
          <w:sz w:val="24"/>
          <w:szCs w:val="24"/>
        </w:rPr>
        <w:drawing>
          <wp:inline distT="0" distB="0" distL="0" distR="0">
            <wp:extent cx="1325880" cy="1333500"/>
            <wp:effectExtent l="0" t="0" r="0" b="0"/>
            <wp:docPr id="1" name="officeArt object"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5880" cy="1333500"/>
                    </a:xfrm>
                    <a:prstGeom prst="rect">
                      <a:avLst/>
                    </a:prstGeom>
                    <a:noFill/>
                    <a:ln>
                      <a:noFill/>
                    </a:ln>
                  </pic:spPr>
                </pic:pic>
              </a:graphicData>
            </a:graphic>
          </wp:inline>
        </w:drawing>
      </w:r>
    </w:p>
    <w:p w:rsidR="00C26C84" w:rsidRDefault="00C26C84" w:rsidP="00C26C84">
      <w:pPr>
        <w:pStyle w:val="Body"/>
        <w:widowControl w:val="0"/>
        <w:spacing w:after="0" w:line="240" w:lineRule="auto"/>
        <w:jc w:val="center"/>
        <w:outlineLvl w:val="5"/>
        <w:rPr>
          <w:rFonts w:ascii="Times New Roman" w:eastAsia="Times New Roman" w:hAnsi="Times New Roman" w:cs="Times New Roman"/>
          <w:b/>
          <w:bCs/>
          <w:caps/>
          <w:sz w:val="24"/>
          <w:szCs w:val="24"/>
          <w:u w:val="single"/>
        </w:rPr>
      </w:pPr>
    </w:p>
    <w:p w:rsidR="00C26C84" w:rsidRPr="00C26C84" w:rsidRDefault="00C26C84" w:rsidP="00C26C84">
      <w:pPr>
        <w:pStyle w:val="Body"/>
        <w:widowControl w:val="0"/>
        <w:spacing w:after="0" w:line="240" w:lineRule="auto"/>
        <w:jc w:val="center"/>
        <w:outlineLvl w:val="5"/>
        <w:rPr>
          <w:rFonts w:ascii="Times New Roman Bold" w:eastAsia="Times New Roman" w:hAnsi="Times New Roman Bold" w:cs="Times New Roman"/>
          <w:b/>
          <w:bCs/>
          <w:smallCaps/>
          <w:sz w:val="24"/>
          <w:szCs w:val="24"/>
          <w:u w:val="single"/>
        </w:rPr>
      </w:pPr>
      <w:r w:rsidRPr="00C26C84">
        <w:rPr>
          <w:rFonts w:ascii="Times New Roman Bold" w:hAnsi="Times New Roman Bold"/>
          <w:b/>
          <w:bCs/>
          <w:smallCaps/>
          <w:sz w:val="24"/>
          <w:szCs w:val="24"/>
          <w:u w:val="single"/>
        </w:rPr>
        <w:t>The New York City Council</w:t>
      </w:r>
    </w:p>
    <w:p w:rsidR="00C26C84" w:rsidRPr="0048038C" w:rsidRDefault="00C26C84" w:rsidP="00C26C84">
      <w:pPr>
        <w:tabs>
          <w:tab w:val="center" w:pos="4680"/>
        </w:tabs>
        <w:jc w:val="center"/>
        <w:rPr>
          <w:rFonts w:eastAsia="Arial Unicode MS"/>
          <w:iCs/>
        </w:rPr>
      </w:pPr>
      <w:r w:rsidRPr="00B96377">
        <w:rPr>
          <w:iCs/>
        </w:rPr>
        <w:t>Jeff</w:t>
      </w:r>
      <w:r>
        <w:rPr>
          <w:iCs/>
        </w:rPr>
        <w:t>rey Baker, Legislative Director</w:t>
      </w:r>
    </w:p>
    <w:p w:rsidR="00334097" w:rsidRDefault="00334097" w:rsidP="00C26C84">
      <w:pPr>
        <w:tabs>
          <w:tab w:val="left" w:pos="-1440"/>
        </w:tabs>
        <w:ind w:left="4320"/>
        <w:rPr>
          <w:b/>
          <w:szCs w:val="24"/>
        </w:rPr>
      </w:pPr>
    </w:p>
    <w:p w:rsidR="00C26C84" w:rsidRPr="00C26C84" w:rsidRDefault="00C26C84" w:rsidP="00C26C84">
      <w:pPr>
        <w:pStyle w:val="Body"/>
        <w:widowControl w:val="0"/>
        <w:spacing w:after="0" w:line="240" w:lineRule="auto"/>
        <w:jc w:val="center"/>
        <w:outlineLvl w:val="5"/>
        <w:rPr>
          <w:rFonts w:ascii="Times New Roman Bold" w:eastAsia="Times New Roman" w:hAnsi="Times New Roman Bold" w:cs="Times New Roman"/>
          <w:b/>
          <w:bCs/>
          <w:smallCaps/>
          <w:sz w:val="24"/>
          <w:szCs w:val="24"/>
          <w:u w:val="single"/>
        </w:rPr>
      </w:pPr>
      <w:r>
        <w:rPr>
          <w:rFonts w:ascii="Times New Roman Bold" w:hAnsi="Times New Roman Bold"/>
          <w:b/>
          <w:bCs/>
          <w:smallCaps/>
          <w:sz w:val="24"/>
          <w:szCs w:val="24"/>
          <w:u w:val="single"/>
        </w:rPr>
        <w:t>Committee Report of the Infrastructure and Human Services Divisions</w:t>
      </w:r>
    </w:p>
    <w:p w:rsidR="00C26C84" w:rsidRPr="0048038C" w:rsidRDefault="00C26C84" w:rsidP="00C26C84">
      <w:pPr>
        <w:tabs>
          <w:tab w:val="center" w:pos="4680"/>
        </w:tabs>
        <w:jc w:val="center"/>
        <w:rPr>
          <w:rFonts w:eastAsia="Arial Unicode MS"/>
          <w:iCs/>
        </w:rPr>
      </w:pPr>
      <w:r>
        <w:rPr>
          <w:iCs/>
        </w:rPr>
        <w:t>Terzah Nasser, Deputy Director, Infrastructure Division</w:t>
      </w:r>
    </w:p>
    <w:p w:rsidR="00C26C84" w:rsidRPr="00C26C84" w:rsidRDefault="00C26C84" w:rsidP="00C26C84">
      <w:pPr>
        <w:tabs>
          <w:tab w:val="left" w:pos="-1440"/>
        </w:tabs>
        <w:jc w:val="center"/>
        <w:rPr>
          <w:szCs w:val="24"/>
        </w:rPr>
      </w:pPr>
      <w:r w:rsidRPr="00C26C84">
        <w:rPr>
          <w:szCs w:val="24"/>
        </w:rPr>
        <w:t>Andrea Vazquez, Deputy Director, Human Services Division</w:t>
      </w:r>
    </w:p>
    <w:p w:rsidR="00C26C84" w:rsidRPr="00E50863" w:rsidRDefault="00C26C84" w:rsidP="00C26C84">
      <w:pPr>
        <w:tabs>
          <w:tab w:val="left" w:pos="-1440"/>
        </w:tabs>
        <w:ind w:left="4320"/>
        <w:rPr>
          <w:b/>
          <w:szCs w:val="24"/>
        </w:rPr>
      </w:pPr>
    </w:p>
    <w:p w:rsidR="00E50863" w:rsidRPr="00C26C84" w:rsidRDefault="00E50863" w:rsidP="00C26C84">
      <w:pPr>
        <w:tabs>
          <w:tab w:val="center" w:pos="4680"/>
        </w:tabs>
        <w:jc w:val="center"/>
        <w:rPr>
          <w:rFonts w:ascii="Times New Roman Bold" w:hAnsi="Times New Roman Bold"/>
          <w:b/>
          <w:smallCaps/>
          <w:szCs w:val="24"/>
          <w:u w:val="single"/>
        </w:rPr>
      </w:pPr>
      <w:r w:rsidRPr="00C26C84">
        <w:rPr>
          <w:rFonts w:ascii="Times New Roman Bold" w:hAnsi="Times New Roman Bold"/>
          <w:b/>
          <w:smallCaps/>
          <w:szCs w:val="24"/>
          <w:u w:val="single"/>
        </w:rPr>
        <w:t xml:space="preserve">Committee on </w:t>
      </w:r>
      <w:r w:rsidR="009C376F">
        <w:rPr>
          <w:rFonts w:ascii="Times New Roman Bold" w:hAnsi="Times New Roman Bold"/>
          <w:b/>
          <w:smallCaps/>
          <w:szCs w:val="24"/>
          <w:u w:val="single"/>
        </w:rPr>
        <w:t>Aging</w:t>
      </w:r>
    </w:p>
    <w:p w:rsidR="00707A6E" w:rsidRDefault="00FF5F98" w:rsidP="00C26C84">
      <w:pPr>
        <w:tabs>
          <w:tab w:val="center" w:pos="4680"/>
        </w:tabs>
        <w:jc w:val="center"/>
        <w:rPr>
          <w:szCs w:val="24"/>
        </w:rPr>
      </w:pPr>
      <w:r>
        <w:rPr>
          <w:szCs w:val="24"/>
        </w:rPr>
        <w:t xml:space="preserve">Hon. </w:t>
      </w:r>
      <w:r w:rsidR="009C376F">
        <w:rPr>
          <w:szCs w:val="24"/>
        </w:rPr>
        <w:t>Margaret Chin</w:t>
      </w:r>
      <w:r w:rsidR="00334097" w:rsidRPr="00E50863">
        <w:rPr>
          <w:szCs w:val="24"/>
        </w:rPr>
        <w:t>, Chair</w:t>
      </w:r>
    </w:p>
    <w:p w:rsidR="004C55FE" w:rsidRDefault="004C55FE" w:rsidP="006B06AC">
      <w:pPr>
        <w:tabs>
          <w:tab w:val="center" w:pos="4680"/>
        </w:tabs>
        <w:jc w:val="center"/>
        <w:rPr>
          <w:szCs w:val="24"/>
        </w:rPr>
      </w:pPr>
    </w:p>
    <w:p w:rsidR="00C26C84" w:rsidRPr="00C26C84" w:rsidRDefault="00C26C84" w:rsidP="00C26C84">
      <w:pPr>
        <w:tabs>
          <w:tab w:val="center" w:pos="4680"/>
        </w:tabs>
        <w:jc w:val="center"/>
        <w:rPr>
          <w:rFonts w:ascii="Times New Roman Bold" w:hAnsi="Times New Roman Bold"/>
          <w:b/>
          <w:smallCaps/>
          <w:szCs w:val="24"/>
          <w:u w:val="single"/>
        </w:rPr>
      </w:pPr>
      <w:r w:rsidRPr="00C26C84">
        <w:rPr>
          <w:rFonts w:ascii="Times New Roman Bold" w:hAnsi="Times New Roman Bold"/>
          <w:b/>
          <w:smallCaps/>
          <w:szCs w:val="24"/>
          <w:u w:val="single"/>
        </w:rPr>
        <w:t xml:space="preserve">Committee on </w:t>
      </w:r>
      <w:r w:rsidR="009C376F">
        <w:rPr>
          <w:rFonts w:ascii="Times New Roman Bold" w:hAnsi="Times New Roman Bold"/>
          <w:b/>
          <w:smallCaps/>
          <w:szCs w:val="24"/>
          <w:u w:val="single"/>
        </w:rPr>
        <w:t>Housing and Buildings</w:t>
      </w:r>
    </w:p>
    <w:p w:rsidR="009C376F" w:rsidRDefault="009C376F" w:rsidP="009C376F">
      <w:pPr>
        <w:tabs>
          <w:tab w:val="center" w:pos="4680"/>
        </w:tabs>
        <w:jc w:val="center"/>
        <w:rPr>
          <w:szCs w:val="24"/>
        </w:rPr>
      </w:pPr>
      <w:r>
        <w:rPr>
          <w:szCs w:val="24"/>
        </w:rPr>
        <w:t>Hon. Robert E. Cornegy, Jr.</w:t>
      </w:r>
      <w:r w:rsidRPr="00E50863">
        <w:rPr>
          <w:szCs w:val="24"/>
        </w:rPr>
        <w:t>, Chair</w:t>
      </w:r>
    </w:p>
    <w:p w:rsidR="00E2455D" w:rsidRDefault="00E2455D" w:rsidP="00C26C84">
      <w:pPr>
        <w:tabs>
          <w:tab w:val="center" w:pos="4680"/>
        </w:tabs>
        <w:jc w:val="center"/>
        <w:rPr>
          <w:szCs w:val="24"/>
        </w:rPr>
      </w:pPr>
    </w:p>
    <w:p w:rsidR="00FF5F98" w:rsidRDefault="009C376F" w:rsidP="00C26C84">
      <w:pPr>
        <w:tabs>
          <w:tab w:val="center" w:pos="4680"/>
        </w:tabs>
        <w:jc w:val="center"/>
        <w:rPr>
          <w:b/>
          <w:szCs w:val="24"/>
        </w:rPr>
      </w:pPr>
      <w:r>
        <w:rPr>
          <w:b/>
          <w:szCs w:val="24"/>
        </w:rPr>
        <w:t>December</w:t>
      </w:r>
      <w:r w:rsidR="00E2455D">
        <w:rPr>
          <w:b/>
          <w:szCs w:val="24"/>
        </w:rPr>
        <w:t xml:space="preserve"> 1</w:t>
      </w:r>
      <w:r>
        <w:rPr>
          <w:b/>
          <w:szCs w:val="24"/>
        </w:rPr>
        <w:t>2</w:t>
      </w:r>
      <w:r w:rsidR="00181861">
        <w:rPr>
          <w:b/>
          <w:szCs w:val="24"/>
        </w:rPr>
        <w:t>,</w:t>
      </w:r>
      <w:r w:rsidR="00E2455D">
        <w:rPr>
          <w:b/>
          <w:szCs w:val="24"/>
        </w:rPr>
        <w:t xml:space="preserve"> 2019</w:t>
      </w:r>
    </w:p>
    <w:p w:rsidR="000F3DAF" w:rsidRDefault="000F3DAF" w:rsidP="00C26C84">
      <w:pPr>
        <w:tabs>
          <w:tab w:val="center" w:pos="4680"/>
        </w:tabs>
        <w:jc w:val="center"/>
        <w:rPr>
          <w:b/>
          <w:szCs w:val="24"/>
        </w:rPr>
      </w:pPr>
    </w:p>
    <w:p w:rsidR="000F3DAF" w:rsidRDefault="000F3DAF" w:rsidP="00C26C84">
      <w:pPr>
        <w:tabs>
          <w:tab w:val="center" w:pos="4680"/>
        </w:tabs>
        <w:jc w:val="center"/>
        <w:rPr>
          <w:b/>
          <w:szCs w:val="24"/>
        </w:rPr>
      </w:pPr>
    </w:p>
    <w:p w:rsidR="0077133C" w:rsidRPr="0069170D" w:rsidRDefault="00E2455D" w:rsidP="0069170D">
      <w:pPr>
        <w:jc w:val="left"/>
        <w:rPr>
          <w:rFonts w:ascii="Times New Roman Bold" w:hAnsi="Times New Roman Bold"/>
          <w:smallCaps/>
        </w:rPr>
      </w:pPr>
      <w:r w:rsidRPr="0069170D">
        <w:rPr>
          <w:rFonts w:ascii="Times New Roman Bold" w:hAnsi="Times New Roman Bold"/>
          <w:b/>
          <w:smallCaps/>
          <w:u w:val="single"/>
        </w:rPr>
        <w:t>Oversight</w:t>
      </w:r>
      <w:r>
        <w:rPr>
          <w:rFonts w:ascii="Times New Roman Bold" w:hAnsi="Times New Roman Bold"/>
          <w:b/>
          <w:smallCaps/>
        </w:rPr>
        <w:t xml:space="preserve">: </w:t>
      </w:r>
      <w:r w:rsidR="0069170D">
        <w:rPr>
          <w:rFonts w:ascii="Times New Roman Bold" w:hAnsi="Times New Roman Bold"/>
          <w:b/>
          <w:smallCaps/>
        </w:rPr>
        <w:tab/>
      </w:r>
      <w:r w:rsidR="0069170D">
        <w:rPr>
          <w:rFonts w:ascii="Times New Roman Bold" w:hAnsi="Times New Roman Bold"/>
          <w:b/>
          <w:smallCaps/>
        </w:rPr>
        <w:tab/>
      </w:r>
      <w:r w:rsidR="0069170D">
        <w:rPr>
          <w:rFonts w:ascii="Times New Roman Bold" w:hAnsi="Times New Roman Bold"/>
          <w:b/>
          <w:smallCaps/>
        </w:rPr>
        <w:tab/>
      </w:r>
      <w:r w:rsidR="0069170D">
        <w:rPr>
          <w:rFonts w:ascii="Times New Roman Bold" w:hAnsi="Times New Roman Bold"/>
          <w:b/>
          <w:smallCaps/>
        </w:rPr>
        <w:tab/>
      </w:r>
      <w:r w:rsidR="0069170D" w:rsidRPr="0069170D">
        <w:t>Senior Affordable Housing</w:t>
      </w:r>
    </w:p>
    <w:p w:rsidR="0069170D" w:rsidRDefault="0069170D" w:rsidP="0069170D">
      <w:pPr>
        <w:jc w:val="left"/>
        <w:rPr>
          <w:rFonts w:ascii="Times New Roman Bold" w:hAnsi="Times New Roman Bold"/>
          <w:b/>
          <w:smallCaps/>
        </w:rPr>
      </w:pPr>
    </w:p>
    <w:p w:rsidR="0069170D" w:rsidRPr="006740C4" w:rsidRDefault="0069170D" w:rsidP="0069170D">
      <w:pPr>
        <w:jc w:val="left"/>
        <w:rPr>
          <w:rFonts w:ascii="Times New Roman Bold" w:hAnsi="Times New Roman Bold"/>
          <w:smallCaps/>
        </w:rPr>
      </w:pPr>
      <w:r w:rsidRPr="006740C4">
        <w:rPr>
          <w:rFonts w:ascii="Times New Roman Bold" w:hAnsi="Times New Roman Bold"/>
          <w:b/>
          <w:smallCaps/>
          <w:u w:val="single"/>
        </w:rPr>
        <w:t>Int. No. 6</w:t>
      </w:r>
      <w:r>
        <w:rPr>
          <w:rFonts w:ascii="Times New Roman Bold" w:hAnsi="Times New Roman Bold"/>
          <w:b/>
          <w:smallCaps/>
        </w:rPr>
        <w:t>:</w:t>
      </w:r>
      <w:r w:rsidR="006740C4">
        <w:rPr>
          <w:rFonts w:ascii="Times New Roman Bold" w:hAnsi="Times New Roman Bold"/>
          <w:smallCaps/>
        </w:rPr>
        <w:tab/>
      </w:r>
      <w:r w:rsidR="006740C4">
        <w:rPr>
          <w:rFonts w:ascii="Times New Roman Bold" w:hAnsi="Times New Roman Bold"/>
          <w:smallCaps/>
        </w:rPr>
        <w:tab/>
      </w:r>
      <w:r w:rsidR="006740C4">
        <w:rPr>
          <w:rFonts w:ascii="Times New Roman Bold" w:hAnsi="Times New Roman Bold"/>
          <w:smallCaps/>
        </w:rPr>
        <w:tab/>
      </w:r>
      <w:r w:rsidR="006740C4">
        <w:rPr>
          <w:rFonts w:ascii="Times New Roman Bold" w:hAnsi="Times New Roman Bold"/>
          <w:smallCaps/>
        </w:rPr>
        <w:tab/>
      </w:r>
      <w:r w:rsidR="006740C4" w:rsidRPr="006740C4">
        <w:t>By Council Member</w:t>
      </w:r>
      <w:r w:rsidR="00944D8C">
        <w:t>s</w:t>
      </w:r>
      <w:r w:rsidR="006740C4" w:rsidRPr="006740C4">
        <w:t xml:space="preserve"> Barron</w:t>
      </w:r>
      <w:r w:rsidR="00944D8C">
        <w:t>, Brannan and Koslowitz</w:t>
      </w:r>
    </w:p>
    <w:p w:rsidR="0069170D" w:rsidRDefault="0069170D" w:rsidP="0069170D">
      <w:pPr>
        <w:jc w:val="left"/>
        <w:rPr>
          <w:rFonts w:ascii="Times New Roman Bold" w:hAnsi="Times New Roman Bold"/>
          <w:b/>
          <w:smallCaps/>
        </w:rPr>
      </w:pPr>
    </w:p>
    <w:p w:rsidR="0069170D" w:rsidRPr="00944D8C" w:rsidRDefault="0069170D" w:rsidP="00944D8C">
      <w:pPr>
        <w:ind w:left="3600" w:hanging="3600"/>
        <w:jc w:val="left"/>
      </w:pPr>
      <w:r w:rsidRPr="006740C4">
        <w:rPr>
          <w:rFonts w:ascii="Times New Roman Bold" w:hAnsi="Times New Roman Bold"/>
          <w:b/>
          <w:smallCaps/>
          <w:u w:val="single"/>
        </w:rPr>
        <w:t>Title</w:t>
      </w:r>
      <w:r>
        <w:rPr>
          <w:rFonts w:ascii="Times New Roman Bold" w:hAnsi="Times New Roman Bold"/>
          <w:b/>
          <w:smallCaps/>
        </w:rPr>
        <w:t>:</w:t>
      </w:r>
      <w:r w:rsidR="00944D8C">
        <w:rPr>
          <w:rFonts w:ascii="Times New Roman Bold" w:hAnsi="Times New Roman Bold"/>
          <w:b/>
          <w:smallCaps/>
        </w:rPr>
        <w:tab/>
      </w:r>
      <w:r w:rsidR="00944D8C">
        <w:t>A Local Law to amend the administrative code of the city of New York, in relation to evictions of elderly tenants</w:t>
      </w:r>
    </w:p>
    <w:p w:rsidR="0069170D" w:rsidRDefault="0069170D" w:rsidP="0069170D">
      <w:pPr>
        <w:jc w:val="left"/>
        <w:rPr>
          <w:rFonts w:ascii="Times New Roman Bold" w:hAnsi="Times New Roman Bold"/>
          <w:b/>
          <w:smallCaps/>
        </w:rPr>
      </w:pPr>
    </w:p>
    <w:p w:rsidR="0069170D" w:rsidRPr="0079542D" w:rsidRDefault="0069170D" w:rsidP="0069170D">
      <w:pPr>
        <w:jc w:val="left"/>
      </w:pPr>
      <w:r w:rsidRPr="006740C4">
        <w:rPr>
          <w:rFonts w:ascii="Times New Roman Bold" w:hAnsi="Times New Roman Bold"/>
          <w:b/>
          <w:smallCaps/>
          <w:u w:val="single"/>
        </w:rPr>
        <w:t>Administrative Code</w:t>
      </w:r>
      <w:r>
        <w:rPr>
          <w:rFonts w:ascii="Times New Roman Bold" w:hAnsi="Times New Roman Bold"/>
          <w:b/>
          <w:smallCaps/>
        </w:rPr>
        <w:t>:</w:t>
      </w:r>
      <w:r w:rsidR="0079542D">
        <w:tab/>
      </w:r>
      <w:r w:rsidR="0079542D">
        <w:tab/>
      </w:r>
      <w:r w:rsidR="005A723B">
        <w:t>Adds a new chapter 18 to title 26</w:t>
      </w:r>
    </w:p>
    <w:p w:rsidR="0069170D" w:rsidRDefault="0069170D" w:rsidP="0069170D">
      <w:pPr>
        <w:jc w:val="left"/>
        <w:rPr>
          <w:rFonts w:ascii="Times New Roman Bold" w:hAnsi="Times New Roman Bold"/>
          <w:b/>
          <w:smallCaps/>
        </w:rPr>
      </w:pPr>
    </w:p>
    <w:p w:rsidR="0069170D" w:rsidRPr="006740C4" w:rsidRDefault="0069170D" w:rsidP="0069170D">
      <w:pPr>
        <w:jc w:val="left"/>
        <w:rPr>
          <w:rFonts w:ascii="Times New Roman Bold" w:hAnsi="Times New Roman Bold"/>
          <w:smallCaps/>
        </w:rPr>
      </w:pPr>
      <w:r w:rsidRPr="006740C4">
        <w:rPr>
          <w:rFonts w:ascii="Times New Roman Bold" w:hAnsi="Times New Roman Bold"/>
          <w:b/>
          <w:smallCaps/>
          <w:u w:val="single"/>
        </w:rPr>
        <w:t>Int. No. 225</w:t>
      </w:r>
      <w:r>
        <w:rPr>
          <w:rFonts w:ascii="Times New Roman Bold" w:hAnsi="Times New Roman Bold"/>
          <w:b/>
          <w:smallCaps/>
        </w:rPr>
        <w:t>:</w:t>
      </w:r>
      <w:r w:rsidR="006740C4">
        <w:rPr>
          <w:rFonts w:ascii="Times New Roman Bold" w:hAnsi="Times New Roman Bold"/>
          <w:smallCaps/>
        </w:rPr>
        <w:tab/>
      </w:r>
      <w:r w:rsidR="006740C4">
        <w:rPr>
          <w:rFonts w:ascii="Times New Roman Bold" w:hAnsi="Times New Roman Bold"/>
          <w:smallCaps/>
        </w:rPr>
        <w:tab/>
      </w:r>
      <w:r w:rsidR="006740C4">
        <w:rPr>
          <w:rFonts w:ascii="Times New Roman Bold" w:hAnsi="Times New Roman Bold"/>
          <w:smallCaps/>
        </w:rPr>
        <w:tab/>
      </w:r>
      <w:r w:rsidR="006740C4">
        <w:rPr>
          <w:rFonts w:ascii="Times New Roman Bold" w:hAnsi="Times New Roman Bold"/>
          <w:smallCaps/>
        </w:rPr>
        <w:tab/>
      </w:r>
      <w:r w:rsidR="006740C4" w:rsidRPr="006740C4">
        <w:t>By Council Member Brannan</w:t>
      </w:r>
    </w:p>
    <w:p w:rsidR="0069170D" w:rsidRDefault="0069170D" w:rsidP="0069170D">
      <w:pPr>
        <w:jc w:val="left"/>
        <w:rPr>
          <w:rFonts w:ascii="Times New Roman Bold" w:hAnsi="Times New Roman Bold"/>
          <w:b/>
          <w:smallCaps/>
        </w:rPr>
      </w:pPr>
    </w:p>
    <w:p w:rsidR="0069170D" w:rsidRPr="006740C4" w:rsidRDefault="0069170D" w:rsidP="006740C4">
      <w:pPr>
        <w:ind w:left="3600" w:hanging="3600"/>
        <w:jc w:val="left"/>
      </w:pPr>
      <w:r w:rsidRPr="006740C4">
        <w:rPr>
          <w:rFonts w:ascii="Times New Roman Bold" w:hAnsi="Times New Roman Bold"/>
          <w:b/>
          <w:smallCaps/>
          <w:u w:val="single"/>
        </w:rPr>
        <w:t>Title</w:t>
      </w:r>
      <w:r>
        <w:rPr>
          <w:rFonts w:ascii="Times New Roman Bold" w:hAnsi="Times New Roman Bold"/>
          <w:b/>
          <w:smallCaps/>
        </w:rPr>
        <w:t>:</w:t>
      </w:r>
      <w:r w:rsidR="006740C4">
        <w:tab/>
        <w:t xml:space="preserve">A Local Law to amend the administrative code of the city of New York, in relation to the installation of protective devices for seniors and persons with a disability who reside in multiple dwellings, and the provision of a tax abatement for certain related installations </w:t>
      </w:r>
    </w:p>
    <w:p w:rsidR="0069170D" w:rsidRDefault="0069170D" w:rsidP="0069170D">
      <w:pPr>
        <w:jc w:val="left"/>
        <w:rPr>
          <w:rFonts w:ascii="Times New Roman Bold" w:hAnsi="Times New Roman Bold"/>
          <w:b/>
          <w:smallCaps/>
        </w:rPr>
      </w:pPr>
    </w:p>
    <w:p w:rsidR="0069170D" w:rsidRPr="006740C4" w:rsidRDefault="0069170D" w:rsidP="0069170D">
      <w:pPr>
        <w:jc w:val="left"/>
      </w:pPr>
      <w:r w:rsidRPr="006740C4">
        <w:rPr>
          <w:rFonts w:ascii="Times New Roman Bold" w:hAnsi="Times New Roman Bold"/>
          <w:b/>
          <w:smallCaps/>
          <w:u w:val="single"/>
        </w:rPr>
        <w:t>Administrative Code</w:t>
      </w:r>
      <w:r>
        <w:rPr>
          <w:rFonts w:ascii="Times New Roman Bold" w:hAnsi="Times New Roman Bold"/>
          <w:b/>
          <w:smallCaps/>
        </w:rPr>
        <w:t xml:space="preserve">: </w:t>
      </w:r>
      <w:r w:rsidR="006740C4">
        <w:tab/>
      </w:r>
      <w:r w:rsidR="006740C4">
        <w:tab/>
      </w:r>
      <w:r w:rsidR="007A04B1">
        <w:t xml:space="preserve">Adds </w:t>
      </w:r>
      <w:r w:rsidR="00DB05DA">
        <w:t>new section</w:t>
      </w:r>
      <w:r w:rsidR="007A04B1">
        <w:t>s</w:t>
      </w:r>
      <w:r w:rsidR="00DB05DA">
        <w:t xml:space="preserve"> </w:t>
      </w:r>
      <w:r w:rsidR="007A04B1">
        <w:t xml:space="preserve">11-245.11 and </w:t>
      </w:r>
      <w:r w:rsidR="00DB05DA">
        <w:t>27-2046.4</w:t>
      </w:r>
      <w:r w:rsidR="006740C4">
        <w:t xml:space="preserve"> </w:t>
      </w:r>
    </w:p>
    <w:p w:rsidR="007E182E" w:rsidRDefault="007E182E" w:rsidP="0077133C">
      <w:pPr>
        <w:ind w:left="4320" w:hanging="4320"/>
        <w:rPr>
          <w:b/>
          <w:u w:val="single"/>
        </w:rPr>
      </w:pPr>
    </w:p>
    <w:p w:rsidR="00EB4091" w:rsidRDefault="00EB4091" w:rsidP="00B4377F">
      <w:pPr>
        <w:rPr>
          <w:b/>
          <w:szCs w:val="24"/>
          <w:u w:val="single"/>
        </w:rPr>
      </w:pPr>
    </w:p>
    <w:p w:rsidR="00334097" w:rsidRPr="000F3DAF" w:rsidRDefault="00334097" w:rsidP="00643FDF">
      <w:pPr>
        <w:jc w:val="center"/>
        <w:rPr>
          <w:rFonts w:ascii="Times" w:hAnsi="Times"/>
          <w:b/>
          <w:smallCaps/>
          <w:szCs w:val="24"/>
          <w:u w:val="single"/>
        </w:rPr>
      </w:pPr>
      <w:r w:rsidRPr="000F3DAF">
        <w:rPr>
          <w:rFonts w:ascii="Times" w:hAnsi="Times"/>
          <w:b/>
          <w:smallCaps/>
          <w:szCs w:val="24"/>
          <w:u w:val="single"/>
        </w:rPr>
        <w:t>Introduction</w:t>
      </w:r>
    </w:p>
    <w:p w:rsidR="00334097" w:rsidRDefault="00334097" w:rsidP="00334097">
      <w:pPr>
        <w:rPr>
          <w:rFonts w:ascii="Times" w:hAnsi="Times"/>
          <w:b/>
          <w:szCs w:val="24"/>
          <w:u w:val="single"/>
        </w:rPr>
      </w:pPr>
    </w:p>
    <w:p w:rsidR="008031F0" w:rsidRDefault="00E2455D" w:rsidP="008031F0">
      <w:pPr>
        <w:spacing w:line="480" w:lineRule="auto"/>
        <w:ind w:firstLine="720"/>
      </w:pPr>
      <w:r>
        <w:t xml:space="preserve">On </w:t>
      </w:r>
      <w:r w:rsidR="00B267BA">
        <w:t xml:space="preserve">December </w:t>
      </w:r>
      <w:r>
        <w:t>1</w:t>
      </w:r>
      <w:r w:rsidR="00B267BA">
        <w:t>2</w:t>
      </w:r>
      <w:r>
        <w:t>, 2019</w:t>
      </w:r>
      <w:r w:rsidR="007F0595">
        <w:t xml:space="preserve">, </w:t>
      </w:r>
      <w:r w:rsidR="004640E5">
        <w:t xml:space="preserve">the Committee on Aging, chaired by Council Member Margaret Chin, and </w:t>
      </w:r>
      <w:r w:rsidR="007F0595">
        <w:t>the Committee on Housing and Buildings, chaired by Council Member Robert Cornegy, Jr., will hold a joint oversight hearing on</w:t>
      </w:r>
      <w:r>
        <w:t xml:space="preserve"> </w:t>
      </w:r>
      <w:r w:rsidR="0025270B">
        <w:t>senior affordable housing</w:t>
      </w:r>
      <w:r w:rsidR="007F0595">
        <w:t xml:space="preserve">. </w:t>
      </w:r>
      <w:r w:rsidR="008031F0">
        <w:t>The Committees will consider Int. No. 6, sponsored by Council Member Barron, and Int. No. 225, sponsored by Council Member Brannan. Int. No. 6 would require owners to disclose certain information to the City before evicting tenants age 62 or older and would require the City to provide information to such tenants about available legal assistance. Int. No. 225 would require the installation in multiple dwellings of certain protective devices for seniors and persons with disabilities that enhance mobility, safety, and the quality of life for these persons.</w:t>
      </w:r>
    </w:p>
    <w:p w:rsidR="00FB6ED8" w:rsidRDefault="008031F0" w:rsidP="00BA284F">
      <w:pPr>
        <w:spacing w:line="480" w:lineRule="auto"/>
        <w:ind w:firstLine="720"/>
      </w:pPr>
      <w:r>
        <w:t xml:space="preserve">The Committees expect to </w:t>
      </w:r>
      <w:r w:rsidR="00537DBF">
        <w:t>hear</w:t>
      </w:r>
      <w:r>
        <w:t xml:space="preserve"> testimony from the New York City Department for the Aging (DFTA) and the Department of Housing Preservation and Development (HPD), as well as advocates for seniors, advocates for tenants, and other interested parties.</w:t>
      </w:r>
    </w:p>
    <w:p w:rsidR="00FB6ED8" w:rsidRDefault="00FB6ED8" w:rsidP="00BA284F">
      <w:pPr>
        <w:spacing w:line="480" w:lineRule="auto"/>
        <w:ind w:firstLine="720"/>
      </w:pPr>
    </w:p>
    <w:p w:rsidR="007F0595" w:rsidRDefault="007F0595" w:rsidP="00BA284F">
      <w:pPr>
        <w:spacing w:line="480" w:lineRule="auto"/>
        <w:ind w:firstLine="720"/>
      </w:pPr>
    </w:p>
    <w:p w:rsidR="007F0595" w:rsidRPr="000F3DAF" w:rsidRDefault="007F0595" w:rsidP="00D32DEB">
      <w:pPr>
        <w:numPr>
          <w:ilvl w:val="0"/>
          <w:numId w:val="49"/>
        </w:numPr>
        <w:jc w:val="center"/>
        <w:rPr>
          <w:rFonts w:ascii="Times" w:hAnsi="Times"/>
          <w:b/>
          <w:smallCaps/>
          <w:szCs w:val="24"/>
          <w:u w:val="single"/>
        </w:rPr>
      </w:pPr>
      <w:r>
        <w:rPr>
          <w:rFonts w:ascii="Times" w:hAnsi="Times"/>
          <w:b/>
          <w:smallCaps/>
          <w:szCs w:val="24"/>
          <w:u w:val="single"/>
        </w:rPr>
        <w:lastRenderedPageBreak/>
        <w:t>Background</w:t>
      </w:r>
    </w:p>
    <w:p w:rsidR="001A696D" w:rsidRDefault="001A696D" w:rsidP="0053112F">
      <w:pPr>
        <w:ind w:firstLine="720"/>
        <w:rPr>
          <w:rFonts w:ascii="Times" w:hAnsi="Times"/>
          <w:szCs w:val="24"/>
        </w:rPr>
      </w:pPr>
    </w:p>
    <w:p w:rsidR="00A75511" w:rsidRDefault="008031F0" w:rsidP="00D32DEB">
      <w:pPr>
        <w:spacing w:line="480" w:lineRule="auto"/>
        <w:rPr>
          <w:rFonts w:ascii="Times" w:hAnsi="Times"/>
          <w:i/>
          <w:szCs w:val="24"/>
        </w:rPr>
      </w:pPr>
      <w:r>
        <w:rPr>
          <w:rFonts w:ascii="Times" w:hAnsi="Times"/>
          <w:i/>
          <w:szCs w:val="24"/>
        </w:rPr>
        <w:t xml:space="preserve">Senior </w:t>
      </w:r>
      <w:r w:rsidR="00BA0E41">
        <w:rPr>
          <w:rFonts w:ascii="Times" w:hAnsi="Times"/>
          <w:i/>
          <w:szCs w:val="24"/>
        </w:rPr>
        <w:t xml:space="preserve">Affordable </w:t>
      </w:r>
      <w:r>
        <w:rPr>
          <w:rFonts w:ascii="Times" w:hAnsi="Times"/>
          <w:i/>
          <w:szCs w:val="24"/>
        </w:rPr>
        <w:t>Housing in New York City</w:t>
      </w:r>
    </w:p>
    <w:p w:rsidR="008031F0" w:rsidRDefault="008031F0" w:rsidP="008031F0">
      <w:pPr>
        <w:pBdr>
          <w:top w:val="nil"/>
          <w:left w:val="nil"/>
          <w:bottom w:val="nil"/>
          <w:right w:val="nil"/>
          <w:between w:val="nil"/>
        </w:pBdr>
        <w:spacing w:line="480" w:lineRule="auto"/>
        <w:ind w:firstLine="720"/>
        <w:rPr>
          <w:szCs w:val="24"/>
        </w:rPr>
      </w:pPr>
      <w:r>
        <w:rPr>
          <w:szCs w:val="24"/>
        </w:rPr>
        <w:t>Ac</w:t>
      </w:r>
      <w:r w:rsidR="00BA0E41">
        <w:rPr>
          <w:szCs w:val="24"/>
        </w:rPr>
        <w:t>cording to report</w:t>
      </w:r>
      <w:r w:rsidR="00A82393">
        <w:rPr>
          <w:szCs w:val="24"/>
        </w:rPr>
        <w:t>s</w:t>
      </w:r>
      <w:r w:rsidR="00BA0E41">
        <w:rPr>
          <w:szCs w:val="24"/>
        </w:rPr>
        <w:t xml:space="preserve"> from various groups, including the U.S. Census Bureau, ac</w:t>
      </w:r>
      <w:r>
        <w:rPr>
          <w:szCs w:val="24"/>
        </w:rPr>
        <w:t xml:space="preserve">ross the nation, the country’s older adult population is </w:t>
      </w:r>
      <w:r w:rsidR="00BA0E41">
        <w:rPr>
          <w:szCs w:val="24"/>
        </w:rPr>
        <w:t xml:space="preserve">rapidly </w:t>
      </w:r>
      <w:r>
        <w:rPr>
          <w:szCs w:val="24"/>
        </w:rPr>
        <w:t>increasing.</w:t>
      </w:r>
      <w:r>
        <w:rPr>
          <w:rStyle w:val="FootnoteReference"/>
          <w:szCs w:val="24"/>
        </w:rPr>
        <w:footnoteReference w:id="1"/>
      </w:r>
      <w:r>
        <w:rPr>
          <w:szCs w:val="24"/>
        </w:rPr>
        <w:t xml:space="preserve"> From 2000 to 2016, the population of individuals age 65 and older </w:t>
      </w:r>
      <w:r w:rsidR="00A82393">
        <w:rPr>
          <w:szCs w:val="24"/>
        </w:rPr>
        <w:t xml:space="preserve">across the country </w:t>
      </w:r>
      <w:r>
        <w:rPr>
          <w:szCs w:val="24"/>
        </w:rPr>
        <w:t>increased from 35 million to 49.2 million.</w:t>
      </w:r>
      <w:r>
        <w:rPr>
          <w:rStyle w:val="FootnoteReference"/>
          <w:szCs w:val="24"/>
        </w:rPr>
        <w:footnoteReference w:id="2"/>
      </w:r>
      <w:r>
        <w:rPr>
          <w:szCs w:val="24"/>
        </w:rPr>
        <w:t xml:space="preserve"> In New York City (NYC), the population of individuals age 65 and older increased from 947,000 in 2005 to 1.13 million in 2015</w:t>
      </w:r>
      <w:r w:rsidR="00BA0E41">
        <w:rPr>
          <w:szCs w:val="24"/>
        </w:rPr>
        <w:t xml:space="preserve"> alone</w:t>
      </w:r>
      <w:r>
        <w:rPr>
          <w:szCs w:val="24"/>
        </w:rPr>
        <w:t>.</w:t>
      </w:r>
      <w:r>
        <w:rPr>
          <w:rStyle w:val="FootnoteReference"/>
          <w:szCs w:val="24"/>
        </w:rPr>
        <w:footnoteReference w:id="3"/>
      </w:r>
      <w:r>
        <w:rPr>
          <w:szCs w:val="24"/>
        </w:rPr>
        <w:t xml:space="preserve"> Today, at approximately 1.59 million adults over the age of 60, older adults represent about 18.6</w:t>
      </w:r>
      <w:r w:rsidR="004A54ED">
        <w:rPr>
          <w:szCs w:val="24"/>
        </w:rPr>
        <w:t>%</w:t>
      </w:r>
      <w:r>
        <w:rPr>
          <w:szCs w:val="24"/>
        </w:rPr>
        <w:t xml:space="preserve"> of the City’s total population.</w:t>
      </w:r>
      <w:r>
        <w:rPr>
          <w:rStyle w:val="FootnoteReference"/>
          <w:szCs w:val="24"/>
        </w:rPr>
        <w:footnoteReference w:id="4"/>
      </w:r>
      <w:r>
        <w:rPr>
          <w:szCs w:val="24"/>
        </w:rPr>
        <w:t xml:space="preserve"> </w:t>
      </w:r>
      <w:r w:rsidR="00A82393">
        <w:rPr>
          <w:szCs w:val="24"/>
        </w:rPr>
        <w:t>That percentage is only set to increase—r</w:t>
      </w:r>
      <w:r>
        <w:rPr>
          <w:szCs w:val="24"/>
        </w:rPr>
        <w:t>esearchers predict that by 2040 more than 1.86 million of the City’s population will be age 60 or older.</w:t>
      </w:r>
      <w:r>
        <w:rPr>
          <w:rStyle w:val="FootnoteReference"/>
          <w:szCs w:val="24"/>
        </w:rPr>
        <w:footnoteReference w:id="5"/>
      </w:r>
    </w:p>
    <w:p w:rsidR="00FB6ED8" w:rsidRPr="00D32DEB" w:rsidRDefault="00A82393" w:rsidP="00D32DEB">
      <w:pPr>
        <w:pBdr>
          <w:top w:val="nil"/>
          <w:left w:val="nil"/>
          <w:bottom w:val="nil"/>
          <w:right w:val="nil"/>
          <w:between w:val="nil"/>
        </w:pBdr>
        <w:spacing w:line="480" w:lineRule="auto"/>
        <w:ind w:firstLine="720"/>
        <w:rPr>
          <w:szCs w:val="24"/>
        </w:rPr>
      </w:pPr>
      <w:r>
        <w:rPr>
          <w:szCs w:val="24"/>
        </w:rPr>
        <w:t>Although</w:t>
      </w:r>
      <w:r w:rsidR="00BA0E41">
        <w:rPr>
          <w:szCs w:val="24"/>
        </w:rPr>
        <w:t xml:space="preserve"> the City </w:t>
      </w:r>
      <w:r>
        <w:rPr>
          <w:szCs w:val="24"/>
        </w:rPr>
        <w:t>continues to experience</w:t>
      </w:r>
      <w:r w:rsidR="00BA0E41">
        <w:rPr>
          <w:szCs w:val="24"/>
        </w:rPr>
        <w:t xml:space="preserve"> significant growth in its older adult population, it has not accounted for that growth in the City’</w:t>
      </w:r>
      <w:r w:rsidR="00BA284F">
        <w:rPr>
          <w:szCs w:val="24"/>
        </w:rPr>
        <w:t xml:space="preserve">s </w:t>
      </w:r>
      <w:r w:rsidR="00BA0E41">
        <w:rPr>
          <w:szCs w:val="24"/>
        </w:rPr>
        <w:t>housing stock.</w:t>
      </w:r>
      <w:r w:rsidR="00BA284F">
        <w:rPr>
          <w:szCs w:val="24"/>
        </w:rPr>
        <w:t xml:space="preserve"> </w:t>
      </w:r>
      <w:r>
        <w:rPr>
          <w:szCs w:val="24"/>
        </w:rPr>
        <w:t xml:space="preserve">It has been reported that </w:t>
      </w:r>
      <w:r w:rsidR="00BA284F">
        <w:rPr>
          <w:szCs w:val="24"/>
        </w:rPr>
        <w:t>New York City housing already</w:t>
      </w:r>
      <w:r>
        <w:rPr>
          <w:szCs w:val="24"/>
        </w:rPr>
        <w:t xml:space="preserve"> cannot keep up with the city’s </w:t>
      </w:r>
      <w:r w:rsidR="00BA284F">
        <w:rPr>
          <w:szCs w:val="24"/>
        </w:rPr>
        <w:t>job growth</w:t>
      </w:r>
      <w:r w:rsidR="00C60E0E">
        <w:rPr>
          <w:szCs w:val="24"/>
        </w:rPr>
        <w:t>,</w:t>
      </w:r>
      <w:r w:rsidR="00BA284F">
        <w:rPr>
          <w:rStyle w:val="FootnoteReference"/>
          <w:szCs w:val="24"/>
        </w:rPr>
        <w:footnoteReference w:id="6"/>
      </w:r>
      <w:r w:rsidR="00BA284F">
        <w:rPr>
          <w:szCs w:val="24"/>
        </w:rPr>
        <w:t xml:space="preserve"> </w:t>
      </w:r>
      <w:r w:rsidR="00C60E0E">
        <w:rPr>
          <w:szCs w:val="24"/>
        </w:rPr>
        <w:t xml:space="preserve">and </w:t>
      </w:r>
      <w:r w:rsidR="00BA284F">
        <w:rPr>
          <w:szCs w:val="24"/>
        </w:rPr>
        <w:t xml:space="preserve">the case is </w:t>
      </w:r>
      <w:r>
        <w:rPr>
          <w:szCs w:val="24"/>
        </w:rPr>
        <w:t xml:space="preserve">even </w:t>
      </w:r>
      <w:r w:rsidR="00BA284F">
        <w:rPr>
          <w:szCs w:val="24"/>
        </w:rPr>
        <w:t xml:space="preserve">more acute for seniors, </w:t>
      </w:r>
      <w:r w:rsidR="00C60E0E">
        <w:rPr>
          <w:szCs w:val="24"/>
        </w:rPr>
        <w:t>who</w:t>
      </w:r>
      <w:r w:rsidR="000E7778">
        <w:rPr>
          <w:szCs w:val="24"/>
        </w:rPr>
        <w:t xml:space="preserve"> often cannot afford the current housing market due to reliance</w:t>
      </w:r>
      <w:r w:rsidR="00E56888">
        <w:rPr>
          <w:szCs w:val="24"/>
        </w:rPr>
        <w:t xml:space="preserve"> on </w:t>
      </w:r>
      <w:r w:rsidR="00C60E0E">
        <w:rPr>
          <w:szCs w:val="24"/>
        </w:rPr>
        <w:t xml:space="preserve">dwindling retirement funds and </w:t>
      </w:r>
      <w:r w:rsidR="00E56888">
        <w:rPr>
          <w:szCs w:val="24"/>
        </w:rPr>
        <w:t xml:space="preserve">Medicaid funding to cover </w:t>
      </w:r>
      <w:r w:rsidR="00C60E0E">
        <w:rPr>
          <w:szCs w:val="24"/>
        </w:rPr>
        <w:t xml:space="preserve">living, </w:t>
      </w:r>
      <w:r w:rsidR="00FB6ED8">
        <w:rPr>
          <w:szCs w:val="24"/>
        </w:rPr>
        <w:t>medical</w:t>
      </w:r>
      <w:r w:rsidR="00C60E0E">
        <w:rPr>
          <w:szCs w:val="24"/>
        </w:rPr>
        <w:t xml:space="preserve">, </w:t>
      </w:r>
      <w:r w:rsidR="00C60E0E" w:rsidRPr="00D32DEB">
        <w:rPr>
          <w:i/>
          <w:szCs w:val="24"/>
        </w:rPr>
        <w:t>and</w:t>
      </w:r>
      <w:r w:rsidR="00C60E0E">
        <w:rPr>
          <w:szCs w:val="24"/>
        </w:rPr>
        <w:t xml:space="preserve"> housing expenses</w:t>
      </w:r>
      <w:r w:rsidR="00FB6ED8">
        <w:rPr>
          <w:szCs w:val="24"/>
        </w:rPr>
        <w:t>.</w:t>
      </w:r>
      <w:r w:rsidR="00FB6ED8">
        <w:rPr>
          <w:rStyle w:val="FootnoteReference"/>
          <w:szCs w:val="24"/>
        </w:rPr>
        <w:footnoteReference w:id="7"/>
      </w:r>
      <w:r w:rsidR="00FB6ED8">
        <w:rPr>
          <w:szCs w:val="24"/>
        </w:rPr>
        <w:t xml:space="preserve"> Further complicating the issue, older adults often require special housing accommodations to help account for the unique needs of older age. Senior housing </w:t>
      </w:r>
      <w:r w:rsidR="00C60E0E">
        <w:rPr>
          <w:szCs w:val="24"/>
        </w:rPr>
        <w:t xml:space="preserve">thus </w:t>
      </w:r>
      <w:r w:rsidR="00FB6ED8">
        <w:rPr>
          <w:szCs w:val="24"/>
        </w:rPr>
        <w:t>covers a range of apartments, buildings, and on-site services and include</w:t>
      </w:r>
      <w:r w:rsidR="00C60E0E">
        <w:rPr>
          <w:szCs w:val="24"/>
        </w:rPr>
        <w:t>s</w:t>
      </w:r>
      <w:r w:rsidR="00FB6ED8">
        <w:rPr>
          <w:szCs w:val="24"/>
        </w:rPr>
        <w:t xml:space="preserve"> such features as: “elevators, </w:t>
      </w:r>
      <w:r w:rsidR="00FB6ED8">
        <w:rPr>
          <w:szCs w:val="24"/>
        </w:rPr>
        <w:lastRenderedPageBreak/>
        <w:t>accessibility ramps, slip-resistant floors, bathroom and hallway grab bars, showers that don’t involve bath tubs, wider doorways, and good lighting.”</w:t>
      </w:r>
      <w:r w:rsidR="00FB6ED8">
        <w:rPr>
          <w:rStyle w:val="FootnoteReference"/>
          <w:szCs w:val="24"/>
        </w:rPr>
        <w:footnoteReference w:id="8"/>
      </w:r>
      <w:r w:rsidR="00BA284F">
        <w:rPr>
          <w:szCs w:val="24"/>
        </w:rPr>
        <w:t xml:space="preserve"> </w:t>
      </w:r>
      <w:r w:rsidR="00FB6ED8">
        <w:rPr>
          <w:szCs w:val="24"/>
        </w:rPr>
        <w:t xml:space="preserve">Such spaces might also </w:t>
      </w:r>
      <w:r w:rsidR="00C60E0E">
        <w:rPr>
          <w:szCs w:val="24"/>
        </w:rPr>
        <w:t xml:space="preserve">need to </w:t>
      </w:r>
      <w:r w:rsidR="00FB6ED8">
        <w:rPr>
          <w:szCs w:val="24"/>
        </w:rPr>
        <w:t>include “assisted-living services such as caregivers, shopping assistance, counseling, meals, group leisure activities, and special dementia care.”</w:t>
      </w:r>
      <w:r w:rsidR="00FB6ED8">
        <w:rPr>
          <w:rStyle w:val="FootnoteReference"/>
          <w:szCs w:val="24"/>
        </w:rPr>
        <w:footnoteReference w:id="9"/>
      </w:r>
      <w:r w:rsidR="00FB6ED8">
        <w:rPr>
          <w:szCs w:val="24"/>
        </w:rPr>
        <w:t xml:space="preserve"> This, then, is the challenge: that </w:t>
      </w:r>
      <w:r w:rsidR="00C60E0E">
        <w:rPr>
          <w:szCs w:val="24"/>
        </w:rPr>
        <w:t xml:space="preserve">the </w:t>
      </w:r>
      <w:r w:rsidR="00FB6ED8">
        <w:rPr>
          <w:szCs w:val="24"/>
        </w:rPr>
        <w:t>New York City</w:t>
      </w:r>
      <w:r w:rsidR="00C60E0E">
        <w:rPr>
          <w:szCs w:val="24"/>
        </w:rPr>
        <w:t xml:space="preserve"> older adult population is quickly increasing, </w:t>
      </w:r>
      <w:r w:rsidR="00FB6ED8">
        <w:rPr>
          <w:szCs w:val="24"/>
        </w:rPr>
        <w:t>older adults are best served by senior housing</w:t>
      </w:r>
      <w:r w:rsidR="00C60E0E">
        <w:rPr>
          <w:szCs w:val="24"/>
        </w:rPr>
        <w:t>,</w:t>
      </w:r>
      <w:r w:rsidR="00FB6ED8">
        <w:rPr>
          <w:szCs w:val="24"/>
        </w:rPr>
        <w:t xml:space="preserve"> and senior housing must be affordable to seniors on a limited income. </w:t>
      </w:r>
      <w:r w:rsidR="00BA0E41">
        <w:rPr>
          <w:szCs w:val="24"/>
        </w:rPr>
        <w:t>Today, New York City does not have enough affordable senior housing to meet current demand.</w:t>
      </w:r>
      <w:r w:rsidR="00C60E0E">
        <w:rPr>
          <w:rStyle w:val="FootnoteReference"/>
          <w:szCs w:val="24"/>
        </w:rPr>
        <w:footnoteReference w:id="10"/>
      </w:r>
      <w:r w:rsidR="00BA0E41">
        <w:rPr>
          <w:szCs w:val="24"/>
        </w:rPr>
        <w:t xml:space="preserve"> </w:t>
      </w:r>
    </w:p>
    <w:p w:rsidR="00FB6ED8" w:rsidRDefault="00B220B2" w:rsidP="00D32DEB">
      <w:pPr>
        <w:pBdr>
          <w:top w:val="nil"/>
          <w:left w:val="nil"/>
          <w:bottom w:val="nil"/>
          <w:right w:val="nil"/>
          <w:between w:val="nil"/>
        </w:pBdr>
        <w:spacing w:line="480" w:lineRule="auto"/>
        <w:ind w:firstLine="720"/>
        <w:rPr>
          <w:rFonts w:ascii="Times" w:hAnsi="Times"/>
          <w:szCs w:val="24"/>
        </w:rPr>
      </w:pPr>
      <w:r>
        <w:rPr>
          <w:rFonts w:ascii="Times" w:hAnsi="Times"/>
          <w:szCs w:val="24"/>
        </w:rPr>
        <w:t>Affordable housing is based on a household</w:t>
      </w:r>
      <w:r>
        <w:rPr>
          <w:rFonts w:ascii="Times" w:hAnsi="Times" w:hint="eastAsia"/>
          <w:szCs w:val="24"/>
        </w:rPr>
        <w:t>’</w:t>
      </w:r>
      <w:r>
        <w:rPr>
          <w:rFonts w:ascii="Times" w:hAnsi="Times"/>
          <w:szCs w:val="24"/>
        </w:rPr>
        <w:t>s percentage of the area median income (</w:t>
      </w:r>
      <w:r>
        <w:rPr>
          <w:rFonts w:ascii="Times" w:hAnsi="Times" w:hint="eastAsia"/>
          <w:szCs w:val="24"/>
        </w:rPr>
        <w:t>AMI)</w:t>
      </w:r>
      <w:bookmarkStart w:id="1" w:name="_Ref26361585"/>
      <w:r w:rsidR="00646858">
        <w:rPr>
          <w:rStyle w:val="FootnoteReference"/>
          <w:rFonts w:ascii="Times" w:hAnsi="Times"/>
          <w:szCs w:val="24"/>
        </w:rPr>
        <w:footnoteReference w:id="11"/>
      </w:r>
      <w:bookmarkEnd w:id="1"/>
      <w:r w:rsidR="00DF07C0">
        <w:rPr>
          <w:rFonts w:ascii="Times" w:hAnsi="Times"/>
          <w:szCs w:val="24"/>
        </w:rPr>
        <w:t>, which is set by the federal government.</w:t>
      </w:r>
      <w:r w:rsidR="004265CD">
        <w:rPr>
          <w:rStyle w:val="FootnoteReference"/>
          <w:rFonts w:ascii="Times" w:hAnsi="Times"/>
          <w:szCs w:val="24"/>
        </w:rPr>
        <w:footnoteReference w:id="12"/>
      </w:r>
      <w:r w:rsidR="00DF07C0">
        <w:rPr>
          <w:rFonts w:ascii="Times" w:hAnsi="Times"/>
          <w:szCs w:val="24"/>
        </w:rPr>
        <w:t xml:space="preserve"> </w:t>
      </w:r>
      <w:r w:rsidR="00646858">
        <w:rPr>
          <w:rFonts w:ascii="Times" w:hAnsi="Times"/>
          <w:szCs w:val="24"/>
        </w:rPr>
        <w:t xml:space="preserve">In New York City, </w:t>
      </w:r>
      <w:r w:rsidR="000154F6">
        <w:rPr>
          <w:rFonts w:ascii="Times" w:hAnsi="Times"/>
          <w:szCs w:val="24"/>
        </w:rPr>
        <w:t>the median household income</w:t>
      </w:r>
      <w:r w:rsidR="00EB6F07">
        <w:rPr>
          <w:rFonts w:ascii="Times" w:hAnsi="Times"/>
          <w:szCs w:val="24"/>
        </w:rPr>
        <w:t xml:space="preserve"> for a family of three is $96,100.</w:t>
      </w:r>
      <w:r w:rsidR="00EB6F07">
        <w:rPr>
          <w:rStyle w:val="FootnoteReference"/>
          <w:rFonts w:ascii="Times" w:hAnsi="Times"/>
          <w:szCs w:val="24"/>
        </w:rPr>
        <w:footnoteReference w:id="13"/>
      </w:r>
      <w:r w:rsidR="00EB6F07">
        <w:rPr>
          <w:rFonts w:ascii="Times" w:hAnsi="Times"/>
          <w:szCs w:val="24"/>
        </w:rPr>
        <w:t xml:space="preserve"> </w:t>
      </w:r>
      <w:r w:rsidR="004265CD">
        <w:rPr>
          <w:rFonts w:ascii="Times" w:hAnsi="Times"/>
          <w:szCs w:val="24"/>
        </w:rPr>
        <w:t xml:space="preserve">Housing is considered </w:t>
      </w:r>
      <w:r w:rsidR="004265CD">
        <w:rPr>
          <w:rFonts w:ascii="Times" w:hAnsi="Times" w:hint="eastAsia"/>
          <w:szCs w:val="24"/>
        </w:rPr>
        <w:t>affordable</w:t>
      </w:r>
      <w:r w:rsidR="004265CD">
        <w:rPr>
          <w:rFonts w:ascii="Times" w:hAnsi="Times"/>
          <w:szCs w:val="24"/>
        </w:rPr>
        <w:t xml:space="preserve"> if a </w:t>
      </w:r>
      <w:r w:rsidR="00063E7C">
        <w:rPr>
          <w:rFonts w:ascii="Times" w:hAnsi="Times"/>
          <w:szCs w:val="24"/>
        </w:rPr>
        <w:t>household</w:t>
      </w:r>
      <w:r w:rsidR="004265CD">
        <w:rPr>
          <w:rFonts w:ascii="Times" w:hAnsi="Times"/>
          <w:szCs w:val="24"/>
        </w:rPr>
        <w:t xml:space="preserve"> pays 30% or </w:t>
      </w:r>
      <w:r w:rsidR="00063E7C">
        <w:rPr>
          <w:rFonts w:ascii="Times" w:hAnsi="Times"/>
          <w:szCs w:val="24"/>
        </w:rPr>
        <w:t>less of its total income for housing</w:t>
      </w:r>
      <w:r w:rsidR="004265CD">
        <w:rPr>
          <w:rFonts w:ascii="Times" w:hAnsi="Times"/>
          <w:szCs w:val="24"/>
        </w:rPr>
        <w:t>; anything above 30% and the household is considered to be rent burdened.</w:t>
      </w:r>
      <w:r w:rsidR="00973CAE">
        <w:rPr>
          <w:rStyle w:val="FootnoteReference"/>
          <w:rFonts w:ascii="Times" w:hAnsi="Times"/>
          <w:szCs w:val="24"/>
        </w:rPr>
        <w:footnoteReference w:id="14"/>
      </w:r>
      <w:r w:rsidR="008E427B">
        <w:rPr>
          <w:rFonts w:ascii="Times" w:hAnsi="Times"/>
          <w:szCs w:val="24"/>
        </w:rPr>
        <w:t xml:space="preserve"> According to a 2017 report </w:t>
      </w:r>
      <w:r w:rsidR="00147C16">
        <w:rPr>
          <w:rFonts w:ascii="Times" w:hAnsi="Times"/>
          <w:szCs w:val="24"/>
        </w:rPr>
        <w:t>by</w:t>
      </w:r>
      <w:r w:rsidR="008E427B">
        <w:rPr>
          <w:rFonts w:ascii="Times" w:hAnsi="Times"/>
          <w:szCs w:val="24"/>
        </w:rPr>
        <w:t xml:space="preserve"> the New York City Comptroller, </w:t>
      </w:r>
      <w:r w:rsidR="002143B8">
        <w:rPr>
          <w:rFonts w:ascii="Times" w:hAnsi="Times"/>
          <w:szCs w:val="24"/>
        </w:rPr>
        <w:t>seniors</w:t>
      </w:r>
      <w:r w:rsidR="00775AAD">
        <w:rPr>
          <w:rFonts w:ascii="Times" w:hAnsi="Times"/>
          <w:szCs w:val="24"/>
        </w:rPr>
        <w:t xml:space="preserve"> who often live on fixed incomes</w:t>
      </w:r>
      <w:r w:rsidR="002143B8">
        <w:rPr>
          <w:rFonts w:ascii="Times" w:hAnsi="Times"/>
          <w:szCs w:val="24"/>
        </w:rPr>
        <w:t xml:space="preserve"> are more likely to be rent burdened than the total population</w:t>
      </w:r>
      <w:r w:rsidR="00014750">
        <w:rPr>
          <w:rFonts w:ascii="Times" w:hAnsi="Times"/>
          <w:szCs w:val="24"/>
        </w:rPr>
        <w:t xml:space="preserve"> of New York City.</w:t>
      </w:r>
      <w:r w:rsidR="00014750">
        <w:rPr>
          <w:rStyle w:val="FootnoteReference"/>
          <w:rFonts w:ascii="Times" w:hAnsi="Times"/>
          <w:szCs w:val="24"/>
        </w:rPr>
        <w:footnoteReference w:id="15"/>
      </w:r>
      <w:r w:rsidR="00014750">
        <w:rPr>
          <w:rFonts w:ascii="Times" w:hAnsi="Times"/>
          <w:szCs w:val="24"/>
        </w:rPr>
        <w:t xml:space="preserve"> This is true </w:t>
      </w:r>
      <w:r w:rsidR="00AF3FC7">
        <w:rPr>
          <w:rFonts w:ascii="Times" w:hAnsi="Times"/>
          <w:szCs w:val="24"/>
        </w:rPr>
        <w:t xml:space="preserve">both </w:t>
      </w:r>
      <w:r w:rsidR="004267CA">
        <w:rPr>
          <w:rFonts w:ascii="Times" w:hAnsi="Times"/>
          <w:szCs w:val="24"/>
        </w:rPr>
        <w:t xml:space="preserve">for </w:t>
      </w:r>
      <w:r w:rsidR="00AF3FC7">
        <w:rPr>
          <w:rFonts w:ascii="Times" w:hAnsi="Times"/>
          <w:szCs w:val="24"/>
        </w:rPr>
        <w:t xml:space="preserve">senior </w:t>
      </w:r>
      <w:r w:rsidR="00B41F3D">
        <w:rPr>
          <w:rFonts w:ascii="Times" w:hAnsi="Times"/>
          <w:szCs w:val="24"/>
        </w:rPr>
        <w:t>homeowners</w:t>
      </w:r>
      <w:r w:rsidR="00147C16">
        <w:rPr>
          <w:rFonts w:ascii="Times" w:hAnsi="Times"/>
          <w:szCs w:val="24"/>
        </w:rPr>
        <w:t xml:space="preserve">, </w:t>
      </w:r>
      <w:r w:rsidR="00147C16">
        <w:t xml:space="preserve">with 38.8% of </w:t>
      </w:r>
      <w:r w:rsidR="00313F38">
        <w:t>whom are</w:t>
      </w:r>
      <w:r w:rsidR="00147C16">
        <w:t xml:space="preserve"> </w:t>
      </w:r>
      <w:r w:rsidR="00605B9D">
        <w:t xml:space="preserve">rent-burdened </w:t>
      </w:r>
      <w:r w:rsidR="00147C16">
        <w:t xml:space="preserve">compared with 36.4% of the total population, and </w:t>
      </w:r>
      <w:r w:rsidR="00605B9D">
        <w:t xml:space="preserve">for senior renters, </w:t>
      </w:r>
      <w:r w:rsidR="00147C16">
        <w:t xml:space="preserve">59.7% of </w:t>
      </w:r>
      <w:r w:rsidR="00621C8D">
        <w:t>whom are</w:t>
      </w:r>
      <w:r w:rsidR="00C264F5">
        <w:t xml:space="preserve"> rent burdened</w:t>
      </w:r>
      <w:r w:rsidR="00147C16">
        <w:t xml:space="preserve"> compared with 50.7% of the total population</w:t>
      </w:r>
      <w:r w:rsidR="00AF3FC7">
        <w:rPr>
          <w:rFonts w:ascii="Times" w:hAnsi="Times"/>
          <w:szCs w:val="24"/>
        </w:rPr>
        <w:t>.</w:t>
      </w:r>
      <w:r w:rsidR="00471E60">
        <w:rPr>
          <w:rStyle w:val="FootnoteReference"/>
          <w:rFonts w:ascii="Times" w:hAnsi="Times"/>
          <w:szCs w:val="24"/>
        </w:rPr>
        <w:footnoteReference w:id="16"/>
      </w:r>
      <w:r w:rsidR="00AF3FC7">
        <w:rPr>
          <w:rFonts w:ascii="Times" w:hAnsi="Times"/>
          <w:szCs w:val="24"/>
        </w:rPr>
        <w:t xml:space="preserve"> </w:t>
      </w:r>
      <w:r w:rsidR="00BA0E41">
        <w:rPr>
          <w:rFonts w:ascii="Times" w:hAnsi="Times"/>
          <w:szCs w:val="24"/>
        </w:rPr>
        <w:tab/>
      </w:r>
    </w:p>
    <w:p w:rsidR="00BA0E41" w:rsidRDefault="004A54ED" w:rsidP="000A5D82">
      <w:pPr>
        <w:spacing w:line="480" w:lineRule="auto"/>
        <w:rPr>
          <w:rFonts w:ascii="Times" w:hAnsi="Times"/>
          <w:szCs w:val="24"/>
        </w:rPr>
      </w:pPr>
      <w:r>
        <w:rPr>
          <w:szCs w:val="24"/>
        </w:rPr>
        <w:lastRenderedPageBreak/>
        <w:tab/>
      </w:r>
      <w:r w:rsidR="00BA0E41">
        <w:rPr>
          <w:szCs w:val="24"/>
        </w:rPr>
        <w:t>Advocates report that while affordable senior housing</w:t>
      </w:r>
      <w:r w:rsidR="00775AAD">
        <w:rPr>
          <w:szCs w:val="24"/>
        </w:rPr>
        <w:t xml:space="preserve"> in NYC</w:t>
      </w:r>
      <w:r w:rsidR="00BA0E41">
        <w:rPr>
          <w:szCs w:val="24"/>
        </w:rPr>
        <w:t xml:space="preserve"> does exist, waiting lists are seven to 10 years long and</w:t>
      </w:r>
      <w:r w:rsidR="00775AAD">
        <w:rPr>
          <w:szCs w:val="24"/>
        </w:rPr>
        <w:t xml:space="preserve"> that, further,</w:t>
      </w:r>
      <w:r w:rsidR="00BA0E41">
        <w:rPr>
          <w:szCs w:val="24"/>
        </w:rPr>
        <w:t xml:space="preserve"> an older adult only becomes eligible for such housing </w:t>
      </w:r>
      <w:r w:rsidR="00775AAD">
        <w:rPr>
          <w:szCs w:val="24"/>
        </w:rPr>
        <w:t xml:space="preserve">at </w:t>
      </w:r>
      <w:r w:rsidR="00BA0E41">
        <w:rPr>
          <w:szCs w:val="24"/>
        </w:rPr>
        <w:t>62 years of age.</w:t>
      </w:r>
      <w:r w:rsidR="00BA0E41">
        <w:rPr>
          <w:rStyle w:val="FootnoteReference"/>
          <w:szCs w:val="24"/>
        </w:rPr>
        <w:footnoteReference w:id="17"/>
      </w:r>
      <w:r w:rsidR="00E56888">
        <w:rPr>
          <w:szCs w:val="24"/>
        </w:rPr>
        <w:t xml:space="preserve"> In 2017, for example, LiveOn NY reported that in two Manhattan community districts, about 19,700 seniors were waiting for a mere 45 affordable-housing openings.</w:t>
      </w:r>
      <w:r w:rsidR="00E56888">
        <w:rPr>
          <w:rStyle w:val="FootnoteReference"/>
          <w:szCs w:val="24"/>
        </w:rPr>
        <w:footnoteReference w:id="18"/>
      </w:r>
      <w:r w:rsidR="00E56888">
        <w:rPr>
          <w:szCs w:val="24"/>
        </w:rPr>
        <w:t xml:space="preserve"> In another example, the Frances Goldin Senior Apartments</w:t>
      </w:r>
      <w:r w:rsidR="00775AAD">
        <w:rPr>
          <w:szCs w:val="24"/>
        </w:rPr>
        <w:t>, which</w:t>
      </w:r>
      <w:r w:rsidR="00E56888">
        <w:rPr>
          <w:szCs w:val="24"/>
        </w:rPr>
        <w:t xml:space="preserve"> opened in January 2018</w:t>
      </w:r>
      <w:r w:rsidR="00775AAD">
        <w:rPr>
          <w:szCs w:val="24"/>
        </w:rPr>
        <w:t>,</w:t>
      </w:r>
      <w:r w:rsidR="00E56888">
        <w:rPr>
          <w:szCs w:val="24"/>
        </w:rPr>
        <w:t xml:space="preserve"> received </w:t>
      </w:r>
      <w:r w:rsidR="00775AAD">
        <w:rPr>
          <w:szCs w:val="24"/>
        </w:rPr>
        <w:t xml:space="preserve">a staggering </w:t>
      </w:r>
      <w:r w:rsidR="00E56888">
        <w:rPr>
          <w:szCs w:val="24"/>
        </w:rPr>
        <w:t xml:space="preserve">65,000 applications for </w:t>
      </w:r>
      <w:r w:rsidR="00775AAD">
        <w:rPr>
          <w:szCs w:val="24"/>
        </w:rPr>
        <w:t xml:space="preserve">only </w:t>
      </w:r>
      <w:r w:rsidR="00E56888">
        <w:rPr>
          <w:szCs w:val="24"/>
        </w:rPr>
        <w:t>99 units.</w:t>
      </w:r>
      <w:r w:rsidR="00E56888">
        <w:rPr>
          <w:rStyle w:val="FootnoteReference"/>
          <w:szCs w:val="24"/>
        </w:rPr>
        <w:footnoteReference w:id="19"/>
      </w:r>
      <w:r w:rsidR="00E56888">
        <w:rPr>
          <w:szCs w:val="24"/>
        </w:rPr>
        <w:t xml:space="preserve"> LiveOn NY estimates that the current citywide waiting list for affordable senior housing is over 200,000.</w:t>
      </w:r>
      <w:r w:rsidR="00E56888">
        <w:rPr>
          <w:rStyle w:val="FootnoteReference"/>
          <w:szCs w:val="24"/>
        </w:rPr>
        <w:footnoteReference w:id="20"/>
      </w:r>
      <w:r w:rsidR="00E56888">
        <w:rPr>
          <w:szCs w:val="24"/>
        </w:rPr>
        <w:t xml:space="preserve"> </w:t>
      </w:r>
      <w:r w:rsidR="00775AAD">
        <w:rPr>
          <w:szCs w:val="24"/>
        </w:rPr>
        <w:t>With the aging population increasing and senior affordable housing waitlists being so long, then, it should be no surprise that between 2002 and 2012, the number of seniors in NYC homeless shelters increased 55</w:t>
      </w:r>
      <w:r>
        <w:rPr>
          <w:szCs w:val="24"/>
        </w:rPr>
        <w:t>%</w:t>
      </w:r>
      <w:r w:rsidR="00775AAD">
        <w:rPr>
          <w:szCs w:val="24"/>
        </w:rPr>
        <w:t>.</w:t>
      </w:r>
      <w:r w:rsidR="00775AAD">
        <w:rPr>
          <w:rStyle w:val="FootnoteReference"/>
          <w:szCs w:val="24"/>
        </w:rPr>
        <w:footnoteReference w:id="21"/>
      </w:r>
    </w:p>
    <w:p w:rsidR="00A75511" w:rsidRDefault="00A75511" w:rsidP="00D32DEB">
      <w:pPr>
        <w:spacing w:line="480" w:lineRule="auto"/>
        <w:rPr>
          <w:rFonts w:ascii="Times" w:hAnsi="Times"/>
          <w:i/>
          <w:szCs w:val="24"/>
        </w:rPr>
      </w:pPr>
      <w:r>
        <w:rPr>
          <w:rFonts w:ascii="Times" w:hAnsi="Times"/>
          <w:i/>
          <w:szCs w:val="24"/>
        </w:rPr>
        <w:t xml:space="preserve">Plans to </w:t>
      </w:r>
      <w:r w:rsidR="00FB6ED8">
        <w:rPr>
          <w:rFonts w:ascii="Times" w:hAnsi="Times"/>
          <w:i/>
          <w:szCs w:val="24"/>
        </w:rPr>
        <w:t>E</w:t>
      </w:r>
      <w:r>
        <w:rPr>
          <w:rFonts w:ascii="Times" w:hAnsi="Times"/>
          <w:i/>
          <w:szCs w:val="24"/>
        </w:rPr>
        <w:t xml:space="preserve">xpand </w:t>
      </w:r>
      <w:r w:rsidR="00FB6ED8">
        <w:rPr>
          <w:rFonts w:ascii="Times" w:hAnsi="Times"/>
          <w:i/>
          <w:szCs w:val="24"/>
        </w:rPr>
        <w:t>Senior A</w:t>
      </w:r>
      <w:r>
        <w:rPr>
          <w:rFonts w:ascii="Times" w:hAnsi="Times"/>
          <w:i/>
          <w:szCs w:val="24"/>
        </w:rPr>
        <w:t xml:space="preserve">ffordable </w:t>
      </w:r>
      <w:r w:rsidR="00FB6ED8">
        <w:rPr>
          <w:rFonts w:ascii="Times" w:hAnsi="Times"/>
          <w:i/>
          <w:szCs w:val="24"/>
        </w:rPr>
        <w:t>H</w:t>
      </w:r>
      <w:r>
        <w:rPr>
          <w:rFonts w:ascii="Times" w:hAnsi="Times"/>
          <w:i/>
          <w:szCs w:val="24"/>
        </w:rPr>
        <w:t>ousing</w:t>
      </w:r>
      <w:r w:rsidR="00462A4D">
        <w:rPr>
          <w:rFonts w:ascii="Times" w:hAnsi="Times"/>
          <w:i/>
          <w:szCs w:val="24"/>
        </w:rPr>
        <w:t xml:space="preserve"> </w:t>
      </w:r>
    </w:p>
    <w:p w:rsidR="00A75511" w:rsidRDefault="00A75511" w:rsidP="00F20DCE">
      <w:pPr>
        <w:spacing w:line="480" w:lineRule="auto"/>
        <w:ind w:firstLine="720"/>
      </w:pPr>
      <w:r>
        <w:rPr>
          <w:szCs w:val="24"/>
        </w:rPr>
        <w:t xml:space="preserve">The City’s shortage of affordable </w:t>
      </w:r>
      <w:r w:rsidR="00FB6ED8">
        <w:rPr>
          <w:szCs w:val="24"/>
        </w:rPr>
        <w:t xml:space="preserve">senior </w:t>
      </w:r>
      <w:r>
        <w:rPr>
          <w:szCs w:val="24"/>
        </w:rPr>
        <w:t>housing has attracted significant attention from City leaders in recent years.</w:t>
      </w:r>
      <w:r w:rsidR="00F20DCE">
        <w:rPr>
          <w:szCs w:val="24"/>
        </w:rPr>
        <w:t xml:space="preserve"> </w:t>
      </w:r>
      <w:r w:rsidR="00CB4B97">
        <w:rPr>
          <w:szCs w:val="24"/>
        </w:rPr>
        <w:t>While in</w:t>
      </w:r>
      <w:r w:rsidR="00775AAD">
        <w:rPr>
          <w:szCs w:val="24"/>
        </w:rPr>
        <w:t xml:space="preserve"> February 2016, the City Planning Commission reported that only about 3,500 affordable senior housing apartments had been built in NYC since 2003</w:t>
      </w:r>
      <w:r w:rsidR="00CB4B97">
        <w:rPr>
          <w:szCs w:val="24"/>
        </w:rPr>
        <w:t>,</w:t>
      </w:r>
      <w:r w:rsidR="00775AAD">
        <w:rPr>
          <w:szCs w:val="24"/>
        </w:rPr>
        <w:t xml:space="preserve"> since then, Mayor </w:t>
      </w:r>
      <w:r w:rsidR="00CB4B97">
        <w:rPr>
          <w:szCs w:val="24"/>
        </w:rPr>
        <w:t xml:space="preserve">Bill </w:t>
      </w:r>
      <w:r w:rsidR="00775AAD">
        <w:rPr>
          <w:szCs w:val="24"/>
        </w:rPr>
        <w:t xml:space="preserve">de Blasio </w:t>
      </w:r>
      <w:r w:rsidR="00CB4B97">
        <w:rPr>
          <w:szCs w:val="24"/>
        </w:rPr>
        <w:t>has committed to building more senior affordable housing units.</w:t>
      </w:r>
      <w:r w:rsidR="00CB4B97">
        <w:rPr>
          <w:rStyle w:val="FootnoteReference"/>
          <w:szCs w:val="24"/>
        </w:rPr>
        <w:footnoteReference w:id="22"/>
      </w:r>
      <w:r w:rsidR="00775AAD">
        <w:rPr>
          <w:szCs w:val="24"/>
        </w:rPr>
        <w:t xml:space="preserve"> </w:t>
      </w:r>
      <w:r w:rsidR="00F20DCE">
        <w:rPr>
          <w:szCs w:val="24"/>
        </w:rPr>
        <w:t xml:space="preserve">Notably, in October 2018, </w:t>
      </w:r>
      <w:r w:rsidR="00CB4B97">
        <w:rPr>
          <w:szCs w:val="24"/>
        </w:rPr>
        <w:t xml:space="preserve">the </w:t>
      </w:r>
      <w:r w:rsidR="00F20DCE">
        <w:rPr>
          <w:szCs w:val="24"/>
        </w:rPr>
        <w:t xml:space="preserve">Mayor announced a plan to increase affordable housing in order to address the growing senior population in the </w:t>
      </w:r>
      <w:r w:rsidRPr="002C70D5">
        <w:rPr>
          <w:i/>
          <w:szCs w:val="24"/>
        </w:rPr>
        <w:t>Housing New York</w:t>
      </w:r>
      <w:r>
        <w:rPr>
          <w:i/>
          <w:szCs w:val="24"/>
        </w:rPr>
        <w:t xml:space="preserve"> 2.0</w:t>
      </w:r>
      <w:r w:rsidR="00F20DCE">
        <w:rPr>
          <w:i/>
          <w:szCs w:val="24"/>
        </w:rPr>
        <w:t xml:space="preserve"> </w:t>
      </w:r>
      <w:r w:rsidR="00F20DCE">
        <w:rPr>
          <w:szCs w:val="24"/>
        </w:rPr>
        <w:t>report</w:t>
      </w:r>
      <w:r>
        <w:rPr>
          <w:szCs w:val="24"/>
        </w:rPr>
        <w:t>.</w:t>
      </w:r>
      <w:r w:rsidRPr="000E0AA0">
        <w:rPr>
          <w:rStyle w:val="FootnoteReference"/>
          <w:szCs w:val="24"/>
        </w:rPr>
        <w:footnoteReference w:id="23"/>
      </w:r>
      <w:r>
        <w:rPr>
          <w:szCs w:val="24"/>
        </w:rPr>
        <w:t xml:space="preserve"> The report outlines </w:t>
      </w:r>
      <w:r w:rsidR="00CB4B97">
        <w:rPr>
          <w:szCs w:val="24"/>
        </w:rPr>
        <w:t>the following</w:t>
      </w:r>
      <w:r>
        <w:rPr>
          <w:szCs w:val="24"/>
        </w:rPr>
        <w:t xml:space="preserve"> three-pronged strategy</w:t>
      </w:r>
      <w:r w:rsidR="00F20DCE">
        <w:rPr>
          <w:szCs w:val="24"/>
        </w:rPr>
        <w:t xml:space="preserve">, referred to as </w:t>
      </w:r>
      <w:r w:rsidR="00F20DCE">
        <w:rPr>
          <w:i/>
          <w:szCs w:val="24"/>
        </w:rPr>
        <w:t>Seniors First</w:t>
      </w:r>
      <w:r w:rsidR="00F20DCE">
        <w:rPr>
          <w:szCs w:val="24"/>
        </w:rPr>
        <w:t xml:space="preserve">, </w:t>
      </w:r>
      <w:r>
        <w:rPr>
          <w:szCs w:val="24"/>
        </w:rPr>
        <w:t xml:space="preserve">for improving housing </w:t>
      </w:r>
      <w:r>
        <w:rPr>
          <w:szCs w:val="24"/>
        </w:rPr>
        <w:lastRenderedPageBreak/>
        <w:t xml:space="preserve">options for seniors: 1) preserve more senior housing originally developed through federal housing plans, 2) make more homes accessible to seniors and people with disabilities, and 3) develop new senior housing on </w:t>
      </w:r>
      <w:r w:rsidR="00240A0A">
        <w:rPr>
          <w:szCs w:val="24"/>
        </w:rPr>
        <w:t>New York City Housing Authority (NYCHA)</w:t>
      </w:r>
      <w:r>
        <w:rPr>
          <w:szCs w:val="24"/>
        </w:rPr>
        <w:t xml:space="preserve"> land.</w:t>
      </w:r>
      <w:r>
        <w:rPr>
          <w:rStyle w:val="FootnoteReference"/>
          <w:szCs w:val="24"/>
        </w:rPr>
        <w:footnoteReference w:id="24"/>
      </w:r>
      <w:r>
        <w:rPr>
          <w:szCs w:val="24"/>
        </w:rPr>
        <w:t xml:space="preserve"> </w:t>
      </w:r>
      <w:r w:rsidR="00F20DCE">
        <w:rPr>
          <w:szCs w:val="24"/>
        </w:rPr>
        <w:t>At the time</w:t>
      </w:r>
      <w:r w:rsidR="00CB4B97">
        <w:rPr>
          <w:szCs w:val="24"/>
        </w:rPr>
        <w:t xml:space="preserve"> of announcement</w:t>
      </w:r>
      <w:r w:rsidR="00F20DCE">
        <w:rPr>
          <w:szCs w:val="24"/>
        </w:rPr>
        <w:t xml:space="preserve">, Mayor de Blasio </w:t>
      </w:r>
      <w:r w:rsidR="00CB4B97">
        <w:rPr>
          <w:szCs w:val="24"/>
        </w:rPr>
        <w:t>stated</w:t>
      </w:r>
      <w:r w:rsidR="00F20DCE">
        <w:rPr>
          <w:szCs w:val="24"/>
        </w:rPr>
        <w:t xml:space="preserve"> his goal to accelerate the creation and preservation of 200,000 affordable homes by 2022 and 300,000 units of affordable housing by 2026.</w:t>
      </w:r>
      <w:r w:rsidR="00F20DCE">
        <w:rPr>
          <w:rStyle w:val="FootnoteReference"/>
          <w:szCs w:val="24"/>
        </w:rPr>
        <w:footnoteReference w:id="25"/>
      </w:r>
      <w:r w:rsidR="00F20DCE">
        <w:rPr>
          <w:szCs w:val="24"/>
        </w:rPr>
        <w:t xml:space="preserve"> </w:t>
      </w:r>
      <w:r w:rsidR="00F20DCE">
        <w:t xml:space="preserve">Despite this </w:t>
      </w:r>
      <w:r w:rsidR="00CB4B97">
        <w:t xml:space="preserve">significant </w:t>
      </w:r>
      <w:r w:rsidR="00F20DCE">
        <w:t>commitment by the City,</w:t>
      </w:r>
      <w:r w:rsidR="00CB4B97">
        <w:t xml:space="preserve"> however,</w:t>
      </w:r>
      <w:r w:rsidR="00F20DCE">
        <w:t xml:space="preserve"> advocates have </w:t>
      </w:r>
      <w:r w:rsidR="00CB4B97">
        <w:t>said</w:t>
      </w:r>
      <w:r w:rsidR="00F20DCE">
        <w:t xml:space="preserve"> that </w:t>
      </w:r>
      <w:r w:rsidR="00CB4B97">
        <w:t xml:space="preserve">the timeline and </w:t>
      </w:r>
      <w:r w:rsidR="00F20DCE">
        <w:t xml:space="preserve">progress on the promises made by the Mayor have remained unclear. </w:t>
      </w:r>
    </w:p>
    <w:p w:rsidR="00F20DCE" w:rsidRPr="00B5051D" w:rsidRDefault="00CB4B97" w:rsidP="00F20DCE">
      <w:pPr>
        <w:spacing w:line="480" w:lineRule="auto"/>
        <w:ind w:firstLine="720"/>
        <w:rPr>
          <w:szCs w:val="24"/>
        </w:rPr>
      </w:pPr>
      <w:r>
        <w:t>Additionally</w:t>
      </w:r>
      <w:r w:rsidR="00F20DCE">
        <w:t xml:space="preserve">, </w:t>
      </w:r>
      <w:r w:rsidR="00A06348">
        <w:t xml:space="preserve">Matthew Creegan, the deputy press secretary at HPD, </w:t>
      </w:r>
      <w:r w:rsidR="00240A0A">
        <w:t>stated</w:t>
      </w:r>
      <w:r w:rsidR="00A06348">
        <w:t xml:space="preserve"> in a 2019 email that “our financial commitment to senior housing has increased—from $40 million in total public resources in </w:t>
      </w:r>
      <w:r w:rsidR="00240A0A">
        <w:t>Fiscal Year (FY)</w:t>
      </w:r>
      <w:r w:rsidR="00A06348">
        <w:t xml:space="preserve"> to more than $425 million in FY18. Robust pipelines for FY20 and FY21 ensures that more senior housing units will come online every year.”</w:t>
      </w:r>
      <w:r w:rsidR="00A06348">
        <w:rPr>
          <w:rStyle w:val="FootnoteReference"/>
        </w:rPr>
        <w:footnoteReference w:id="26"/>
      </w:r>
      <w:r w:rsidR="00A06348">
        <w:t xml:space="preserve"> However, no specifics or timelines have been </w:t>
      </w:r>
      <w:r w:rsidR="00240A0A">
        <w:t>provided</w:t>
      </w:r>
      <w:r w:rsidR="00A06348">
        <w:t xml:space="preserve"> about this pipeline or these expected units</w:t>
      </w:r>
      <w:r>
        <w:t xml:space="preserve"> either</w:t>
      </w:r>
      <w:r w:rsidR="00A06348">
        <w:t xml:space="preserve">. </w:t>
      </w:r>
    </w:p>
    <w:p w:rsidR="00206AA5" w:rsidRDefault="00CB4B97" w:rsidP="00D32DEB">
      <w:pPr>
        <w:spacing w:line="480" w:lineRule="auto"/>
        <w:rPr>
          <w:rFonts w:ascii="Times" w:hAnsi="Times"/>
          <w:i/>
          <w:szCs w:val="24"/>
        </w:rPr>
      </w:pPr>
      <w:r>
        <w:rPr>
          <w:rFonts w:ascii="Times" w:hAnsi="Times"/>
          <w:i/>
          <w:szCs w:val="24"/>
        </w:rPr>
        <w:t>Senior Citizen Rent Increase Exemption (SCRIE) and Senior Citizen Exemption (SCHE)</w:t>
      </w:r>
    </w:p>
    <w:p w:rsidR="00C9105A" w:rsidRDefault="00CB4B97" w:rsidP="00D32DEB">
      <w:pPr>
        <w:pStyle w:val="NormalWeb"/>
        <w:spacing w:before="0" w:beforeAutospacing="0" w:after="0" w:afterAutospacing="0" w:line="480" w:lineRule="auto"/>
        <w:ind w:firstLine="720"/>
        <w:rPr>
          <w:bCs/>
        </w:rPr>
      </w:pPr>
      <w:r>
        <w:t>Although increased housing stock presents one aspect of the solution to the looming senior housing crisis, city and state programs to help seniors afford available housing is equally important. To this end, New York City offers two programs targeted toward older adults: the Senior Citizen Rent Increase Exemption (SCRIE),</w:t>
      </w:r>
      <w:r w:rsidR="00C542D0">
        <w:rPr>
          <w:rStyle w:val="FootnoteReference"/>
        </w:rPr>
        <w:footnoteReference w:id="27"/>
      </w:r>
      <w:r>
        <w:t xml:space="preserve"> or NYC Rent Freeze Program, and the Senior Citizen </w:t>
      </w:r>
      <w:r w:rsidR="006E10FB">
        <w:t xml:space="preserve">Homeowner </w:t>
      </w:r>
      <w:r>
        <w:t>Exemption (SCHE)</w:t>
      </w:r>
      <w:r w:rsidR="00C542D0">
        <w:rPr>
          <w:rStyle w:val="FootnoteReference"/>
        </w:rPr>
        <w:footnoteReference w:id="28"/>
      </w:r>
      <w:r w:rsidR="00C542D0">
        <w:t xml:space="preserve"> for property taxes</w:t>
      </w:r>
      <w:r>
        <w:t xml:space="preserve">. </w:t>
      </w:r>
      <w:r w:rsidR="00C9105A" w:rsidRPr="00E52351">
        <w:t xml:space="preserve">The </w:t>
      </w:r>
      <w:r w:rsidR="00C9105A">
        <w:t xml:space="preserve">SCRIE </w:t>
      </w:r>
      <w:r w:rsidR="00C9105A" w:rsidRPr="00E52351">
        <w:t>program</w:t>
      </w:r>
      <w:r w:rsidR="00C542D0">
        <w:t xml:space="preserve">, run </w:t>
      </w:r>
      <w:r w:rsidR="00C542D0">
        <w:lastRenderedPageBreak/>
        <w:t>through the NYC Department of Finance,</w:t>
      </w:r>
      <w:r w:rsidR="00C9105A" w:rsidRPr="00E52351">
        <w:t xml:space="preserve"> protects eligible renters from certain increases imposed by their landlord.</w:t>
      </w:r>
      <w:r w:rsidR="00C9105A" w:rsidRPr="00E52351">
        <w:rPr>
          <w:rStyle w:val="FootnoteReference"/>
        </w:rPr>
        <w:footnoteReference w:id="29"/>
      </w:r>
      <w:r w:rsidR="00C9105A">
        <w:t xml:space="preserve"> </w:t>
      </w:r>
      <w:r w:rsidR="00C542D0">
        <w:t xml:space="preserve">It is, essentially, a rent freeze for low-income renters who are </w:t>
      </w:r>
      <w:r w:rsidR="006E10FB">
        <w:t xml:space="preserve">age </w:t>
      </w:r>
      <w:r w:rsidR="00C542D0">
        <w:t>62 or older.</w:t>
      </w:r>
      <w:r w:rsidR="00C542D0">
        <w:rPr>
          <w:rStyle w:val="FootnoteReference"/>
        </w:rPr>
        <w:footnoteReference w:id="30"/>
      </w:r>
      <w:r w:rsidR="00C542D0">
        <w:t xml:space="preserve"> </w:t>
      </w:r>
      <w:r w:rsidR="00C9105A" w:rsidRPr="00E52351">
        <w:t xml:space="preserve">In </w:t>
      </w:r>
      <w:r w:rsidR="00C542D0">
        <w:t>return for freezing rent</w:t>
      </w:r>
      <w:r w:rsidR="00C9105A" w:rsidRPr="00E52351">
        <w:t xml:space="preserve">, the landlord receives property tax abatement equal to the amount of the rent </w:t>
      </w:r>
      <w:r w:rsidR="00C9105A">
        <w:t>forgiven.</w:t>
      </w:r>
      <w:r w:rsidR="00C542D0">
        <w:rPr>
          <w:rStyle w:val="FootnoteReference"/>
        </w:rPr>
        <w:footnoteReference w:id="31"/>
      </w:r>
      <w:r w:rsidR="00C9105A" w:rsidRPr="00E52351">
        <w:t xml:space="preserve"> Tenants are eligible for the SCRIE program if</w:t>
      </w:r>
      <w:r w:rsidR="00C9105A">
        <w:t xml:space="preserve"> </w:t>
      </w:r>
      <w:r w:rsidR="00C9105A" w:rsidRPr="00E52351">
        <w:t xml:space="preserve">they are at least 62 years old; have a total household income that does not exceed </w:t>
      </w:r>
      <w:r w:rsidR="00C9105A">
        <w:t>$50,000</w:t>
      </w:r>
      <w:r w:rsidR="00C9105A" w:rsidRPr="00E52351">
        <w:t>; reside in a rent controlled or rent stabilized apartment,</w:t>
      </w:r>
      <w:r w:rsidR="00C9105A">
        <w:t xml:space="preserve"> a Mitchell-</w:t>
      </w:r>
      <w:r w:rsidR="00C9105A" w:rsidRPr="00E52351">
        <w:t xml:space="preserve">Lama complex or a rent regulated residential hotel; and </w:t>
      </w:r>
      <w:r w:rsidR="00C9105A">
        <w:t xml:space="preserve">their rent </w:t>
      </w:r>
      <w:r w:rsidR="00C9105A" w:rsidRPr="00E52351">
        <w:t>is increased to a level that exceeds one-third of the household’s income.</w:t>
      </w:r>
      <w:r w:rsidR="00C9105A" w:rsidRPr="00E52351">
        <w:rPr>
          <w:rStyle w:val="FootnoteReference"/>
        </w:rPr>
        <w:footnoteReference w:id="32"/>
      </w:r>
    </w:p>
    <w:p w:rsidR="006F696E" w:rsidRDefault="00C542D0" w:rsidP="00D32DEB">
      <w:pPr>
        <w:pStyle w:val="NormalWeb"/>
        <w:spacing w:before="0" w:beforeAutospacing="0" w:after="0" w:afterAutospacing="0" w:line="480" w:lineRule="auto"/>
      </w:pPr>
      <w:r>
        <w:t>SCHE is a New York State program that allows local governments to reduce the amount of property taxes paid by qualifying senior citizens.</w:t>
      </w:r>
      <w:r>
        <w:rPr>
          <w:rStyle w:val="FootnoteReference"/>
        </w:rPr>
        <w:footnoteReference w:id="33"/>
      </w:r>
      <w:r>
        <w:t xml:space="preserve"> In NYC, u</w:t>
      </w:r>
      <w:r w:rsidR="00C9105A">
        <w:t>nder the SCHE</w:t>
      </w:r>
      <w:r>
        <w:t xml:space="preserve"> </w:t>
      </w:r>
      <w:r w:rsidR="00C9105A">
        <w:t xml:space="preserve">program, </w:t>
      </w:r>
      <w:r>
        <w:t xml:space="preserve">property owners </w:t>
      </w:r>
      <w:r w:rsidR="00C9105A">
        <w:t>age</w:t>
      </w:r>
      <w:r>
        <w:t>d</w:t>
      </w:r>
      <w:r w:rsidR="00C9105A">
        <w:t xml:space="preserve"> 65 and over are eligible for a </w:t>
      </w:r>
      <w:r w:rsidR="00C9105A" w:rsidRPr="00846F64">
        <w:t>property tax exemption</w:t>
      </w:r>
      <w:r w:rsidR="00C9105A">
        <w:t xml:space="preserve"> if the combined income of all owners of the property and their spouses does not exceed $58,399 and </w:t>
      </w:r>
      <w:r>
        <w:t xml:space="preserve">if </w:t>
      </w:r>
      <w:r w:rsidR="00C9105A">
        <w:t xml:space="preserve">the applicant maintains the property as their primary </w:t>
      </w:r>
      <w:r w:rsidR="00C9105A" w:rsidRPr="00D32DEB">
        <w:t>residence.</w:t>
      </w:r>
      <w:r w:rsidR="00C9105A" w:rsidRPr="00D32DEB">
        <w:rPr>
          <w:rStyle w:val="FootnoteReference"/>
        </w:rPr>
        <w:footnoteReference w:id="34"/>
      </w:r>
      <w:r w:rsidR="00C9105A" w:rsidRPr="00D32DEB">
        <w:t xml:space="preserve"> Depending on an applicant’s household income, SCHE can reduce </w:t>
      </w:r>
      <w:r>
        <w:t xml:space="preserve">property </w:t>
      </w:r>
      <w:r w:rsidR="00C9105A" w:rsidRPr="00D32DEB">
        <w:t>taxes by 5 to 50</w:t>
      </w:r>
      <w:r w:rsidR="004A54ED">
        <w:t>%</w:t>
      </w:r>
      <w:r w:rsidR="00C9105A" w:rsidRPr="00D32DEB">
        <w:t>.</w:t>
      </w:r>
      <w:r w:rsidR="00C9105A" w:rsidRPr="00D32DEB">
        <w:rPr>
          <w:rStyle w:val="FootnoteReference"/>
        </w:rPr>
        <w:footnoteReference w:id="35"/>
      </w:r>
      <w:r w:rsidR="00C9105A" w:rsidRPr="00D32DEB">
        <w:t xml:space="preserve"> </w:t>
      </w:r>
    </w:p>
    <w:p w:rsidR="006F696E" w:rsidRDefault="006F696E" w:rsidP="006F696E">
      <w:pPr>
        <w:numPr>
          <w:ilvl w:val="0"/>
          <w:numId w:val="49"/>
        </w:numPr>
        <w:jc w:val="center"/>
        <w:rPr>
          <w:szCs w:val="24"/>
        </w:rPr>
      </w:pPr>
      <w:r>
        <w:rPr>
          <w:rFonts w:ascii="Times" w:hAnsi="Times"/>
          <w:b/>
          <w:smallCaps/>
          <w:szCs w:val="24"/>
          <w:u w:val="single"/>
        </w:rPr>
        <w:t>The Department of Housing Preservation and Development</w:t>
      </w:r>
    </w:p>
    <w:p w:rsidR="006F696E" w:rsidRDefault="006F696E" w:rsidP="006F696E">
      <w:pPr>
        <w:ind w:left="360"/>
      </w:pPr>
    </w:p>
    <w:p w:rsidR="006E4462" w:rsidRDefault="006F696E" w:rsidP="009B647F">
      <w:pPr>
        <w:spacing w:line="480" w:lineRule="auto"/>
        <w:ind w:firstLine="360"/>
      </w:pPr>
      <w:r>
        <w:t>HPD is the agency</w:t>
      </w:r>
      <w:r w:rsidR="000A5D82">
        <w:t xml:space="preserve"> </w:t>
      </w:r>
      <w:r>
        <w:t xml:space="preserve">in charge of the development and preservation of affordable housing for NYC’s senior population. </w:t>
      </w:r>
      <w:r w:rsidR="008D4CD9">
        <w:t>HPD supports the increase of senior affordable housing through a variety of programs and initiatives. First</w:t>
      </w:r>
      <w:r>
        <w:t>, HPD helps finance construction of affordable senior housing by offering various programs to incentivize the development of such housing. Through its Senior Affordable Rental Apartments (SARA) Program,</w:t>
      </w:r>
      <w:r w:rsidR="00C74239">
        <w:t xml:space="preserve"> for example,</w:t>
      </w:r>
      <w:r>
        <w:t xml:space="preserve"> HPD provides low </w:t>
      </w:r>
      <w:r>
        <w:lastRenderedPageBreak/>
        <w:t>interest loans to</w:t>
      </w:r>
      <w:r w:rsidR="00C74239">
        <w:t xml:space="preserve"> developers to</w:t>
      </w:r>
      <w:r>
        <w:t xml:space="preserve"> support the construction and renovation of afford</w:t>
      </w:r>
      <w:r w:rsidR="00C74239">
        <w:t>able housing for seniors age 62 and older</w:t>
      </w:r>
      <w:r>
        <w:t xml:space="preserve"> with low income.</w:t>
      </w:r>
      <w:r w:rsidR="00C74239" w:rsidRPr="00C74239">
        <w:rPr>
          <w:rStyle w:val="FootnoteReference"/>
        </w:rPr>
        <w:t xml:space="preserve"> </w:t>
      </w:r>
      <w:r w:rsidR="00C74239">
        <w:rPr>
          <w:rStyle w:val="FootnoteReference"/>
        </w:rPr>
        <w:footnoteReference w:id="36"/>
      </w:r>
      <w:r>
        <w:t xml:space="preserve"> </w:t>
      </w:r>
      <w:r w:rsidR="006E4462">
        <w:t>HPD also work</w:t>
      </w:r>
      <w:r w:rsidR="004A54ED">
        <w:t>s</w:t>
      </w:r>
      <w:r w:rsidR="006E4462">
        <w:t xml:space="preserve"> with NYCHA to identify NYCHA properties to create new senior housing.</w:t>
      </w:r>
      <w:r w:rsidR="006E4462">
        <w:rPr>
          <w:rStyle w:val="FootnoteReference"/>
        </w:rPr>
        <w:footnoteReference w:id="37"/>
      </w:r>
      <w:r w:rsidR="006E4462">
        <w:t xml:space="preserve"> </w:t>
      </w:r>
      <w:r>
        <w:t>Second, HPD supports the preservation of existing affordable housing for seniors. The City’s existing stock of affordable housing for seniors is financed by the City, New York State, or the United States Department of Housing and Urban Development (HUD).</w:t>
      </w:r>
      <w:r w:rsidR="008D4CD9">
        <w:rPr>
          <w:rStyle w:val="FootnoteReference"/>
        </w:rPr>
        <w:footnoteReference w:id="38"/>
      </w:r>
      <w:r>
        <w:t xml:space="preserve"> </w:t>
      </w:r>
    </w:p>
    <w:p w:rsidR="006F696E" w:rsidRPr="00D32DEB" w:rsidRDefault="006F696E" w:rsidP="000A5D82">
      <w:pPr>
        <w:spacing w:line="480" w:lineRule="auto"/>
        <w:ind w:firstLine="720"/>
        <w:rPr>
          <w:rFonts w:ascii="Times" w:hAnsi="Times"/>
          <w:szCs w:val="24"/>
        </w:rPr>
      </w:pPr>
      <w:r>
        <w:t>Finally, HPD’s “Aging in Place” initiative works with buildings already receiving</w:t>
      </w:r>
      <w:r w:rsidR="008D4CD9">
        <w:rPr>
          <w:rFonts w:ascii="Times" w:hAnsi="Times"/>
          <w:szCs w:val="24"/>
        </w:rPr>
        <w:t xml:space="preserve"> </w:t>
      </w:r>
      <w:r>
        <w:t xml:space="preserve">preservation financing </w:t>
      </w:r>
      <w:r w:rsidR="008D4CD9">
        <w:t xml:space="preserve">in order </w:t>
      </w:r>
      <w:r>
        <w:t>to make in-unit an</w:t>
      </w:r>
      <w:r w:rsidR="008D4CD9">
        <w:t>d building-wide modifications that help</w:t>
      </w:r>
      <w:r>
        <w:t xml:space="preserve"> homes </w:t>
      </w:r>
      <w:r w:rsidR="008D4CD9">
        <w:t xml:space="preserve">become </w:t>
      </w:r>
      <w:r>
        <w:t xml:space="preserve">more accessible to seniors </w:t>
      </w:r>
      <w:r w:rsidR="008D4CD9">
        <w:t>and</w:t>
      </w:r>
      <w:r>
        <w:t xml:space="preserve"> better assist those who opt to age in their homes.</w:t>
      </w:r>
      <w:r w:rsidR="008D4CD9" w:rsidRPr="008D4CD9">
        <w:rPr>
          <w:rStyle w:val="FootnoteReference"/>
        </w:rPr>
        <w:t xml:space="preserve"> </w:t>
      </w:r>
      <w:r w:rsidR="008D4CD9">
        <w:rPr>
          <w:rStyle w:val="FootnoteReference"/>
        </w:rPr>
        <w:footnoteReference w:id="39"/>
      </w:r>
      <w:r>
        <w:t xml:space="preserve"> This initiative is an assessment process for preservation projects to help identify in-unit and building-wide modifications necessary to make apartments more accessible to seniors and people with disabilities.</w:t>
      </w:r>
      <w:r w:rsidR="008D4CD9">
        <w:rPr>
          <w:rStyle w:val="FootnoteReference"/>
        </w:rPr>
        <w:footnoteReference w:id="40"/>
      </w:r>
      <w:r>
        <w:t xml:space="preserve"> These modifications are completed in conjunction with a building owner’s application for a rehabilitation project with a preservation loan.</w:t>
      </w:r>
      <w:r w:rsidR="008D4CD9">
        <w:rPr>
          <w:rStyle w:val="FootnoteReference"/>
        </w:rPr>
        <w:footnoteReference w:id="41"/>
      </w:r>
    </w:p>
    <w:p w:rsidR="006F696E" w:rsidRDefault="006F696E" w:rsidP="004A54ED">
      <w:pPr>
        <w:spacing w:line="480" w:lineRule="auto"/>
        <w:rPr>
          <w:rFonts w:ascii="Times" w:hAnsi="Times"/>
          <w:i/>
          <w:szCs w:val="24"/>
        </w:rPr>
      </w:pPr>
      <w:r>
        <w:rPr>
          <w:rFonts w:ascii="Times" w:hAnsi="Times"/>
          <w:i/>
          <w:szCs w:val="24"/>
        </w:rPr>
        <w:t>Federal: Section 202 Supportive Housing for the Elderly</w:t>
      </w:r>
    </w:p>
    <w:p w:rsidR="00AF64AF" w:rsidRDefault="006F696E" w:rsidP="004A54ED">
      <w:pPr>
        <w:pStyle w:val="NormalWeb"/>
        <w:spacing w:before="0" w:beforeAutospacing="0" w:after="0" w:afterAutospacing="0" w:line="480" w:lineRule="auto"/>
      </w:pPr>
      <w:r>
        <w:rPr>
          <w:b/>
          <w:bCs/>
        </w:rPr>
        <w:tab/>
      </w:r>
      <w:r>
        <w:rPr>
          <w:bCs/>
        </w:rPr>
        <w:t>HUD</w:t>
      </w:r>
      <w:r w:rsidR="009B647F">
        <w:rPr>
          <w:bCs/>
        </w:rPr>
        <w:t xml:space="preserve"> </w:t>
      </w:r>
      <w:r>
        <w:rPr>
          <w:bCs/>
        </w:rPr>
        <w:t>operates the Section 202 Supportive Housing for the Elderly program (Section 202) to provide housing with supportive services and rental assistance to low income seniors.</w:t>
      </w:r>
      <w:r>
        <w:rPr>
          <w:rStyle w:val="FootnoteReference"/>
          <w:bCs/>
        </w:rPr>
        <w:footnoteReference w:id="42"/>
      </w:r>
      <w:r>
        <w:rPr>
          <w:bCs/>
        </w:rPr>
        <w:t xml:space="preserve"> </w:t>
      </w:r>
      <w:r>
        <w:rPr>
          <w:bCs/>
        </w:rPr>
        <w:lastRenderedPageBreak/>
        <w:t xml:space="preserve">Section 202 provides two forms of assistance. First, Section 202 offers interest-free capital grants to private, non-profit organizations for the </w:t>
      </w:r>
      <w:r>
        <w:t>construction, rehabilitation or acquisition of properties for low-income seniors.</w:t>
      </w:r>
      <w:r>
        <w:rPr>
          <w:rStyle w:val="FootnoteReference"/>
        </w:rPr>
        <w:footnoteReference w:id="43"/>
      </w:r>
      <w:r>
        <w:t xml:space="preserve"> The capital grant is not required to be repaid if the project serves very low-income older adults for 40 years.</w:t>
      </w:r>
      <w:r>
        <w:rPr>
          <w:rStyle w:val="FootnoteReference"/>
        </w:rPr>
        <w:footnoteReference w:id="44"/>
      </w:r>
      <w:r>
        <w:t xml:space="preserve"> Section 202 also provides project rental assistance subsidies to fund the difference between operating costs and the portion of the resident’s rent.</w:t>
      </w:r>
      <w:r>
        <w:rPr>
          <w:rStyle w:val="FootnoteReference"/>
        </w:rPr>
        <w:footnoteReference w:id="45"/>
      </w:r>
      <w:r w:rsidR="008D4CD9">
        <w:t xml:space="preserve"> </w:t>
      </w:r>
      <w:r>
        <w:t>This assistance can be used to fund 15% of supportive services costs that is $15 or less per unit.</w:t>
      </w:r>
      <w:r>
        <w:rPr>
          <w:rStyle w:val="FootnoteReference"/>
        </w:rPr>
        <w:footnoteReference w:id="46"/>
      </w:r>
      <w:r>
        <w:t xml:space="preserve">  Residents pay based on their income</w:t>
      </w:r>
      <w:r w:rsidR="008D4CD9">
        <w:t>,</w:t>
      </w:r>
      <w:r>
        <w:t xml:space="preserve"> which is usually 30% of monthly income for rent and sometimes paying more for services.</w:t>
      </w:r>
      <w:r w:rsidRPr="004D5E16">
        <w:rPr>
          <w:rStyle w:val="FootnoteReference"/>
        </w:rPr>
        <w:t xml:space="preserve"> </w:t>
      </w:r>
      <w:r>
        <w:rPr>
          <w:rStyle w:val="FootnoteReference"/>
        </w:rPr>
        <w:footnoteReference w:id="47"/>
      </w:r>
      <w:r>
        <w:t xml:space="preserve"> </w:t>
      </w:r>
    </w:p>
    <w:p w:rsidR="006F696E" w:rsidRDefault="00AF64AF" w:rsidP="00D32DEB">
      <w:pPr>
        <w:pStyle w:val="NormalWeb"/>
        <w:spacing w:before="0" w:beforeAutospacing="0" w:after="0" w:afterAutospacing="0" w:line="480" w:lineRule="auto"/>
        <w:ind w:firstLine="720"/>
        <w:rPr>
          <w:bCs/>
        </w:rPr>
      </w:pPr>
      <w:r>
        <w:t>Although Congress had not authorized funding for new Section 202 construction projects in several years, in April 2019, HUD issued a $50 million Notice of Funding Availability (NOFA) to provide capital advance funding for development and operation of Section 202 housing.</w:t>
      </w:r>
      <w:r>
        <w:rPr>
          <w:rStyle w:val="FootnoteReference"/>
        </w:rPr>
        <w:footnoteReference w:id="48"/>
      </w:r>
      <w:r>
        <w:t xml:space="preserve"> </w:t>
      </w:r>
      <w:r w:rsidR="008D4CD9">
        <w:rPr>
          <w:bCs/>
        </w:rPr>
        <w:t>HUD intends to issue a second NOFA in 2020 for the remaining funds.</w:t>
      </w:r>
      <w:r>
        <w:rPr>
          <w:rStyle w:val="FootnoteReference"/>
          <w:bCs/>
        </w:rPr>
        <w:footnoteReference w:id="49"/>
      </w:r>
    </w:p>
    <w:p w:rsidR="006F696E" w:rsidRPr="006C0ECD" w:rsidRDefault="006F696E" w:rsidP="006F696E">
      <w:pPr>
        <w:pStyle w:val="NormalWeb"/>
        <w:spacing w:before="0" w:beforeAutospacing="0" w:after="0" w:afterAutospacing="0" w:line="480" w:lineRule="auto"/>
      </w:pPr>
      <w:r>
        <w:tab/>
      </w:r>
      <w:r w:rsidRPr="002651A0">
        <w:t>HPD estimates that there are over 170 Section 202 projects in NYC, comprising of more than 14,000 units.</w:t>
      </w:r>
      <w:r w:rsidR="008D4CD9">
        <w:rPr>
          <w:rStyle w:val="FootnoteReference"/>
        </w:rPr>
        <w:footnoteReference w:id="50"/>
      </w:r>
      <w:r w:rsidRPr="002651A0">
        <w:t xml:space="preserve"> </w:t>
      </w:r>
      <w:r w:rsidR="00AF64AF">
        <w:t xml:space="preserve">Since January 2014, </w:t>
      </w:r>
      <w:r w:rsidRPr="002651A0">
        <w:t>HPD has assisted 19 HUD Section 202 projects for a total of 1,957 homes under Housing New York.</w:t>
      </w:r>
      <w:r w:rsidR="00AF64AF">
        <w:rPr>
          <w:rStyle w:val="FootnoteReference"/>
        </w:rPr>
        <w:footnoteReference w:id="51"/>
      </w:r>
    </w:p>
    <w:p w:rsidR="006F696E" w:rsidRDefault="006F696E" w:rsidP="00D32DEB">
      <w:pPr>
        <w:spacing w:line="480" w:lineRule="auto"/>
        <w:rPr>
          <w:rFonts w:ascii="Times" w:hAnsi="Times"/>
          <w:i/>
          <w:szCs w:val="24"/>
        </w:rPr>
      </w:pPr>
      <w:r>
        <w:rPr>
          <w:rFonts w:ascii="Times" w:hAnsi="Times"/>
          <w:i/>
          <w:szCs w:val="24"/>
        </w:rPr>
        <w:t>Federal Rent Subsidies for Seniors</w:t>
      </w:r>
    </w:p>
    <w:p w:rsidR="006F696E" w:rsidRDefault="006F696E" w:rsidP="009B647F">
      <w:pPr>
        <w:spacing w:line="480" w:lineRule="auto"/>
        <w:ind w:firstLine="720"/>
        <w:rPr>
          <w:szCs w:val="24"/>
        </w:rPr>
      </w:pPr>
      <w:r>
        <w:rPr>
          <w:szCs w:val="24"/>
        </w:rPr>
        <w:t xml:space="preserve">As discussed above, HUD promotes affordable supportive housing for seniors through Section 202 by offering incentives to property owners and rent subsidies to seniors residing in </w:t>
      </w:r>
      <w:r>
        <w:rPr>
          <w:szCs w:val="24"/>
        </w:rPr>
        <w:lastRenderedPageBreak/>
        <w:t>Section 202 units.</w:t>
      </w:r>
      <w:r>
        <w:rPr>
          <w:rStyle w:val="FootnoteReference"/>
          <w:szCs w:val="24"/>
        </w:rPr>
        <w:footnoteReference w:id="52"/>
      </w:r>
      <w:r>
        <w:rPr>
          <w:szCs w:val="24"/>
        </w:rPr>
        <w:t xml:space="preserve"> HUD also offers a more expansive housing subsidy program, known as Section 8, which offers vouchers to low income, senior, and disabled tenants to help them afford the rent of a privately owned unit.</w:t>
      </w:r>
      <w:r>
        <w:rPr>
          <w:rStyle w:val="FootnoteReference"/>
          <w:szCs w:val="24"/>
        </w:rPr>
        <w:footnoteReference w:id="53"/>
      </w:r>
      <w:r>
        <w:rPr>
          <w:szCs w:val="24"/>
        </w:rPr>
        <w:t xml:space="preserve"> Similar to Section 202 subsidies, a Section 8 voucher generally ensures that a household spends no more than 30</w:t>
      </w:r>
      <w:r w:rsidR="004A54ED">
        <w:rPr>
          <w:szCs w:val="24"/>
        </w:rPr>
        <w:t>%</w:t>
      </w:r>
      <w:r>
        <w:rPr>
          <w:szCs w:val="24"/>
        </w:rPr>
        <w:t xml:space="preserve"> of income on rent.</w:t>
      </w:r>
      <w:r>
        <w:rPr>
          <w:rStyle w:val="FootnoteReference"/>
          <w:szCs w:val="24"/>
        </w:rPr>
        <w:footnoteReference w:id="54"/>
      </w:r>
      <w:r>
        <w:rPr>
          <w:szCs w:val="24"/>
        </w:rPr>
        <w:t xml:space="preserve"> Approximately 38</w:t>
      </w:r>
      <w:r w:rsidR="000A5D82">
        <w:rPr>
          <w:szCs w:val="24"/>
        </w:rPr>
        <w:t>%</w:t>
      </w:r>
      <w:r>
        <w:rPr>
          <w:szCs w:val="24"/>
        </w:rPr>
        <w:t xml:space="preserve"> of Section 8 heads of households are seniors.</w:t>
      </w:r>
      <w:r>
        <w:rPr>
          <w:rStyle w:val="FootnoteReference"/>
          <w:szCs w:val="24"/>
        </w:rPr>
        <w:footnoteReference w:id="55"/>
      </w:r>
      <w:r>
        <w:rPr>
          <w:szCs w:val="24"/>
        </w:rPr>
        <w:t xml:space="preserve"> Section 8 is administered locally by NYCHA, HPD and the State Division of Housing and Community Renewal (DHCR).</w:t>
      </w:r>
      <w:r>
        <w:rPr>
          <w:rStyle w:val="FootnoteReference"/>
          <w:szCs w:val="24"/>
        </w:rPr>
        <w:footnoteReference w:id="56"/>
      </w:r>
      <w:r>
        <w:rPr>
          <w:szCs w:val="24"/>
        </w:rPr>
        <w:t xml:space="preserve"> While the benefits of Section 8 voucher are substantial for low-income residents, the availability of such vouchers is extremely limited.</w:t>
      </w:r>
    </w:p>
    <w:p w:rsidR="006F696E" w:rsidRDefault="006F696E" w:rsidP="009B647F">
      <w:pPr>
        <w:spacing w:line="480" w:lineRule="auto"/>
        <w:ind w:firstLine="720"/>
        <w:rPr>
          <w:szCs w:val="24"/>
        </w:rPr>
      </w:pPr>
      <w:r w:rsidRPr="002651A0">
        <w:rPr>
          <w:szCs w:val="24"/>
        </w:rPr>
        <w:t xml:space="preserve">As of </w:t>
      </w:r>
      <w:r>
        <w:rPr>
          <w:szCs w:val="24"/>
        </w:rPr>
        <w:t>October 3, 2019, HPD administered</w:t>
      </w:r>
      <w:r w:rsidRPr="002651A0">
        <w:rPr>
          <w:szCs w:val="24"/>
        </w:rPr>
        <w:t xml:space="preserve"> 40,101 Section 8 vouchers.</w:t>
      </w:r>
      <w:r w:rsidR="006E4462">
        <w:rPr>
          <w:rStyle w:val="FootnoteReference"/>
          <w:szCs w:val="24"/>
        </w:rPr>
        <w:footnoteReference w:id="57"/>
      </w:r>
      <w:r w:rsidRPr="002651A0">
        <w:rPr>
          <w:szCs w:val="24"/>
        </w:rPr>
        <w:t xml:space="preserve"> About 4,031 vouchers </w:t>
      </w:r>
      <w:r>
        <w:rPr>
          <w:szCs w:val="24"/>
        </w:rPr>
        <w:t>were</w:t>
      </w:r>
      <w:r w:rsidRPr="002651A0">
        <w:rPr>
          <w:szCs w:val="24"/>
        </w:rPr>
        <w:t xml:space="preserve"> project-based vouchers, which HPD reserves for the development of senior affordable and extremely low income housing units.</w:t>
      </w:r>
      <w:r w:rsidR="006E4462">
        <w:rPr>
          <w:rStyle w:val="FootnoteReference"/>
          <w:szCs w:val="24"/>
        </w:rPr>
        <w:footnoteReference w:id="58"/>
      </w:r>
      <w:r w:rsidRPr="002651A0">
        <w:rPr>
          <w:szCs w:val="24"/>
        </w:rPr>
        <w:t xml:space="preserve"> Of the total 40,101 vouchers, about 15,392 are utilized by </w:t>
      </w:r>
      <w:r>
        <w:rPr>
          <w:szCs w:val="24"/>
        </w:rPr>
        <w:t>senior</w:t>
      </w:r>
      <w:r w:rsidRPr="002651A0">
        <w:rPr>
          <w:szCs w:val="24"/>
        </w:rPr>
        <w:t xml:space="preserve"> households, as defined by HUD.</w:t>
      </w:r>
      <w:r w:rsidR="006E4462">
        <w:rPr>
          <w:rStyle w:val="FootnoteReference"/>
          <w:szCs w:val="24"/>
        </w:rPr>
        <w:footnoteReference w:id="59"/>
      </w:r>
      <w:r w:rsidRPr="002651A0">
        <w:rPr>
          <w:szCs w:val="24"/>
        </w:rPr>
        <w:t xml:space="preserve"> </w:t>
      </w:r>
      <w:r>
        <w:rPr>
          <w:szCs w:val="24"/>
        </w:rPr>
        <w:t>T</w:t>
      </w:r>
      <w:r w:rsidRPr="002651A0">
        <w:rPr>
          <w:szCs w:val="24"/>
        </w:rPr>
        <w:t xml:space="preserve">otal funding for HPD’s Section 8 program </w:t>
      </w:r>
      <w:r>
        <w:rPr>
          <w:szCs w:val="24"/>
        </w:rPr>
        <w:t>for FY 2020 is</w:t>
      </w:r>
      <w:r w:rsidRPr="002651A0">
        <w:rPr>
          <w:szCs w:val="24"/>
        </w:rPr>
        <w:t xml:space="preserve"> about $455.3 million, including $22.9 million in Administrative fees.</w:t>
      </w:r>
      <w:r w:rsidR="006E4462">
        <w:rPr>
          <w:rStyle w:val="FootnoteReference"/>
          <w:szCs w:val="24"/>
        </w:rPr>
        <w:footnoteReference w:id="60"/>
      </w:r>
      <w:r w:rsidRPr="002651A0">
        <w:rPr>
          <w:szCs w:val="24"/>
        </w:rPr>
        <w:t xml:space="preserve">  </w:t>
      </w:r>
    </w:p>
    <w:p w:rsidR="009B647F" w:rsidRDefault="009B647F" w:rsidP="00D32DEB">
      <w:pPr>
        <w:spacing w:after="200" w:line="480" w:lineRule="auto"/>
        <w:rPr>
          <w:i/>
          <w:szCs w:val="24"/>
        </w:rPr>
      </w:pPr>
    </w:p>
    <w:p w:rsidR="009B647F" w:rsidRDefault="009B647F" w:rsidP="00D32DEB">
      <w:pPr>
        <w:spacing w:after="200" w:line="480" w:lineRule="auto"/>
        <w:rPr>
          <w:i/>
          <w:szCs w:val="24"/>
        </w:rPr>
      </w:pPr>
    </w:p>
    <w:p w:rsidR="009B647F" w:rsidRDefault="009B647F" w:rsidP="00D32DEB">
      <w:pPr>
        <w:spacing w:after="200" w:line="480" w:lineRule="auto"/>
        <w:rPr>
          <w:i/>
          <w:szCs w:val="24"/>
        </w:rPr>
      </w:pPr>
    </w:p>
    <w:p w:rsidR="006F696E" w:rsidRPr="00BB4103" w:rsidRDefault="006F696E" w:rsidP="00D32DEB">
      <w:pPr>
        <w:spacing w:after="200" w:line="480" w:lineRule="auto"/>
        <w:rPr>
          <w:i/>
          <w:szCs w:val="24"/>
        </w:rPr>
      </w:pPr>
      <w:r>
        <w:rPr>
          <w:i/>
          <w:szCs w:val="24"/>
        </w:rPr>
        <w:lastRenderedPageBreak/>
        <w:t>The Senior Affordable Rental Apartments (SARA) Program</w:t>
      </w:r>
    </w:p>
    <w:p w:rsidR="006E4462" w:rsidRDefault="006F696E" w:rsidP="000A5D82">
      <w:pPr>
        <w:spacing w:line="480" w:lineRule="auto"/>
        <w:ind w:firstLine="720"/>
      </w:pPr>
      <w:r w:rsidRPr="00C9105A">
        <w:t>In 2014, HPD launched the SARA program, which funds the construction of new affordable housing for low-income seniors.</w:t>
      </w:r>
      <w:r w:rsidRPr="00C9105A">
        <w:rPr>
          <w:vertAlign w:val="superscript"/>
        </w:rPr>
        <w:footnoteReference w:id="61"/>
      </w:r>
      <w:r w:rsidRPr="00C9105A">
        <w:t xml:space="preserve"> </w:t>
      </w:r>
      <w:r w:rsidR="006E4462" w:rsidRPr="00C9105A">
        <w:t>The SARA program provides gap financing in the form of low interest loans to support the construction and renovation of affordable housing for low-income seniors aged 62 years and older.</w:t>
      </w:r>
      <w:r w:rsidR="006E4462" w:rsidRPr="00C9105A">
        <w:rPr>
          <w:vertAlign w:val="superscript"/>
        </w:rPr>
        <w:footnoteReference w:id="62"/>
      </w:r>
      <w:r w:rsidR="006E4462" w:rsidRPr="00C9105A">
        <w:t xml:space="preserve"> </w:t>
      </w:r>
      <w:r w:rsidR="006E4462">
        <w:t>SARA loans may be up to $75,000 per unit and projects developed with SARA funding must also set aside 30% of units for homeless seniors referred by a City or State agency.</w:t>
      </w:r>
      <w:r w:rsidR="006E4462">
        <w:rPr>
          <w:rStyle w:val="FootnoteReference"/>
        </w:rPr>
        <w:footnoteReference w:id="63"/>
      </w:r>
      <w:r w:rsidR="006E4462">
        <w:t xml:space="preserve"> </w:t>
      </w:r>
      <w:r w:rsidR="006E4462" w:rsidRPr="00C9105A">
        <w:t>The remaining units are marketed through the housing connect lottery.</w:t>
      </w:r>
      <w:r w:rsidR="006E4462">
        <w:rPr>
          <w:rStyle w:val="FootnoteReference"/>
        </w:rPr>
        <w:footnoteReference w:id="64"/>
      </w:r>
    </w:p>
    <w:p w:rsidR="006E4462" w:rsidRDefault="006E4462" w:rsidP="000A5D82">
      <w:pPr>
        <w:spacing w:line="480" w:lineRule="auto"/>
        <w:ind w:firstLine="720"/>
      </w:pPr>
      <w:r w:rsidRPr="00A911A2">
        <w:rPr>
          <w:rFonts w:ascii="Times" w:hAnsi="Times"/>
          <w:szCs w:val="24"/>
        </w:rPr>
        <w:t xml:space="preserve">From January 2014 through March 2019, HPD has financed the construction of 7,677 senior affordable housing units, including the construction of 3,526 units and the preservation of 4,151 units as part of commitments under </w:t>
      </w:r>
      <w:r w:rsidRPr="00BB4103">
        <w:rPr>
          <w:rFonts w:ascii="Times" w:hAnsi="Times"/>
          <w:i/>
          <w:szCs w:val="24"/>
        </w:rPr>
        <w:t>Housing New York</w:t>
      </w:r>
      <w:r w:rsidRPr="00A911A2">
        <w:rPr>
          <w:rFonts w:ascii="Times" w:hAnsi="Times"/>
          <w:szCs w:val="24"/>
        </w:rPr>
        <w:t>.</w:t>
      </w:r>
      <w:r w:rsidRPr="00A911A2">
        <w:rPr>
          <w:rFonts w:ascii="Times" w:hAnsi="Times"/>
          <w:szCs w:val="24"/>
          <w:vertAlign w:val="superscript"/>
        </w:rPr>
        <w:footnoteReference w:id="65"/>
      </w:r>
      <w:r w:rsidRPr="00A911A2">
        <w:rPr>
          <w:rFonts w:ascii="Times" w:hAnsi="Times"/>
          <w:szCs w:val="24"/>
        </w:rPr>
        <w:t xml:space="preserve"> </w:t>
      </w:r>
      <w:r>
        <w:rPr>
          <w:rFonts w:ascii="Times" w:hAnsi="Times"/>
          <w:szCs w:val="24"/>
        </w:rPr>
        <w:t xml:space="preserve">Over the </w:t>
      </w:r>
      <w:r w:rsidR="006A00CE">
        <w:rPr>
          <w:rFonts w:ascii="Times" w:hAnsi="Times"/>
          <w:szCs w:val="24"/>
        </w:rPr>
        <w:t>FY</w:t>
      </w:r>
      <w:r>
        <w:rPr>
          <w:rFonts w:ascii="Times" w:hAnsi="Times"/>
          <w:szCs w:val="24"/>
        </w:rPr>
        <w:t xml:space="preserve"> 2020-2023 period, HPD’s Capital Commitment Plan allocates $508.3 million to finance senior affordable housing units through the SARA program and the HUD 202 program.</w:t>
      </w:r>
      <w:r>
        <w:rPr>
          <w:rStyle w:val="FootnoteReference"/>
          <w:rFonts w:ascii="Times" w:hAnsi="Times"/>
          <w:szCs w:val="24"/>
        </w:rPr>
        <w:footnoteReference w:id="66"/>
      </w:r>
      <w:r>
        <w:rPr>
          <w:rFonts w:ascii="Times" w:hAnsi="Times"/>
          <w:szCs w:val="24"/>
        </w:rPr>
        <w:t xml:space="preserve"> These funds will produce 1,000 units of senior affordable housing units financed annually over that time period.</w:t>
      </w:r>
      <w:r>
        <w:rPr>
          <w:rStyle w:val="FootnoteReference"/>
          <w:rFonts w:ascii="Times" w:hAnsi="Times"/>
          <w:szCs w:val="24"/>
        </w:rPr>
        <w:footnoteReference w:id="67"/>
      </w:r>
    </w:p>
    <w:p w:rsidR="008D14BF" w:rsidRPr="00D32DEB" w:rsidRDefault="008D14BF" w:rsidP="00D32DEB">
      <w:pPr>
        <w:numPr>
          <w:ilvl w:val="0"/>
          <w:numId w:val="49"/>
        </w:numPr>
        <w:jc w:val="center"/>
        <w:rPr>
          <w:rFonts w:ascii="Times" w:hAnsi="Times"/>
          <w:b/>
          <w:smallCaps/>
          <w:szCs w:val="24"/>
          <w:u w:val="single"/>
        </w:rPr>
      </w:pPr>
      <w:r w:rsidRPr="00D32DEB">
        <w:rPr>
          <w:rFonts w:ascii="Times" w:hAnsi="Times"/>
          <w:b/>
          <w:smallCaps/>
          <w:szCs w:val="24"/>
          <w:u w:val="single"/>
        </w:rPr>
        <w:t>The Department for the Aging</w:t>
      </w:r>
    </w:p>
    <w:p w:rsidR="006F696E" w:rsidRDefault="006F696E" w:rsidP="00D32DEB">
      <w:pPr>
        <w:spacing w:line="480" w:lineRule="auto"/>
        <w:rPr>
          <w:szCs w:val="24"/>
        </w:rPr>
      </w:pPr>
    </w:p>
    <w:p w:rsidR="00143E5A" w:rsidRDefault="00143E5A" w:rsidP="00D32DEB">
      <w:pPr>
        <w:spacing w:line="480" w:lineRule="auto"/>
        <w:rPr>
          <w:szCs w:val="24"/>
        </w:rPr>
      </w:pPr>
      <w:r w:rsidRPr="00D32DEB">
        <w:rPr>
          <w:szCs w:val="24"/>
        </w:rPr>
        <w:tab/>
      </w:r>
      <w:r w:rsidR="006A00CE">
        <w:rPr>
          <w:szCs w:val="24"/>
        </w:rPr>
        <w:t xml:space="preserve">While </w:t>
      </w:r>
      <w:r w:rsidR="004A54ED">
        <w:rPr>
          <w:szCs w:val="24"/>
        </w:rPr>
        <w:t>DFTA</w:t>
      </w:r>
      <w:r w:rsidR="006A00CE">
        <w:rPr>
          <w:szCs w:val="24"/>
        </w:rPr>
        <w:t xml:space="preserve"> is not involved with the construction of senior affordable housing, </w:t>
      </w:r>
      <w:r w:rsidR="004A54ED">
        <w:rPr>
          <w:szCs w:val="24"/>
        </w:rPr>
        <w:t xml:space="preserve">the agency </w:t>
      </w:r>
      <w:r w:rsidR="006A00CE">
        <w:rPr>
          <w:szCs w:val="24"/>
        </w:rPr>
        <w:t xml:space="preserve">does offer certain programs to help seniors afford their housing needs. For example, the agency </w:t>
      </w:r>
      <w:r w:rsidRPr="00D32DEB">
        <w:rPr>
          <w:szCs w:val="24"/>
        </w:rPr>
        <w:t>partner</w:t>
      </w:r>
      <w:r w:rsidR="006A00CE">
        <w:rPr>
          <w:szCs w:val="24"/>
        </w:rPr>
        <w:t>s</w:t>
      </w:r>
      <w:r w:rsidRPr="00D32DEB">
        <w:rPr>
          <w:szCs w:val="24"/>
        </w:rPr>
        <w:t xml:space="preserve"> with the New York Foundation for Senior Citizens (NYFSC) to operate a Home </w:t>
      </w:r>
      <w:r w:rsidRPr="00D32DEB">
        <w:rPr>
          <w:szCs w:val="24"/>
        </w:rPr>
        <w:lastRenderedPageBreak/>
        <w:t>Sharing Program for older adults.</w:t>
      </w:r>
      <w:r w:rsidRPr="00D32DEB">
        <w:rPr>
          <w:rStyle w:val="FootnoteReference"/>
          <w:szCs w:val="24"/>
        </w:rPr>
        <w:footnoteReference w:id="68"/>
      </w:r>
      <w:r w:rsidRPr="00D32DEB">
        <w:rPr>
          <w:szCs w:val="24"/>
        </w:rPr>
        <w:t xml:space="preserve"> Th</w:t>
      </w:r>
      <w:r w:rsidR="006A00CE">
        <w:rPr>
          <w:szCs w:val="24"/>
        </w:rPr>
        <w:t>e</w:t>
      </w:r>
      <w:r w:rsidRPr="00D32DEB">
        <w:rPr>
          <w:szCs w:val="24"/>
        </w:rPr>
        <w:t xml:space="preserve"> Home Sharing Program pairs individuals aged 60 or older with other older adults, younger adults, or developmentally disabled individuals into homes owned by a non-profit organization or an individual.</w:t>
      </w:r>
      <w:r w:rsidRPr="00D32DEB">
        <w:rPr>
          <w:rStyle w:val="FootnoteReference"/>
          <w:szCs w:val="24"/>
        </w:rPr>
        <w:footnoteReference w:id="69"/>
      </w:r>
      <w:r w:rsidRPr="00D32DEB">
        <w:rPr>
          <w:szCs w:val="24"/>
        </w:rPr>
        <w:t xml:space="preserve"> NYFSC facilitates this match</w:t>
      </w:r>
      <w:r>
        <w:rPr>
          <w:szCs w:val="24"/>
        </w:rPr>
        <w:t xml:space="preserve"> through a QUICK-MATCH system and staff of licensed social workers to determine the most compatible housemates by analyzing 21 lifestyle objectives.</w:t>
      </w:r>
      <w:r>
        <w:rPr>
          <w:rStyle w:val="FootnoteReference"/>
          <w:szCs w:val="24"/>
        </w:rPr>
        <w:footnoteReference w:id="70"/>
      </w:r>
      <w:r>
        <w:rPr>
          <w:szCs w:val="24"/>
        </w:rPr>
        <w:t xml:space="preserve"> The home sharing space usually consists of private bedrooms and some common areas and housemates often operate as a household by sharing chores and expenses.</w:t>
      </w:r>
      <w:r>
        <w:rPr>
          <w:rStyle w:val="FootnoteReference"/>
          <w:szCs w:val="24"/>
        </w:rPr>
        <w:footnoteReference w:id="71"/>
      </w:r>
      <w:r>
        <w:rPr>
          <w:szCs w:val="24"/>
        </w:rPr>
        <w:t xml:space="preserve"> Home sharing allows older adults to split rent, combats social isolation, and promotes intergenerational engagement between roommates.</w:t>
      </w:r>
      <w:r>
        <w:rPr>
          <w:rStyle w:val="FootnoteReference"/>
          <w:szCs w:val="24"/>
        </w:rPr>
        <w:footnoteReference w:id="72"/>
      </w:r>
      <w:r>
        <w:rPr>
          <w:szCs w:val="24"/>
        </w:rPr>
        <w:t xml:space="preserve"> </w:t>
      </w:r>
    </w:p>
    <w:p w:rsidR="00143E5A" w:rsidRDefault="00143E5A" w:rsidP="00D32DEB">
      <w:pPr>
        <w:spacing w:line="480" w:lineRule="auto"/>
        <w:rPr>
          <w:szCs w:val="24"/>
        </w:rPr>
      </w:pPr>
      <w:r>
        <w:rPr>
          <w:szCs w:val="24"/>
        </w:rPr>
        <w:tab/>
      </w:r>
      <w:r w:rsidRPr="000E2C2D">
        <w:rPr>
          <w:szCs w:val="24"/>
        </w:rPr>
        <w:t xml:space="preserve">The </w:t>
      </w:r>
      <w:r w:rsidR="000D554B">
        <w:rPr>
          <w:szCs w:val="24"/>
        </w:rPr>
        <w:t>FY</w:t>
      </w:r>
      <w:r w:rsidR="000D554B" w:rsidRPr="000E2C2D">
        <w:rPr>
          <w:szCs w:val="24"/>
        </w:rPr>
        <w:t xml:space="preserve"> </w:t>
      </w:r>
      <w:r w:rsidRPr="000E2C2D">
        <w:rPr>
          <w:szCs w:val="24"/>
        </w:rPr>
        <w:t xml:space="preserve">2019 Preliminary Budget added $1.4 million for the Senior Home Sharing Program in </w:t>
      </w:r>
      <w:r w:rsidR="000D554B">
        <w:rPr>
          <w:szCs w:val="24"/>
        </w:rPr>
        <w:t>FY</w:t>
      </w:r>
      <w:r w:rsidR="000D554B" w:rsidRPr="000E2C2D">
        <w:rPr>
          <w:szCs w:val="24"/>
        </w:rPr>
        <w:t xml:space="preserve"> </w:t>
      </w:r>
      <w:r w:rsidRPr="000E2C2D">
        <w:rPr>
          <w:szCs w:val="24"/>
        </w:rPr>
        <w:t xml:space="preserve">2019 and $1.1 million in </w:t>
      </w:r>
      <w:r w:rsidR="000D554B">
        <w:rPr>
          <w:szCs w:val="24"/>
        </w:rPr>
        <w:t>FY</w:t>
      </w:r>
      <w:r w:rsidR="000D554B" w:rsidRPr="000E2C2D">
        <w:rPr>
          <w:szCs w:val="24"/>
        </w:rPr>
        <w:t xml:space="preserve"> </w:t>
      </w:r>
      <w:r w:rsidRPr="000E2C2D">
        <w:rPr>
          <w:szCs w:val="24"/>
        </w:rPr>
        <w:t>2020 and in the out</w:t>
      </w:r>
      <w:r>
        <w:rPr>
          <w:szCs w:val="24"/>
        </w:rPr>
        <w:t xml:space="preserve"> years.</w:t>
      </w:r>
      <w:r>
        <w:rPr>
          <w:rStyle w:val="FootnoteReference"/>
          <w:szCs w:val="24"/>
        </w:rPr>
        <w:footnoteReference w:id="73"/>
      </w:r>
      <w:r w:rsidRPr="000E2C2D">
        <w:rPr>
          <w:szCs w:val="24"/>
        </w:rPr>
        <w:t xml:space="preserve"> In </w:t>
      </w:r>
      <w:r w:rsidR="000D554B">
        <w:rPr>
          <w:szCs w:val="24"/>
        </w:rPr>
        <w:t>FY</w:t>
      </w:r>
      <w:r w:rsidR="000D554B" w:rsidRPr="000E2C2D">
        <w:rPr>
          <w:szCs w:val="24"/>
        </w:rPr>
        <w:t xml:space="preserve"> </w:t>
      </w:r>
      <w:r w:rsidRPr="000E2C2D">
        <w:rPr>
          <w:szCs w:val="24"/>
        </w:rPr>
        <w:t xml:space="preserve">2018, the Council funded </w:t>
      </w:r>
      <w:r>
        <w:rPr>
          <w:szCs w:val="24"/>
        </w:rPr>
        <w:t>NYFSC</w:t>
      </w:r>
      <w:r w:rsidRPr="000E2C2D">
        <w:rPr>
          <w:szCs w:val="24"/>
        </w:rPr>
        <w:t xml:space="preserve"> home sharing and respite care program at approximately $100,000. In Fiscal 2020, </w:t>
      </w:r>
      <w:r w:rsidR="006E10FB">
        <w:rPr>
          <w:szCs w:val="24"/>
        </w:rPr>
        <w:t xml:space="preserve">the </w:t>
      </w:r>
      <w:r w:rsidRPr="000E2C2D">
        <w:rPr>
          <w:szCs w:val="24"/>
        </w:rPr>
        <w:t xml:space="preserve">Council support </w:t>
      </w:r>
      <w:r>
        <w:rPr>
          <w:szCs w:val="24"/>
        </w:rPr>
        <w:t>increased</w:t>
      </w:r>
      <w:r w:rsidRPr="000E2C2D">
        <w:rPr>
          <w:szCs w:val="24"/>
        </w:rPr>
        <w:t xml:space="preserve"> to $130,000.</w:t>
      </w:r>
      <w:r>
        <w:rPr>
          <w:rStyle w:val="FootnoteReference"/>
          <w:szCs w:val="24"/>
        </w:rPr>
        <w:footnoteReference w:id="74"/>
      </w:r>
    </w:p>
    <w:p w:rsidR="00143E5A" w:rsidRPr="00480216" w:rsidRDefault="00143E5A" w:rsidP="00D32DEB">
      <w:pPr>
        <w:spacing w:line="480" w:lineRule="auto"/>
        <w:rPr>
          <w:szCs w:val="24"/>
        </w:rPr>
      </w:pPr>
      <w:r w:rsidRPr="00480216">
        <w:rPr>
          <w:szCs w:val="24"/>
        </w:rPr>
        <w:tab/>
        <w:t xml:space="preserve">DFTA also </w:t>
      </w:r>
      <w:r>
        <w:rPr>
          <w:szCs w:val="24"/>
        </w:rPr>
        <w:t>partners with legal providers across</w:t>
      </w:r>
      <w:r w:rsidRPr="00480216">
        <w:rPr>
          <w:szCs w:val="24"/>
        </w:rPr>
        <w:t xml:space="preserve"> the five boroughs to </w:t>
      </w:r>
      <w:r>
        <w:rPr>
          <w:szCs w:val="24"/>
        </w:rPr>
        <w:t>offer</w:t>
      </w:r>
      <w:r w:rsidRPr="00480216">
        <w:rPr>
          <w:szCs w:val="24"/>
        </w:rPr>
        <w:t xml:space="preserve"> older adults free legal services, including </w:t>
      </w:r>
      <w:r>
        <w:rPr>
          <w:szCs w:val="24"/>
        </w:rPr>
        <w:t xml:space="preserve">services related to </w:t>
      </w:r>
      <w:r w:rsidRPr="00480216">
        <w:rPr>
          <w:szCs w:val="24"/>
        </w:rPr>
        <w:t>landlord-tenant issues.</w:t>
      </w:r>
      <w:r w:rsidRPr="00480216">
        <w:rPr>
          <w:rStyle w:val="FootnoteReference"/>
          <w:szCs w:val="24"/>
        </w:rPr>
        <w:footnoteReference w:id="75"/>
      </w:r>
      <w:r w:rsidRPr="00480216">
        <w:rPr>
          <w:szCs w:val="24"/>
        </w:rPr>
        <w:t xml:space="preserve"> Additionally, in partnership with the Civil Court of the City of New York, DFTA operates the Assigned Counsel </w:t>
      </w:r>
      <w:r w:rsidRPr="00480216">
        <w:rPr>
          <w:szCs w:val="24"/>
        </w:rPr>
        <w:lastRenderedPageBreak/>
        <w:t xml:space="preserve">Project (ACP) for individuals aged 60 and </w:t>
      </w:r>
      <w:r>
        <w:rPr>
          <w:szCs w:val="24"/>
        </w:rPr>
        <w:t>older</w:t>
      </w:r>
      <w:r w:rsidRPr="00480216">
        <w:rPr>
          <w:szCs w:val="24"/>
        </w:rPr>
        <w:t>.</w:t>
      </w:r>
      <w:r w:rsidRPr="00480216">
        <w:rPr>
          <w:rStyle w:val="FootnoteReference"/>
          <w:szCs w:val="24"/>
        </w:rPr>
        <w:footnoteReference w:id="76"/>
      </w:r>
      <w:r w:rsidRPr="00480216">
        <w:rPr>
          <w:szCs w:val="24"/>
        </w:rPr>
        <w:t xml:space="preserve">  ACP provides eligible older adults with a social worker and lawyer who assist them with their Housing Court cases. ACP offers </w:t>
      </w:r>
      <w:r>
        <w:rPr>
          <w:szCs w:val="24"/>
        </w:rPr>
        <w:t xml:space="preserve">older adults </w:t>
      </w:r>
      <w:r w:rsidRPr="00480216">
        <w:rPr>
          <w:szCs w:val="24"/>
        </w:rPr>
        <w:t>the following services for free:</w:t>
      </w:r>
    </w:p>
    <w:p w:rsidR="00143E5A" w:rsidRPr="00480216" w:rsidRDefault="000D554B" w:rsidP="00CF55FD">
      <w:pPr>
        <w:numPr>
          <w:ilvl w:val="0"/>
          <w:numId w:val="50"/>
        </w:numPr>
        <w:jc w:val="left"/>
        <w:rPr>
          <w:color w:val="262626"/>
          <w:szCs w:val="24"/>
        </w:rPr>
      </w:pPr>
      <w:r>
        <w:rPr>
          <w:color w:val="262626"/>
          <w:szCs w:val="24"/>
        </w:rPr>
        <w:t>L</w:t>
      </w:r>
      <w:r w:rsidR="00143E5A" w:rsidRPr="00480216">
        <w:rPr>
          <w:color w:val="262626"/>
          <w:szCs w:val="24"/>
        </w:rPr>
        <w:t>egal representation</w:t>
      </w:r>
      <w:r>
        <w:rPr>
          <w:color w:val="262626"/>
          <w:szCs w:val="24"/>
        </w:rPr>
        <w:t>.</w:t>
      </w:r>
    </w:p>
    <w:p w:rsidR="00143E5A" w:rsidRPr="00480216" w:rsidRDefault="000D554B" w:rsidP="00CF55FD">
      <w:pPr>
        <w:numPr>
          <w:ilvl w:val="0"/>
          <w:numId w:val="50"/>
        </w:numPr>
        <w:jc w:val="left"/>
        <w:rPr>
          <w:color w:val="262626"/>
          <w:szCs w:val="24"/>
        </w:rPr>
      </w:pPr>
      <w:r>
        <w:rPr>
          <w:color w:val="262626"/>
          <w:szCs w:val="24"/>
        </w:rPr>
        <w:t>S</w:t>
      </w:r>
      <w:r w:rsidR="00143E5A" w:rsidRPr="00480216">
        <w:rPr>
          <w:color w:val="262626"/>
          <w:szCs w:val="24"/>
        </w:rPr>
        <w:t xml:space="preserve">ocial work advocacy and assistance with securing: </w:t>
      </w:r>
    </w:p>
    <w:p w:rsidR="00143E5A" w:rsidRPr="00480216" w:rsidRDefault="000D554B" w:rsidP="00CF55FD">
      <w:pPr>
        <w:numPr>
          <w:ilvl w:val="1"/>
          <w:numId w:val="50"/>
        </w:numPr>
        <w:jc w:val="left"/>
        <w:rPr>
          <w:color w:val="262626"/>
          <w:szCs w:val="24"/>
        </w:rPr>
      </w:pPr>
      <w:r>
        <w:rPr>
          <w:color w:val="262626"/>
          <w:szCs w:val="24"/>
        </w:rPr>
        <w:t>F</w:t>
      </w:r>
      <w:r w:rsidR="00143E5A" w:rsidRPr="00480216">
        <w:rPr>
          <w:color w:val="262626"/>
          <w:szCs w:val="24"/>
        </w:rPr>
        <w:t>inancial grants to cover arrears, and</w:t>
      </w:r>
    </w:p>
    <w:p w:rsidR="00143E5A" w:rsidRPr="00480216" w:rsidRDefault="000D554B" w:rsidP="00CF55FD">
      <w:pPr>
        <w:numPr>
          <w:ilvl w:val="1"/>
          <w:numId w:val="50"/>
        </w:numPr>
        <w:jc w:val="left"/>
        <w:rPr>
          <w:color w:val="262626"/>
          <w:szCs w:val="24"/>
        </w:rPr>
      </w:pPr>
      <w:r>
        <w:rPr>
          <w:color w:val="262626"/>
          <w:szCs w:val="24"/>
        </w:rPr>
        <w:t>E</w:t>
      </w:r>
      <w:r w:rsidR="00143E5A" w:rsidRPr="00480216">
        <w:rPr>
          <w:color w:val="262626"/>
          <w:szCs w:val="24"/>
        </w:rPr>
        <w:t>ntitlements such as SCRIE, Medicare/Medicaid, home care, Access-a-Ride, Meals on Wheels, etc.</w:t>
      </w:r>
      <w:r w:rsidR="00143E5A" w:rsidRPr="00480216">
        <w:rPr>
          <w:rStyle w:val="FootnoteReference"/>
          <w:color w:val="262626"/>
          <w:szCs w:val="24"/>
        </w:rPr>
        <w:footnoteReference w:id="77"/>
      </w:r>
    </w:p>
    <w:p w:rsidR="00143E5A" w:rsidRPr="00D32DEB" w:rsidRDefault="00143E5A" w:rsidP="00D32DEB">
      <w:pPr>
        <w:ind w:left="1080"/>
        <w:jc w:val="center"/>
        <w:rPr>
          <w:rFonts w:ascii="Times" w:hAnsi="Times"/>
          <w:b/>
          <w:smallCaps/>
          <w:szCs w:val="24"/>
          <w:highlight w:val="yellow"/>
          <w:u w:val="single"/>
        </w:rPr>
      </w:pPr>
    </w:p>
    <w:p w:rsidR="00EA7FA1" w:rsidRPr="000F3DAF" w:rsidRDefault="00EA7FA1" w:rsidP="00D32DEB">
      <w:pPr>
        <w:ind w:left="1080"/>
        <w:jc w:val="center"/>
        <w:rPr>
          <w:rFonts w:ascii="Times" w:hAnsi="Times"/>
          <w:b/>
          <w:smallCaps/>
          <w:szCs w:val="24"/>
          <w:u w:val="single"/>
        </w:rPr>
      </w:pPr>
    </w:p>
    <w:p w:rsidR="00A5296B" w:rsidRPr="000F3DAF" w:rsidRDefault="00A5296B" w:rsidP="00D32DEB">
      <w:pPr>
        <w:numPr>
          <w:ilvl w:val="0"/>
          <w:numId w:val="49"/>
        </w:numPr>
        <w:jc w:val="center"/>
        <w:rPr>
          <w:rFonts w:ascii="Times" w:hAnsi="Times"/>
          <w:b/>
          <w:smallCaps/>
          <w:szCs w:val="24"/>
          <w:u w:val="single"/>
        </w:rPr>
      </w:pPr>
      <w:r>
        <w:rPr>
          <w:rFonts w:ascii="Times" w:hAnsi="Times"/>
          <w:b/>
          <w:smallCaps/>
          <w:szCs w:val="24"/>
          <w:u w:val="single"/>
        </w:rPr>
        <w:t>Conclusion</w:t>
      </w:r>
    </w:p>
    <w:p w:rsidR="006428BD" w:rsidRDefault="004D5204" w:rsidP="006428BD">
      <w:pPr>
        <w:ind w:firstLine="720"/>
        <w:rPr>
          <w:szCs w:val="24"/>
        </w:rPr>
      </w:pPr>
      <w:r>
        <w:rPr>
          <w:szCs w:val="24"/>
        </w:rPr>
        <w:t xml:space="preserve"> </w:t>
      </w:r>
    </w:p>
    <w:p w:rsidR="00EA7FA1" w:rsidRDefault="00CC6E62" w:rsidP="00CC6E62">
      <w:pPr>
        <w:spacing w:line="480" w:lineRule="auto"/>
        <w:ind w:firstLine="720"/>
        <w:rPr>
          <w:szCs w:val="24"/>
        </w:rPr>
      </w:pPr>
      <w:r w:rsidRPr="00534B66">
        <w:rPr>
          <w:szCs w:val="24"/>
        </w:rPr>
        <w:t xml:space="preserve">By all metrics, the senior population </w:t>
      </w:r>
      <w:r w:rsidR="005E7547">
        <w:rPr>
          <w:szCs w:val="24"/>
        </w:rPr>
        <w:t xml:space="preserve">of New York City </w:t>
      </w:r>
      <w:r w:rsidRPr="00534B66">
        <w:rPr>
          <w:szCs w:val="24"/>
        </w:rPr>
        <w:t xml:space="preserve">is </w:t>
      </w:r>
      <w:r>
        <w:rPr>
          <w:szCs w:val="24"/>
        </w:rPr>
        <w:t>booming</w:t>
      </w:r>
      <w:r w:rsidR="00EA7FA1">
        <w:rPr>
          <w:szCs w:val="24"/>
        </w:rPr>
        <w:t xml:space="preserve">. </w:t>
      </w:r>
      <w:r w:rsidR="00215FC7">
        <w:rPr>
          <w:szCs w:val="24"/>
        </w:rPr>
        <w:t xml:space="preserve">As the City’s senior population grows, </w:t>
      </w:r>
      <w:r w:rsidR="00CA297A">
        <w:rPr>
          <w:szCs w:val="24"/>
        </w:rPr>
        <w:t xml:space="preserve">the City must take measures to </w:t>
      </w:r>
      <w:r w:rsidR="000D20D2">
        <w:rPr>
          <w:szCs w:val="24"/>
        </w:rPr>
        <w:t xml:space="preserve">ensure that its seniors have access to housing that is safe, affordable and accessible. </w:t>
      </w:r>
      <w:r w:rsidR="005E7547">
        <w:rPr>
          <w:szCs w:val="24"/>
        </w:rPr>
        <w:t xml:space="preserve">Although </w:t>
      </w:r>
      <w:r w:rsidR="001E67D7">
        <w:rPr>
          <w:szCs w:val="24"/>
        </w:rPr>
        <w:t xml:space="preserve">the Mayor and </w:t>
      </w:r>
      <w:r w:rsidR="005E7547">
        <w:rPr>
          <w:szCs w:val="24"/>
        </w:rPr>
        <w:t xml:space="preserve">HPD </w:t>
      </w:r>
      <w:r w:rsidR="001E67D7">
        <w:rPr>
          <w:szCs w:val="24"/>
        </w:rPr>
        <w:t xml:space="preserve">have </w:t>
      </w:r>
      <w:r w:rsidR="005E7547">
        <w:rPr>
          <w:szCs w:val="24"/>
        </w:rPr>
        <w:t xml:space="preserve">announced projects to both develop and preserve affordable senior housing, </w:t>
      </w:r>
      <w:r w:rsidR="001E67D7">
        <w:rPr>
          <w:szCs w:val="24"/>
        </w:rPr>
        <w:t xml:space="preserve">timelines are unclear and </w:t>
      </w:r>
      <w:r w:rsidR="005E7547">
        <w:rPr>
          <w:szCs w:val="24"/>
        </w:rPr>
        <w:t xml:space="preserve">many questions remain. </w:t>
      </w:r>
    </w:p>
    <w:p w:rsidR="001E67D7" w:rsidRDefault="005E7547" w:rsidP="00CC6E62">
      <w:pPr>
        <w:spacing w:line="480" w:lineRule="auto"/>
        <w:ind w:firstLine="720"/>
        <w:rPr>
          <w:szCs w:val="24"/>
        </w:rPr>
      </w:pPr>
      <w:r>
        <w:rPr>
          <w:szCs w:val="24"/>
        </w:rPr>
        <w:t>The Committee on Aging and the Committee on Housing and Buildings therefore seek to hear from HPD and DFTA about the current state of senior affordab</w:t>
      </w:r>
      <w:r w:rsidR="00C1224E">
        <w:rPr>
          <w:szCs w:val="24"/>
        </w:rPr>
        <w:t>le housing in the C</w:t>
      </w:r>
      <w:r>
        <w:rPr>
          <w:szCs w:val="24"/>
        </w:rPr>
        <w:t xml:space="preserve">ity, including </w:t>
      </w:r>
      <w:r w:rsidR="00EA7FA1">
        <w:rPr>
          <w:szCs w:val="24"/>
        </w:rPr>
        <w:t xml:space="preserve">plans to increase senior affordable housing stock, updates on City programs that help seniors afford housing, </w:t>
      </w:r>
      <w:r>
        <w:rPr>
          <w:szCs w:val="24"/>
        </w:rPr>
        <w:t xml:space="preserve">strategies </w:t>
      </w:r>
      <w:r w:rsidR="00C1224E">
        <w:rPr>
          <w:szCs w:val="24"/>
        </w:rPr>
        <w:t xml:space="preserve">to </w:t>
      </w:r>
      <w:r w:rsidR="004A686E">
        <w:rPr>
          <w:szCs w:val="24"/>
        </w:rPr>
        <w:t>improve services and facilities for seniors to “age in place,”</w:t>
      </w:r>
      <w:r w:rsidR="00C1224E">
        <w:rPr>
          <w:szCs w:val="24"/>
        </w:rPr>
        <w:t xml:space="preserve"> </w:t>
      </w:r>
      <w:r w:rsidR="004A686E">
        <w:rPr>
          <w:szCs w:val="24"/>
        </w:rPr>
        <w:t>and measures the City has taken and plans to take t</w:t>
      </w:r>
      <w:r w:rsidR="007B3ACE">
        <w:rPr>
          <w:szCs w:val="24"/>
        </w:rPr>
        <w:t>o improve housing safety, affordability</w:t>
      </w:r>
      <w:r w:rsidR="00EA7FA1">
        <w:rPr>
          <w:szCs w:val="24"/>
        </w:rPr>
        <w:t>,</w:t>
      </w:r>
      <w:r w:rsidR="007B3ACE">
        <w:rPr>
          <w:szCs w:val="24"/>
        </w:rPr>
        <w:t xml:space="preserve"> and accessibility </w:t>
      </w:r>
      <w:r w:rsidR="004A686E">
        <w:rPr>
          <w:szCs w:val="24"/>
        </w:rPr>
        <w:t>for its senior population.</w:t>
      </w:r>
    </w:p>
    <w:p w:rsidR="001E67D7" w:rsidRPr="001A696D" w:rsidRDefault="001E67D7" w:rsidP="00CC6E62">
      <w:pPr>
        <w:spacing w:line="480" w:lineRule="auto"/>
        <w:ind w:firstLine="720"/>
        <w:rPr>
          <w:rFonts w:ascii="Times" w:hAnsi="Times"/>
          <w:szCs w:val="24"/>
        </w:rPr>
      </w:pPr>
    </w:p>
    <w:p w:rsidR="00EB4091" w:rsidRDefault="00EB4091" w:rsidP="00D32DEB">
      <w:pPr>
        <w:spacing w:line="480" w:lineRule="auto"/>
        <w:ind w:firstLine="720"/>
        <w:rPr>
          <w:szCs w:val="24"/>
        </w:rPr>
      </w:pPr>
    </w:p>
    <w:p w:rsidR="00FC6BAF" w:rsidRPr="00FC6BAF" w:rsidRDefault="00FC6BAF" w:rsidP="00D32DEB">
      <w:pPr>
        <w:numPr>
          <w:ilvl w:val="0"/>
          <w:numId w:val="49"/>
        </w:numPr>
        <w:spacing w:line="480" w:lineRule="auto"/>
        <w:jc w:val="center"/>
        <w:rPr>
          <w:rFonts w:ascii="Times New Roman Bold" w:hAnsi="Times New Roman Bold"/>
          <w:b/>
          <w:smallCaps/>
          <w:szCs w:val="24"/>
          <w:u w:val="single"/>
        </w:rPr>
      </w:pPr>
      <w:r>
        <w:rPr>
          <w:rFonts w:ascii="Times New Roman Bold" w:hAnsi="Times New Roman Bold"/>
          <w:b/>
          <w:smallCaps/>
          <w:szCs w:val="24"/>
          <w:u w:val="single"/>
        </w:rPr>
        <w:t>Legislation</w:t>
      </w:r>
    </w:p>
    <w:p w:rsidR="008B4160" w:rsidRDefault="00FC6BAF" w:rsidP="00FC6BAF">
      <w:pPr>
        <w:spacing w:line="480" w:lineRule="auto"/>
        <w:rPr>
          <w:szCs w:val="24"/>
        </w:rPr>
      </w:pPr>
      <w:r w:rsidRPr="004134BF">
        <w:rPr>
          <w:szCs w:val="24"/>
        </w:rPr>
        <w:lastRenderedPageBreak/>
        <w:tab/>
        <w:t>Below is a brief summary of the legislation being heard by the Committee at this hearing. This summary is intended for informational purposes only and does not substitute for legal counsel. For more detailed information, you should review the full text of the</w:t>
      </w:r>
      <w:r>
        <w:rPr>
          <w:szCs w:val="24"/>
        </w:rPr>
        <w:t xml:space="preserve"> bill, which is attached below.</w:t>
      </w:r>
    </w:p>
    <w:p w:rsidR="00FC6BAF" w:rsidRPr="00D32DEB" w:rsidRDefault="008B4160" w:rsidP="00D32DEB">
      <w:pPr>
        <w:rPr>
          <w:b/>
          <w:i/>
        </w:rPr>
      </w:pPr>
      <w:r w:rsidRPr="00D32DEB">
        <w:rPr>
          <w:rFonts w:eastAsia="Calibri"/>
          <w:b/>
          <w:i/>
          <w:szCs w:val="24"/>
        </w:rPr>
        <w:t xml:space="preserve">Int. No. 6, </w:t>
      </w:r>
      <w:r w:rsidRPr="00D32DEB">
        <w:rPr>
          <w:b/>
          <w:i/>
        </w:rPr>
        <w:t>A Local Law to amend the administrative code of the city of New York, in relation to evictions of elderly tenants</w:t>
      </w:r>
    </w:p>
    <w:p w:rsidR="00EA7FA1" w:rsidRPr="008B4160" w:rsidRDefault="00EA7FA1" w:rsidP="00D32DEB">
      <w:pPr>
        <w:rPr>
          <w:b/>
        </w:rPr>
      </w:pPr>
    </w:p>
    <w:p w:rsidR="008B4160" w:rsidRDefault="00FF56E3" w:rsidP="0053761B">
      <w:pPr>
        <w:spacing w:line="480" w:lineRule="auto"/>
        <w:rPr>
          <w:rFonts w:eastAsia="Calibri"/>
          <w:szCs w:val="24"/>
        </w:rPr>
      </w:pPr>
      <w:r>
        <w:rPr>
          <w:rFonts w:eastAsia="Calibri"/>
          <w:szCs w:val="24"/>
        </w:rPr>
        <w:tab/>
        <w:t xml:space="preserve">This bill would </w:t>
      </w:r>
      <w:r w:rsidR="004C47F0">
        <w:rPr>
          <w:rFonts w:eastAsia="Calibri"/>
          <w:szCs w:val="24"/>
        </w:rPr>
        <w:t xml:space="preserve">add a new chapter 18 to title 26 and would </w:t>
      </w:r>
      <w:r>
        <w:rPr>
          <w:rFonts w:eastAsia="Calibri"/>
          <w:szCs w:val="24"/>
        </w:rPr>
        <w:t xml:space="preserve">require owners to disclose certain information to the City before evicting tenants </w:t>
      </w:r>
      <w:r w:rsidR="000E232E">
        <w:rPr>
          <w:rFonts w:eastAsia="Calibri"/>
          <w:szCs w:val="24"/>
        </w:rPr>
        <w:t xml:space="preserve">age 62 or older </w:t>
      </w:r>
      <w:r>
        <w:rPr>
          <w:rFonts w:eastAsia="Calibri"/>
          <w:szCs w:val="24"/>
        </w:rPr>
        <w:t>and would require the City to provide information to such tenants about available legal assistance.</w:t>
      </w:r>
      <w:r w:rsidR="000B3059">
        <w:rPr>
          <w:rFonts w:eastAsia="Calibri"/>
          <w:szCs w:val="24"/>
        </w:rPr>
        <w:t xml:space="preserve"> Section </w:t>
      </w:r>
      <w:r w:rsidR="00324028">
        <w:rPr>
          <w:rFonts w:eastAsia="Calibri"/>
          <w:szCs w:val="24"/>
        </w:rPr>
        <w:t xml:space="preserve">26-1801 of section </w:t>
      </w:r>
      <w:r w:rsidR="004C47F0">
        <w:rPr>
          <w:rFonts w:eastAsia="Calibri"/>
          <w:szCs w:val="24"/>
        </w:rPr>
        <w:t>one</w:t>
      </w:r>
      <w:r w:rsidR="000B3059">
        <w:rPr>
          <w:rFonts w:eastAsia="Calibri"/>
          <w:szCs w:val="24"/>
        </w:rPr>
        <w:t xml:space="preserve"> would define the terms “dwelling unit,” “owner,” “commissioner,” “department,” “senior” and “senior occupant” for purposes of</w:t>
      </w:r>
      <w:r w:rsidR="007613DA">
        <w:rPr>
          <w:rFonts w:eastAsia="Calibri"/>
          <w:szCs w:val="24"/>
        </w:rPr>
        <w:t xml:space="preserve"> this section</w:t>
      </w:r>
      <w:r w:rsidR="00ED3F59">
        <w:rPr>
          <w:rFonts w:eastAsia="Calibri"/>
          <w:szCs w:val="24"/>
        </w:rPr>
        <w:t xml:space="preserve">. </w:t>
      </w:r>
      <w:r w:rsidR="006E776E">
        <w:rPr>
          <w:rFonts w:eastAsia="Calibri"/>
          <w:szCs w:val="24"/>
        </w:rPr>
        <w:t>Section 26-1</w:t>
      </w:r>
      <w:r w:rsidR="00136A95">
        <w:rPr>
          <w:rFonts w:eastAsia="Calibri"/>
          <w:szCs w:val="24"/>
        </w:rPr>
        <w:t>8</w:t>
      </w:r>
      <w:r w:rsidR="006E776E">
        <w:rPr>
          <w:rFonts w:eastAsia="Calibri"/>
          <w:szCs w:val="24"/>
        </w:rPr>
        <w:t>02 would require owners to give notice to senior occupants of eviction proceedings</w:t>
      </w:r>
      <w:r w:rsidR="000E232E">
        <w:rPr>
          <w:rFonts w:eastAsia="Calibri"/>
          <w:szCs w:val="24"/>
        </w:rPr>
        <w:t xml:space="preserve"> being brought against them, and to provide the Department of Housing Preservation and Development </w:t>
      </w:r>
      <w:r w:rsidR="00136A95">
        <w:rPr>
          <w:rFonts w:eastAsia="Calibri"/>
          <w:szCs w:val="24"/>
        </w:rPr>
        <w:t xml:space="preserve">(HPD) </w:t>
      </w:r>
      <w:r w:rsidR="000E232E">
        <w:rPr>
          <w:rFonts w:eastAsia="Calibri"/>
          <w:szCs w:val="24"/>
        </w:rPr>
        <w:t xml:space="preserve">with </w:t>
      </w:r>
      <w:r w:rsidR="00D655B4">
        <w:rPr>
          <w:rFonts w:eastAsia="Calibri"/>
          <w:szCs w:val="24"/>
        </w:rPr>
        <w:t>any such</w:t>
      </w:r>
      <w:r w:rsidR="000E232E">
        <w:rPr>
          <w:rFonts w:eastAsia="Calibri"/>
          <w:szCs w:val="24"/>
        </w:rPr>
        <w:t xml:space="preserve"> tenant’s information. </w:t>
      </w:r>
      <w:r w:rsidR="00136A95">
        <w:rPr>
          <w:rFonts w:eastAsia="Calibri"/>
          <w:szCs w:val="24"/>
        </w:rPr>
        <w:t xml:space="preserve">Section 26-1803 </w:t>
      </w:r>
      <w:r w:rsidR="00340CE7">
        <w:rPr>
          <w:rFonts w:eastAsia="Calibri"/>
          <w:szCs w:val="24"/>
        </w:rPr>
        <w:t xml:space="preserve">would </w:t>
      </w:r>
      <w:r w:rsidR="00136A95">
        <w:rPr>
          <w:rFonts w:eastAsia="Calibri"/>
          <w:szCs w:val="24"/>
        </w:rPr>
        <w:t xml:space="preserve">require HPD to provide senior tenants facing eviction with information about available legal services. </w:t>
      </w:r>
      <w:r w:rsidR="00204658">
        <w:rPr>
          <w:rFonts w:eastAsia="Calibri"/>
          <w:szCs w:val="24"/>
        </w:rPr>
        <w:t>Section 26-1804</w:t>
      </w:r>
      <w:r w:rsidR="00693C3D">
        <w:rPr>
          <w:rFonts w:eastAsia="Calibri"/>
          <w:szCs w:val="24"/>
        </w:rPr>
        <w:t xml:space="preserve"> would require</w:t>
      </w:r>
      <w:r w:rsidR="00204658">
        <w:rPr>
          <w:rFonts w:eastAsia="Calibri"/>
          <w:szCs w:val="24"/>
        </w:rPr>
        <w:t xml:space="preserve"> HPD, in conjunction with the Commission on Human Rights, </w:t>
      </w:r>
      <w:r w:rsidR="0080641F">
        <w:rPr>
          <w:rFonts w:eastAsia="Calibri"/>
          <w:szCs w:val="24"/>
        </w:rPr>
        <w:t xml:space="preserve">to provide the mayor and speaker of the council with annual reports. Section 26-1805 </w:t>
      </w:r>
      <w:r w:rsidR="00A502FB">
        <w:rPr>
          <w:rFonts w:eastAsia="Calibri"/>
          <w:szCs w:val="24"/>
        </w:rPr>
        <w:t xml:space="preserve">would </w:t>
      </w:r>
      <w:r w:rsidR="0080641F">
        <w:rPr>
          <w:rFonts w:eastAsia="Calibri"/>
          <w:szCs w:val="24"/>
        </w:rPr>
        <w:t>make any violation of section 26-1802 a class A misdemeanor.</w:t>
      </w:r>
    </w:p>
    <w:p w:rsidR="00FF56E3" w:rsidRDefault="00FF56E3" w:rsidP="0053761B">
      <w:pPr>
        <w:spacing w:line="480" w:lineRule="auto"/>
        <w:rPr>
          <w:rFonts w:eastAsia="Calibri"/>
          <w:szCs w:val="24"/>
        </w:rPr>
      </w:pPr>
      <w:r>
        <w:rPr>
          <w:rFonts w:eastAsia="Calibri"/>
          <w:szCs w:val="24"/>
        </w:rPr>
        <w:tab/>
        <w:t>This legislation would take effect 120 days after it becomes law.</w:t>
      </w:r>
    </w:p>
    <w:p w:rsidR="00FF56E3" w:rsidRPr="00D32DEB" w:rsidRDefault="00FF56E3" w:rsidP="00D32DEB">
      <w:pPr>
        <w:rPr>
          <w:b/>
          <w:i/>
        </w:rPr>
      </w:pPr>
      <w:r w:rsidRPr="00D32DEB">
        <w:rPr>
          <w:rFonts w:eastAsia="Calibri"/>
          <w:b/>
          <w:i/>
          <w:szCs w:val="24"/>
        </w:rPr>
        <w:t xml:space="preserve">Int. No. 225, </w:t>
      </w:r>
      <w:r w:rsidRPr="00D32DEB">
        <w:rPr>
          <w:b/>
          <w:i/>
        </w:rPr>
        <w:t>A Local Law to amend the administrative code of the city of New York, in relation to the installation of protective devices for seniors and persons with a disability who reside in multiple dwellings, and the provision of a tax abatement for certain related installations</w:t>
      </w:r>
    </w:p>
    <w:p w:rsidR="001F3B03" w:rsidRDefault="00FF56E3" w:rsidP="0053761B">
      <w:pPr>
        <w:spacing w:line="480" w:lineRule="auto"/>
        <w:rPr>
          <w:rFonts w:eastAsia="Calibri"/>
          <w:szCs w:val="24"/>
        </w:rPr>
      </w:pPr>
      <w:r>
        <w:rPr>
          <w:rFonts w:eastAsia="Calibri"/>
          <w:szCs w:val="24"/>
        </w:rPr>
        <w:tab/>
        <w:t xml:space="preserve">This bill would require the installation in multiple dwellings of certain protective devices for seniors and persons with disabilities that enhance mobility, safety and the quality of life for such persons. </w:t>
      </w:r>
      <w:r w:rsidR="001F3B03">
        <w:rPr>
          <w:rFonts w:eastAsia="Calibri"/>
          <w:szCs w:val="24"/>
        </w:rPr>
        <w:t>Subdivision a of section one would require owners to provide grab bars</w:t>
      </w:r>
      <w:r w:rsidR="00746AD4">
        <w:rPr>
          <w:rFonts w:eastAsia="Calibri"/>
          <w:szCs w:val="24"/>
        </w:rPr>
        <w:t xml:space="preserve"> and treads</w:t>
      </w:r>
      <w:r w:rsidR="001F3B03">
        <w:rPr>
          <w:rFonts w:eastAsia="Calibri"/>
          <w:szCs w:val="24"/>
        </w:rPr>
        <w:t xml:space="preserve"> </w:t>
      </w:r>
      <w:r w:rsidR="001F3B03">
        <w:rPr>
          <w:rFonts w:eastAsia="Calibri"/>
          <w:szCs w:val="24"/>
        </w:rPr>
        <w:lastRenderedPageBreak/>
        <w:t>in bathrooms when requested by a tenant who is a senior or who has a disability</w:t>
      </w:r>
      <w:r w:rsidR="00746AD4">
        <w:rPr>
          <w:rFonts w:eastAsia="Calibri"/>
          <w:szCs w:val="24"/>
        </w:rPr>
        <w:t>, and to annually notify tenants of such requirement.</w:t>
      </w:r>
      <w:r w:rsidR="00362BA5">
        <w:rPr>
          <w:rFonts w:eastAsia="Calibri"/>
          <w:szCs w:val="24"/>
        </w:rPr>
        <w:t xml:space="preserve"> Subdivision b of section one </w:t>
      </w:r>
      <w:r w:rsidR="002D3F80">
        <w:rPr>
          <w:rFonts w:eastAsia="Calibri"/>
          <w:szCs w:val="24"/>
        </w:rPr>
        <w:t xml:space="preserve">would require HPD to promulgate rules pursuant to this section. </w:t>
      </w:r>
      <w:r w:rsidR="00DD55B4">
        <w:rPr>
          <w:rFonts w:eastAsia="Calibri"/>
          <w:szCs w:val="24"/>
        </w:rPr>
        <w:t xml:space="preserve">Subdivision c of section one would </w:t>
      </w:r>
      <w:r w:rsidR="0033459A">
        <w:rPr>
          <w:rFonts w:eastAsia="Calibri"/>
          <w:szCs w:val="24"/>
        </w:rPr>
        <w:t>make any violation of this section or rules promulgated pursuant to such section a misdemeanor punishable by fine or imprisonmen</w:t>
      </w:r>
      <w:r w:rsidR="006F22F9">
        <w:rPr>
          <w:rFonts w:eastAsia="Calibri"/>
          <w:szCs w:val="24"/>
        </w:rPr>
        <w:t xml:space="preserve">t, as well as </w:t>
      </w:r>
      <w:r w:rsidR="0033459A">
        <w:rPr>
          <w:rFonts w:eastAsia="Calibri"/>
          <w:szCs w:val="24"/>
        </w:rPr>
        <w:t>an additional civil penalty.</w:t>
      </w:r>
      <w:r w:rsidR="008A4762">
        <w:rPr>
          <w:rFonts w:eastAsia="Calibri"/>
          <w:szCs w:val="24"/>
        </w:rPr>
        <w:t xml:space="preserve"> Subdivision d of section one would </w:t>
      </w:r>
      <w:r w:rsidR="00D47EBA">
        <w:rPr>
          <w:rFonts w:eastAsia="Calibri"/>
          <w:szCs w:val="24"/>
        </w:rPr>
        <w:t xml:space="preserve">define the terms “senior citizen” and “person with a disability” for purposes of this </w:t>
      </w:r>
      <w:r w:rsidR="00521CD3">
        <w:rPr>
          <w:rFonts w:eastAsia="Calibri"/>
          <w:szCs w:val="24"/>
        </w:rPr>
        <w:t>section</w:t>
      </w:r>
      <w:r w:rsidR="00D47EBA">
        <w:rPr>
          <w:rFonts w:eastAsia="Calibri"/>
          <w:szCs w:val="24"/>
        </w:rPr>
        <w:t>.</w:t>
      </w:r>
    </w:p>
    <w:p w:rsidR="001F3B03" w:rsidRDefault="002F1349" w:rsidP="0053761B">
      <w:pPr>
        <w:spacing w:line="480" w:lineRule="auto"/>
        <w:rPr>
          <w:rFonts w:eastAsia="Calibri"/>
          <w:szCs w:val="24"/>
        </w:rPr>
      </w:pPr>
      <w:r>
        <w:rPr>
          <w:rFonts w:eastAsia="Calibri"/>
          <w:szCs w:val="24"/>
        </w:rPr>
        <w:tab/>
        <w:t xml:space="preserve">Subdivision a of section two would define the terms “eligible owner,” “multiple dwelling unit,” “person with a disability” and “senior citizen” for purposes of this section. </w:t>
      </w:r>
      <w:r w:rsidR="00047A68">
        <w:rPr>
          <w:rFonts w:eastAsia="Calibri"/>
          <w:szCs w:val="24"/>
        </w:rPr>
        <w:t xml:space="preserve">Subdivision b of section two </w:t>
      </w:r>
      <w:r w:rsidR="005711B9">
        <w:rPr>
          <w:rFonts w:eastAsia="Calibri"/>
          <w:szCs w:val="24"/>
        </w:rPr>
        <w:t xml:space="preserve">would establish a tax abatement for grab bars installed pursuant to subdivision a of section one. </w:t>
      </w:r>
      <w:r w:rsidR="00E900A3">
        <w:rPr>
          <w:rFonts w:eastAsia="Calibri"/>
          <w:szCs w:val="24"/>
        </w:rPr>
        <w:t xml:space="preserve">Subdivision </w:t>
      </w:r>
      <w:r w:rsidR="00B96B25">
        <w:rPr>
          <w:rFonts w:eastAsia="Calibri"/>
          <w:szCs w:val="24"/>
        </w:rPr>
        <w:t xml:space="preserve">c of section two </w:t>
      </w:r>
      <w:r w:rsidR="002706D9">
        <w:rPr>
          <w:rFonts w:eastAsia="Calibri"/>
          <w:szCs w:val="24"/>
        </w:rPr>
        <w:t>would set</w:t>
      </w:r>
      <w:r w:rsidR="009406A5">
        <w:rPr>
          <w:rFonts w:eastAsia="Calibri"/>
          <w:szCs w:val="24"/>
        </w:rPr>
        <w:t xml:space="preserve"> a limit on the amount of abatement an owner can receive for installing grab bars. </w:t>
      </w:r>
      <w:r w:rsidR="00600C2C">
        <w:rPr>
          <w:rFonts w:eastAsia="Calibri"/>
          <w:szCs w:val="24"/>
        </w:rPr>
        <w:t xml:space="preserve">Subdivision d of section two </w:t>
      </w:r>
      <w:r w:rsidR="002706D9">
        <w:rPr>
          <w:rFonts w:eastAsia="Calibri"/>
          <w:szCs w:val="24"/>
        </w:rPr>
        <w:t>would require applications for a tax abatement under this section to be submitted according to rules promulgated by the Department of Finance.</w:t>
      </w:r>
    </w:p>
    <w:p w:rsidR="00FF56E3" w:rsidRDefault="00FF56E3" w:rsidP="0053761B">
      <w:pPr>
        <w:spacing w:line="480" w:lineRule="auto"/>
        <w:rPr>
          <w:rFonts w:eastAsia="Calibri"/>
          <w:szCs w:val="24"/>
        </w:rPr>
      </w:pPr>
      <w:r>
        <w:rPr>
          <w:rFonts w:eastAsia="Calibri"/>
          <w:szCs w:val="24"/>
        </w:rPr>
        <w:tab/>
        <w:t xml:space="preserve">This legislation would take effect </w:t>
      </w:r>
      <w:r w:rsidR="00276A37">
        <w:rPr>
          <w:rFonts w:eastAsia="Calibri"/>
          <w:szCs w:val="24"/>
        </w:rPr>
        <w:t>90 days after it becomes law.</w:t>
      </w:r>
    </w:p>
    <w:p w:rsidR="00150EFC" w:rsidRDefault="00354481" w:rsidP="00354481">
      <w:pPr>
        <w:pStyle w:val="NoSpacing"/>
        <w:suppressLineNumbers/>
        <w:jc w:val="center"/>
        <w:rPr>
          <w:szCs w:val="24"/>
        </w:rPr>
      </w:pPr>
      <w:r>
        <w:rPr>
          <w:szCs w:val="24"/>
        </w:rPr>
        <w:br w:type="page"/>
      </w:r>
    </w:p>
    <w:p w:rsidR="00150EFC" w:rsidRDefault="00150EFC" w:rsidP="00354481">
      <w:pPr>
        <w:pStyle w:val="NoSpacing"/>
        <w:suppressLineNumbers/>
        <w:jc w:val="center"/>
        <w:rPr>
          <w:szCs w:val="24"/>
        </w:rPr>
      </w:pPr>
    </w:p>
    <w:p w:rsidR="00150EFC" w:rsidRDefault="00150EFC" w:rsidP="00354481">
      <w:pPr>
        <w:pStyle w:val="NoSpacing"/>
        <w:suppressLineNumbers/>
        <w:jc w:val="center"/>
        <w:rPr>
          <w:szCs w:val="24"/>
        </w:rPr>
      </w:pPr>
    </w:p>
    <w:p w:rsidR="00150EFC" w:rsidRDefault="00150EFC" w:rsidP="00354481">
      <w:pPr>
        <w:pStyle w:val="NoSpacing"/>
        <w:suppressLineNumbers/>
        <w:jc w:val="center"/>
        <w:rPr>
          <w:szCs w:val="24"/>
        </w:rPr>
      </w:pPr>
    </w:p>
    <w:p w:rsidR="00150EFC" w:rsidRDefault="00150EFC" w:rsidP="00354481">
      <w:pPr>
        <w:pStyle w:val="NoSpacing"/>
        <w:suppressLineNumbers/>
        <w:jc w:val="center"/>
        <w:rPr>
          <w:szCs w:val="24"/>
        </w:rPr>
      </w:pPr>
    </w:p>
    <w:p w:rsidR="00150EFC" w:rsidRDefault="00150EFC" w:rsidP="00354481">
      <w:pPr>
        <w:pStyle w:val="NoSpacing"/>
        <w:suppressLineNumbers/>
        <w:jc w:val="center"/>
        <w:rPr>
          <w:szCs w:val="24"/>
        </w:rPr>
      </w:pPr>
    </w:p>
    <w:p w:rsidR="00150EFC" w:rsidRDefault="00150EFC" w:rsidP="00354481">
      <w:pPr>
        <w:pStyle w:val="NoSpacing"/>
        <w:suppressLineNumbers/>
        <w:jc w:val="center"/>
        <w:rPr>
          <w:szCs w:val="24"/>
        </w:rPr>
      </w:pPr>
    </w:p>
    <w:p w:rsidR="00150EFC" w:rsidRDefault="00150EFC" w:rsidP="00354481">
      <w:pPr>
        <w:pStyle w:val="NoSpacing"/>
        <w:suppressLineNumbers/>
        <w:jc w:val="center"/>
        <w:rPr>
          <w:szCs w:val="24"/>
        </w:rPr>
      </w:pPr>
    </w:p>
    <w:p w:rsidR="00150EFC" w:rsidRDefault="00150EFC" w:rsidP="00354481">
      <w:pPr>
        <w:pStyle w:val="NoSpacing"/>
        <w:suppressLineNumbers/>
        <w:jc w:val="center"/>
        <w:rPr>
          <w:szCs w:val="24"/>
        </w:rPr>
      </w:pPr>
    </w:p>
    <w:p w:rsidR="00150EFC" w:rsidRDefault="00150EFC" w:rsidP="00354481">
      <w:pPr>
        <w:pStyle w:val="NoSpacing"/>
        <w:suppressLineNumbers/>
        <w:jc w:val="center"/>
        <w:rPr>
          <w:szCs w:val="24"/>
        </w:rPr>
      </w:pPr>
    </w:p>
    <w:p w:rsidR="00150EFC" w:rsidRDefault="00150EFC" w:rsidP="00354481">
      <w:pPr>
        <w:pStyle w:val="NoSpacing"/>
        <w:suppressLineNumbers/>
        <w:jc w:val="center"/>
        <w:rPr>
          <w:szCs w:val="24"/>
        </w:rPr>
      </w:pPr>
    </w:p>
    <w:p w:rsidR="00150EFC" w:rsidRDefault="00150EFC" w:rsidP="00354481">
      <w:pPr>
        <w:pStyle w:val="NoSpacing"/>
        <w:suppressLineNumbers/>
        <w:jc w:val="center"/>
        <w:rPr>
          <w:szCs w:val="24"/>
        </w:rPr>
      </w:pPr>
    </w:p>
    <w:p w:rsidR="00150EFC" w:rsidRDefault="00150EFC" w:rsidP="00354481">
      <w:pPr>
        <w:pStyle w:val="NoSpacing"/>
        <w:suppressLineNumbers/>
        <w:jc w:val="center"/>
        <w:rPr>
          <w:szCs w:val="24"/>
        </w:rPr>
      </w:pPr>
    </w:p>
    <w:p w:rsidR="00150EFC" w:rsidRDefault="00150EFC" w:rsidP="00354481">
      <w:pPr>
        <w:pStyle w:val="NoSpacing"/>
        <w:suppressLineNumbers/>
        <w:jc w:val="center"/>
        <w:rPr>
          <w:szCs w:val="24"/>
        </w:rPr>
      </w:pPr>
    </w:p>
    <w:p w:rsidR="00150EFC" w:rsidRDefault="00150EFC" w:rsidP="00354481">
      <w:pPr>
        <w:pStyle w:val="NoSpacing"/>
        <w:suppressLineNumbers/>
        <w:jc w:val="center"/>
        <w:rPr>
          <w:szCs w:val="24"/>
        </w:rPr>
      </w:pPr>
    </w:p>
    <w:p w:rsidR="00150EFC" w:rsidRDefault="00150EFC" w:rsidP="00354481">
      <w:pPr>
        <w:pStyle w:val="NoSpacing"/>
        <w:suppressLineNumbers/>
        <w:jc w:val="center"/>
        <w:rPr>
          <w:szCs w:val="24"/>
        </w:rPr>
      </w:pPr>
    </w:p>
    <w:p w:rsidR="00150EFC" w:rsidRDefault="00150EFC" w:rsidP="00354481">
      <w:pPr>
        <w:pStyle w:val="NoSpacing"/>
        <w:suppressLineNumbers/>
        <w:jc w:val="center"/>
        <w:rPr>
          <w:szCs w:val="24"/>
        </w:rPr>
      </w:pPr>
    </w:p>
    <w:p w:rsidR="00150EFC" w:rsidRDefault="00150EFC" w:rsidP="00354481">
      <w:pPr>
        <w:pStyle w:val="NoSpacing"/>
        <w:suppressLineNumbers/>
        <w:jc w:val="center"/>
        <w:rPr>
          <w:szCs w:val="24"/>
        </w:rPr>
      </w:pPr>
    </w:p>
    <w:p w:rsidR="00150EFC" w:rsidRDefault="00150EFC" w:rsidP="00354481">
      <w:pPr>
        <w:pStyle w:val="NoSpacing"/>
        <w:suppressLineNumbers/>
        <w:jc w:val="center"/>
        <w:rPr>
          <w:szCs w:val="24"/>
        </w:rPr>
      </w:pPr>
    </w:p>
    <w:p w:rsidR="00150EFC" w:rsidRDefault="00150EFC" w:rsidP="00354481">
      <w:pPr>
        <w:pStyle w:val="NoSpacing"/>
        <w:suppressLineNumbers/>
        <w:jc w:val="center"/>
        <w:rPr>
          <w:szCs w:val="24"/>
        </w:rPr>
      </w:pPr>
    </w:p>
    <w:p w:rsidR="00150EFC" w:rsidRDefault="00150EFC" w:rsidP="00354481">
      <w:pPr>
        <w:pStyle w:val="NoSpacing"/>
        <w:suppressLineNumbers/>
        <w:jc w:val="center"/>
        <w:rPr>
          <w:szCs w:val="24"/>
        </w:rPr>
      </w:pPr>
      <w:r>
        <w:t>{</w:t>
      </w:r>
      <w:r>
        <w:rPr>
          <w:rFonts w:ascii="Times New Roman" w:hAnsi="Times New Roman"/>
          <w:sz w:val="24"/>
          <w:szCs w:val="24"/>
        </w:rPr>
        <w:t>THIS PAGE IS INTENTIONALLY LEFT BLANK}</w:t>
      </w:r>
    </w:p>
    <w:p w:rsidR="00150EFC" w:rsidRDefault="00150EFC" w:rsidP="00354481">
      <w:pPr>
        <w:pStyle w:val="NoSpacing"/>
        <w:suppressLineNumbers/>
        <w:jc w:val="center"/>
        <w:rPr>
          <w:szCs w:val="24"/>
        </w:rPr>
      </w:pPr>
    </w:p>
    <w:p w:rsidR="00150EFC" w:rsidRDefault="00150EFC" w:rsidP="00354481">
      <w:pPr>
        <w:pStyle w:val="NoSpacing"/>
        <w:suppressLineNumbers/>
        <w:jc w:val="center"/>
        <w:rPr>
          <w:szCs w:val="24"/>
        </w:rPr>
      </w:pPr>
    </w:p>
    <w:p w:rsidR="00150EFC" w:rsidRDefault="00150EFC" w:rsidP="00354481">
      <w:pPr>
        <w:pStyle w:val="NoSpacing"/>
        <w:suppressLineNumbers/>
        <w:jc w:val="center"/>
        <w:rPr>
          <w:szCs w:val="24"/>
        </w:rPr>
      </w:pPr>
    </w:p>
    <w:p w:rsidR="00150EFC" w:rsidRDefault="00150EFC" w:rsidP="00354481">
      <w:pPr>
        <w:pStyle w:val="NoSpacing"/>
        <w:suppressLineNumbers/>
        <w:jc w:val="center"/>
        <w:rPr>
          <w:szCs w:val="24"/>
        </w:rPr>
      </w:pPr>
    </w:p>
    <w:p w:rsidR="00150EFC" w:rsidRDefault="00150EFC" w:rsidP="00354481">
      <w:pPr>
        <w:pStyle w:val="NoSpacing"/>
        <w:suppressLineNumbers/>
        <w:jc w:val="center"/>
        <w:rPr>
          <w:szCs w:val="24"/>
        </w:rPr>
      </w:pPr>
    </w:p>
    <w:p w:rsidR="00150EFC" w:rsidRDefault="00150EFC" w:rsidP="00354481">
      <w:pPr>
        <w:pStyle w:val="NoSpacing"/>
        <w:suppressLineNumbers/>
        <w:jc w:val="center"/>
        <w:rPr>
          <w:szCs w:val="24"/>
        </w:rPr>
      </w:pPr>
    </w:p>
    <w:p w:rsidR="00150EFC" w:rsidRDefault="00150EFC" w:rsidP="00354481">
      <w:pPr>
        <w:pStyle w:val="NoSpacing"/>
        <w:suppressLineNumbers/>
        <w:jc w:val="center"/>
        <w:rPr>
          <w:szCs w:val="24"/>
        </w:rPr>
      </w:pPr>
    </w:p>
    <w:p w:rsidR="00150EFC" w:rsidRDefault="00150EFC" w:rsidP="00354481">
      <w:pPr>
        <w:pStyle w:val="NoSpacing"/>
        <w:suppressLineNumbers/>
        <w:jc w:val="center"/>
        <w:rPr>
          <w:szCs w:val="24"/>
        </w:rPr>
      </w:pPr>
    </w:p>
    <w:p w:rsidR="00150EFC" w:rsidRDefault="00150EFC" w:rsidP="00354481">
      <w:pPr>
        <w:pStyle w:val="NoSpacing"/>
        <w:suppressLineNumbers/>
        <w:jc w:val="center"/>
        <w:rPr>
          <w:szCs w:val="24"/>
        </w:rPr>
      </w:pPr>
    </w:p>
    <w:p w:rsidR="00150EFC" w:rsidRDefault="00150EFC" w:rsidP="00354481">
      <w:pPr>
        <w:pStyle w:val="NoSpacing"/>
        <w:suppressLineNumbers/>
        <w:jc w:val="center"/>
        <w:rPr>
          <w:szCs w:val="24"/>
        </w:rPr>
      </w:pPr>
    </w:p>
    <w:p w:rsidR="00150EFC" w:rsidRDefault="00150EFC" w:rsidP="00354481">
      <w:pPr>
        <w:pStyle w:val="NoSpacing"/>
        <w:suppressLineNumbers/>
        <w:jc w:val="center"/>
        <w:rPr>
          <w:szCs w:val="24"/>
        </w:rPr>
      </w:pPr>
    </w:p>
    <w:p w:rsidR="00150EFC" w:rsidRDefault="00150EFC" w:rsidP="00354481">
      <w:pPr>
        <w:pStyle w:val="NoSpacing"/>
        <w:suppressLineNumbers/>
        <w:jc w:val="center"/>
        <w:rPr>
          <w:szCs w:val="24"/>
        </w:rPr>
      </w:pPr>
    </w:p>
    <w:p w:rsidR="00150EFC" w:rsidRDefault="00150EFC" w:rsidP="00354481">
      <w:pPr>
        <w:pStyle w:val="NoSpacing"/>
        <w:suppressLineNumbers/>
        <w:jc w:val="center"/>
        <w:rPr>
          <w:szCs w:val="24"/>
        </w:rPr>
      </w:pPr>
    </w:p>
    <w:p w:rsidR="00150EFC" w:rsidRDefault="00150EFC" w:rsidP="00354481">
      <w:pPr>
        <w:pStyle w:val="NoSpacing"/>
        <w:suppressLineNumbers/>
        <w:jc w:val="center"/>
        <w:rPr>
          <w:szCs w:val="24"/>
        </w:rPr>
      </w:pPr>
    </w:p>
    <w:p w:rsidR="00150EFC" w:rsidRDefault="00150EFC" w:rsidP="00354481">
      <w:pPr>
        <w:pStyle w:val="NoSpacing"/>
        <w:suppressLineNumbers/>
        <w:jc w:val="center"/>
        <w:rPr>
          <w:szCs w:val="24"/>
        </w:rPr>
      </w:pPr>
    </w:p>
    <w:p w:rsidR="00150EFC" w:rsidRDefault="00150EFC" w:rsidP="00354481">
      <w:pPr>
        <w:pStyle w:val="NoSpacing"/>
        <w:suppressLineNumbers/>
        <w:jc w:val="center"/>
        <w:rPr>
          <w:szCs w:val="24"/>
        </w:rPr>
      </w:pPr>
    </w:p>
    <w:p w:rsidR="00150EFC" w:rsidRDefault="00150EFC" w:rsidP="00354481">
      <w:pPr>
        <w:pStyle w:val="NoSpacing"/>
        <w:suppressLineNumbers/>
        <w:jc w:val="center"/>
        <w:rPr>
          <w:szCs w:val="24"/>
        </w:rPr>
      </w:pPr>
    </w:p>
    <w:p w:rsidR="00150EFC" w:rsidRDefault="00150EFC" w:rsidP="00354481">
      <w:pPr>
        <w:pStyle w:val="NoSpacing"/>
        <w:suppressLineNumbers/>
        <w:jc w:val="center"/>
        <w:rPr>
          <w:szCs w:val="24"/>
        </w:rPr>
      </w:pPr>
    </w:p>
    <w:p w:rsidR="00150EFC" w:rsidRDefault="00150EFC" w:rsidP="00354481">
      <w:pPr>
        <w:pStyle w:val="NoSpacing"/>
        <w:suppressLineNumbers/>
        <w:jc w:val="center"/>
        <w:rPr>
          <w:szCs w:val="24"/>
        </w:rPr>
      </w:pPr>
    </w:p>
    <w:p w:rsidR="00150EFC" w:rsidRDefault="00150EFC" w:rsidP="00354481">
      <w:pPr>
        <w:pStyle w:val="NoSpacing"/>
        <w:suppressLineNumbers/>
        <w:jc w:val="center"/>
        <w:rPr>
          <w:szCs w:val="24"/>
        </w:rPr>
      </w:pPr>
    </w:p>
    <w:p w:rsidR="00150EFC" w:rsidRDefault="00150EFC" w:rsidP="00354481">
      <w:pPr>
        <w:pStyle w:val="NoSpacing"/>
        <w:suppressLineNumbers/>
        <w:jc w:val="center"/>
        <w:rPr>
          <w:szCs w:val="24"/>
        </w:rPr>
      </w:pPr>
    </w:p>
    <w:p w:rsidR="00150EFC" w:rsidRDefault="00150EFC" w:rsidP="00354481">
      <w:pPr>
        <w:pStyle w:val="NoSpacing"/>
        <w:suppressLineNumbers/>
        <w:jc w:val="center"/>
        <w:rPr>
          <w:szCs w:val="24"/>
        </w:rPr>
      </w:pPr>
    </w:p>
    <w:p w:rsidR="00150EFC" w:rsidRDefault="00150EFC" w:rsidP="00354481">
      <w:pPr>
        <w:pStyle w:val="NoSpacing"/>
        <w:suppressLineNumbers/>
        <w:jc w:val="center"/>
        <w:rPr>
          <w:szCs w:val="24"/>
        </w:rPr>
      </w:pPr>
    </w:p>
    <w:p w:rsidR="00150EFC" w:rsidRDefault="00150EFC" w:rsidP="00354481">
      <w:pPr>
        <w:pStyle w:val="NoSpacing"/>
        <w:suppressLineNumbers/>
        <w:jc w:val="center"/>
        <w:rPr>
          <w:szCs w:val="24"/>
        </w:rPr>
      </w:pPr>
    </w:p>
    <w:p w:rsidR="00150EFC" w:rsidRDefault="00150EFC" w:rsidP="00354481">
      <w:pPr>
        <w:pStyle w:val="NoSpacing"/>
        <w:suppressLineNumbers/>
        <w:jc w:val="center"/>
        <w:rPr>
          <w:szCs w:val="24"/>
        </w:rPr>
      </w:pPr>
    </w:p>
    <w:p w:rsidR="00150EFC" w:rsidRDefault="00150EFC" w:rsidP="00354481">
      <w:pPr>
        <w:pStyle w:val="NoSpacing"/>
        <w:suppressLineNumbers/>
        <w:jc w:val="center"/>
        <w:rPr>
          <w:szCs w:val="24"/>
        </w:rPr>
      </w:pPr>
    </w:p>
    <w:p w:rsidR="00150EFC" w:rsidRDefault="00150EFC" w:rsidP="00354481">
      <w:pPr>
        <w:pStyle w:val="NoSpacing"/>
        <w:suppressLineNumbers/>
        <w:jc w:val="center"/>
        <w:rPr>
          <w:szCs w:val="24"/>
        </w:rPr>
      </w:pPr>
    </w:p>
    <w:p w:rsidR="00354481" w:rsidRDefault="00354481" w:rsidP="00354481">
      <w:pPr>
        <w:pStyle w:val="NoSpacing"/>
        <w:suppressLineNumbers/>
        <w:jc w:val="center"/>
        <w:rPr>
          <w:rFonts w:ascii="Times New Roman" w:hAnsi="Times New Roman"/>
          <w:sz w:val="24"/>
          <w:szCs w:val="24"/>
        </w:rPr>
      </w:pPr>
      <w:r>
        <w:rPr>
          <w:rFonts w:ascii="Times New Roman" w:hAnsi="Times New Roman"/>
          <w:sz w:val="24"/>
          <w:szCs w:val="24"/>
        </w:rPr>
        <w:lastRenderedPageBreak/>
        <w:t>Int. No. 6</w:t>
      </w:r>
    </w:p>
    <w:p w:rsidR="00354481" w:rsidRDefault="00354481" w:rsidP="00354481">
      <w:pPr>
        <w:pStyle w:val="NoSpacing"/>
        <w:suppressLineNumbers/>
        <w:jc w:val="center"/>
        <w:rPr>
          <w:rFonts w:ascii="Times New Roman" w:hAnsi="Times New Roman"/>
          <w:sz w:val="24"/>
          <w:szCs w:val="24"/>
        </w:rPr>
      </w:pPr>
    </w:p>
    <w:p w:rsidR="00354481" w:rsidRDefault="00354481" w:rsidP="00354481">
      <w:pPr>
        <w:pStyle w:val="NoSpacing"/>
        <w:suppressLineNumbers/>
        <w:rPr>
          <w:rFonts w:ascii="Times New Roman" w:hAnsi="Times New Roman"/>
          <w:sz w:val="24"/>
          <w:szCs w:val="24"/>
        </w:rPr>
      </w:pPr>
      <w:r>
        <w:rPr>
          <w:rFonts w:ascii="Times New Roman" w:hAnsi="Times New Roman"/>
          <w:sz w:val="24"/>
          <w:szCs w:val="24"/>
        </w:rPr>
        <w:t>By Council Members Barron, Brannan and Koslowitz</w:t>
      </w:r>
    </w:p>
    <w:p w:rsidR="00354481" w:rsidRDefault="00354481" w:rsidP="00354481">
      <w:pPr>
        <w:pStyle w:val="NoSpacing"/>
        <w:suppressLineNumbers/>
        <w:rPr>
          <w:rFonts w:ascii="Times New Roman" w:hAnsi="Times New Roman"/>
          <w:sz w:val="24"/>
          <w:szCs w:val="24"/>
        </w:rPr>
      </w:pPr>
    </w:p>
    <w:p w:rsidR="00354481" w:rsidRPr="00EE5373" w:rsidRDefault="00354481" w:rsidP="00354481">
      <w:pPr>
        <w:pStyle w:val="NoSpacing"/>
        <w:suppressLineNumbers/>
        <w:rPr>
          <w:rFonts w:ascii="Times New Roman" w:hAnsi="Times New Roman"/>
          <w:vanish/>
          <w:sz w:val="24"/>
          <w:szCs w:val="24"/>
        </w:rPr>
      </w:pPr>
      <w:r w:rsidRPr="00EE5373">
        <w:rPr>
          <w:rFonts w:ascii="Times New Roman" w:hAnsi="Times New Roman"/>
          <w:vanish/>
          <w:sz w:val="24"/>
          <w:szCs w:val="24"/>
        </w:rPr>
        <w:t>..Title</w:t>
      </w:r>
    </w:p>
    <w:p w:rsidR="00354481" w:rsidRDefault="00354481" w:rsidP="00354481">
      <w:pPr>
        <w:pStyle w:val="NoSpacing"/>
        <w:suppressLineNumbers/>
        <w:rPr>
          <w:rFonts w:ascii="Times New Roman" w:hAnsi="Times New Roman"/>
          <w:sz w:val="24"/>
          <w:szCs w:val="24"/>
        </w:rPr>
      </w:pPr>
      <w:r>
        <w:rPr>
          <w:rFonts w:ascii="Times New Roman" w:hAnsi="Times New Roman"/>
          <w:sz w:val="24"/>
          <w:szCs w:val="24"/>
        </w:rPr>
        <w:t>A Local Law to amend the administrative code of the city of New York, in relation to evictions of elderly tenants</w:t>
      </w:r>
    </w:p>
    <w:p w:rsidR="00354481" w:rsidRPr="00EE5373" w:rsidRDefault="00354481" w:rsidP="00354481">
      <w:pPr>
        <w:pStyle w:val="NoSpacing"/>
        <w:suppressLineNumbers/>
        <w:rPr>
          <w:rFonts w:ascii="Times New Roman" w:hAnsi="Times New Roman"/>
          <w:vanish/>
          <w:sz w:val="24"/>
          <w:szCs w:val="24"/>
        </w:rPr>
      </w:pPr>
      <w:r w:rsidRPr="00EE5373">
        <w:rPr>
          <w:rFonts w:ascii="Times New Roman" w:hAnsi="Times New Roman"/>
          <w:vanish/>
          <w:sz w:val="24"/>
          <w:szCs w:val="24"/>
        </w:rPr>
        <w:t>..Body</w:t>
      </w:r>
    </w:p>
    <w:p w:rsidR="00354481" w:rsidRDefault="00354481" w:rsidP="00354481">
      <w:pPr>
        <w:pStyle w:val="NoSpacing"/>
        <w:suppressLineNumbers/>
        <w:rPr>
          <w:rFonts w:ascii="Times New Roman" w:hAnsi="Times New Roman"/>
          <w:sz w:val="24"/>
          <w:szCs w:val="24"/>
        </w:rPr>
      </w:pPr>
    </w:p>
    <w:p w:rsidR="00354481" w:rsidRDefault="00354481" w:rsidP="00354481">
      <w:pPr>
        <w:pStyle w:val="NoSpacing"/>
        <w:suppressLineNumbers/>
        <w:rPr>
          <w:rFonts w:ascii="Times New Roman" w:hAnsi="Times New Roman"/>
          <w:sz w:val="24"/>
          <w:szCs w:val="24"/>
          <w:u w:val="single"/>
        </w:rPr>
      </w:pPr>
      <w:r>
        <w:rPr>
          <w:rFonts w:ascii="Times New Roman" w:hAnsi="Times New Roman"/>
          <w:sz w:val="24"/>
          <w:szCs w:val="24"/>
          <w:u w:val="single"/>
        </w:rPr>
        <w:t>Be it enacted by the Council as follows:</w:t>
      </w:r>
    </w:p>
    <w:p w:rsidR="00354481" w:rsidRPr="00995878" w:rsidRDefault="00354481" w:rsidP="00354481">
      <w:pPr>
        <w:pStyle w:val="NoSpacing"/>
        <w:suppressLineNumbers/>
        <w:rPr>
          <w:rFonts w:ascii="Times New Roman" w:hAnsi="Times New Roman"/>
          <w:sz w:val="24"/>
          <w:szCs w:val="24"/>
          <w:u w:val="single"/>
        </w:rPr>
      </w:pPr>
    </w:p>
    <w:p w:rsidR="00354481" w:rsidRDefault="00354481" w:rsidP="00354481">
      <w:pPr>
        <w:pStyle w:val="NoSpacing"/>
        <w:spacing w:line="480" w:lineRule="auto"/>
        <w:ind w:firstLine="720"/>
        <w:rPr>
          <w:rFonts w:ascii="Times New Roman" w:hAnsi="Times New Roman"/>
          <w:sz w:val="24"/>
          <w:szCs w:val="24"/>
        </w:rPr>
      </w:pPr>
      <w:r>
        <w:rPr>
          <w:rFonts w:ascii="Times New Roman" w:hAnsi="Times New Roman"/>
          <w:sz w:val="24"/>
          <w:szCs w:val="24"/>
        </w:rPr>
        <w:t>Section 1. Title 26 of the administrative code of the city of New York is amended by adding a new chapter 18 to read as follows:</w:t>
      </w:r>
    </w:p>
    <w:p w:rsidR="00354481" w:rsidRDefault="00354481" w:rsidP="00354481">
      <w:pPr>
        <w:pStyle w:val="NoSpacing"/>
        <w:spacing w:line="480" w:lineRule="auto"/>
        <w:jc w:val="center"/>
        <w:rPr>
          <w:rFonts w:ascii="Times New Roman" w:hAnsi="Times New Roman"/>
          <w:sz w:val="24"/>
          <w:szCs w:val="24"/>
          <w:u w:val="single"/>
        </w:rPr>
      </w:pPr>
      <w:r w:rsidRPr="00A12287">
        <w:rPr>
          <w:rFonts w:ascii="Times New Roman" w:hAnsi="Times New Roman"/>
          <w:sz w:val="24"/>
          <w:szCs w:val="24"/>
          <w:u w:val="single"/>
        </w:rPr>
        <w:t>CHAPTER 1</w:t>
      </w:r>
      <w:r>
        <w:rPr>
          <w:rFonts w:ascii="Times New Roman" w:hAnsi="Times New Roman"/>
          <w:sz w:val="24"/>
          <w:szCs w:val="24"/>
          <w:u w:val="single"/>
        </w:rPr>
        <w:t>8</w:t>
      </w:r>
    </w:p>
    <w:p w:rsidR="00354481" w:rsidRPr="004A4454" w:rsidRDefault="00354481" w:rsidP="00354481">
      <w:pPr>
        <w:pStyle w:val="NoSpacing"/>
        <w:spacing w:line="480" w:lineRule="auto"/>
        <w:jc w:val="center"/>
        <w:rPr>
          <w:rFonts w:ascii="Times New Roman" w:hAnsi="Times New Roman"/>
          <w:sz w:val="24"/>
          <w:szCs w:val="24"/>
          <w:u w:val="single"/>
        </w:rPr>
      </w:pPr>
      <w:r>
        <w:rPr>
          <w:rFonts w:ascii="Times New Roman" w:hAnsi="Times New Roman"/>
          <w:sz w:val="24"/>
          <w:szCs w:val="24"/>
          <w:u w:val="single"/>
        </w:rPr>
        <w:t>EVICTIONS OF ELDERLY TENANTS</w:t>
      </w:r>
    </w:p>
    <w:p w:rsidR="00354481" w:rsidRPr="00654434" w:rsidRDefault="00354481" w:rsidP="00354481">
      <w:pPr>
        <w:pStyle w:val="NoSpacing"/>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u w:val="single"/>
        </w:rPr>
        <w:t>§ 26-1801 Definitions.</w:t>
      </w:r>
    </w:p>
    <w:p w:rsidR="00354481" w:rsidRDefault="00354481" w:rsidP="00354481">
      <w:pPr>
        <w:pStyle w:val="NoSpacing"/>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u w:val="single"/>
        </w:rPr>
        <w:t>§ 26-1802 Notification requirement.</w:t>
      </w:r>
    </w:p>
    <w:p w:rsidR="00354481" w:rsidRDefault="00354481" w:rsidP="00354481">
      <w:pPr>
        <w:pStyle w:val="NoSpacing"/>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u w:val="single"/>
        </w:rPr>
        <w:t>§ 26-1803 Tenant assistance.</w:t>
      </w:r>
    </w:p>
    <w:p w:rsidR="00354481" w:rsidRPr="00654434" w:rsidRDefault="00354481" w:rsidP="00354481">
      <w:pPr>
        <w:pStyle w:val="NoSpacing"/>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u w:val="single"/>
        </w:rPr>
        <w:t>§ 26-1804 Reporting.</w:t>
      </w:r>
    </w:p>
    <w:p w:rsidR="00354481" w:rsidRDefault="00354481" w:rsidP="00354481">
      <w:pPr>
        <w:pStyle w:val="NoSpacing"/>
        <w:rPr>
          <w:rFonts w:ascii="Times New Roman" w:hAnsi="Times New Roman"/>
          <w:sz w:val="24"/>
          <w:szCs w:val="24"/>
          <w:u w:val="single"/>
        </w:rPr>
      </w:pPr>
      <w:r>
        <w:rPr>
          <w:rFonts w:ascii="Times New Roman" w:hAnsi="Times New Roman"/>
          <w:sz w:val="24"/>
          <w:szCs w:val="24"/>
        </w:rPr>
        <w:tab/>
      </w:r>
      <w:r w:rsidRPr="00654434">
        <w:rPr>
          <w:rFonts w:ascii="Times New Roman" w:hAnsi="Times New Roman"/>
          <w:sz w:val="24"/>
          <w:szCs w:val="24"/>
          <w:u w:val="single"/>
        </w:rPr>
        <w:t>§</w:t>
      </w:r>
      <w:r>
        <w:rPr>
          <w:rFonts w:ascii="Times New Roman" w:hAnsi="Times New Roman"/>
          <w:sz w:val="24"/>
          <w:szCs w:val="24"/>
          <w:u w:val="single"/>
        </w:rPr>
        <w:t xml:space="preserve"> 26-18</w:t>
      </w:r>
      <w:r w:rsidRPr="00654434">
        <w:rPr>
          <w:rFonts w:ascii="Times New Roman" w:hAnsi="Times New Roman"/>
          <w:sz w:val="24"/>
          <w:szCs w:val="24"/>
          <w:u w:val="single"/>
        </w:rPr>
        <w:t>05 Violations.</w:t>
      </w:r>
    </w:p>
    <w:p w:rsidR="00354481" w:rsidRDefault="00354481" w:rsidP="00354481">
      <w:pPr>
        <w:pStyle w:val="NoSpacing"/>
        <w:rPr>
          <w:rFonts w:ascii="Times New Roman" w:hAnsi="Times New Roman"/>
          <w:sz w:val="24"/>
          <w:szCs w:val="24"/>
          <w:u w:val="single"/>
        </w:rPr>
      </w:pPr>
    </w:p>
    <w:p w:rsidR="00354481" w:rsidRDefault="00354481" w:rsidP="00354481">
      <w:pPr>
        <w:pStyle w:val="NoSpacing"/>
        <w:spacing w:line="480" w:lineRule="auto"/>
        <w:ind w:firstLine="720"/>
        <w:rPr>
          <w:rFonts w:ascii="Times New Roman" w:hAnsi="Times New Roman"/>
          <w:sz w:val="24"/>
          <w:szCs w:val="24"/>
          <w:u w:val="single"/>
        </w:rPr>
      </w:pPr>
      <w:r>
        <w:rPr>
          <w:rFonts w:ascii="Times New Roman" w:hAnsi="Times New Roman"/>
          <w:sz w:val="24"/>
          <w:szCs w:val="24"/>
          <w:u w:val="single"/>
        </w:rPr>
        <w:t>§ 26-1801 Definitions. As used in this chapter, the terms “dwelling unit” and “owner” shall have the meanings ascribed to such terms by the housing maintenance code and:</w:t>
      </w:r>
    </w:p>
    <w:p w:rsidR="00354481" w:rsidRDefault="00354481" w:rsidP="00354481">
      <w:pPr>
        <w:pStyle w:val="NoSpacing"/>
        <w:spacing w:line="480" w:lineRule="auto"/>
        <w:ind w:firstLine="720"/>
        <w:rPr>
          <w:rFonts w:ascii="Times New Roman" w:hAnsi="Times New Roman"/>
          <w:sz w:val="24"/>
          <w:szCs w:val="24"/>
          <w:u w:val="single"/>
        </w:rPr>
      </w:pPr>
      <w:r>
        <w:rPr>
          <w:rFonts w:ascii="Times New Roman" w:hAnsi="Times New Roman"/>
          <w:sz w:val="24"/>
          <w:szCs w:val="24"/>
          <w:u w:val="single"/>
        </w:rPr>
        <w:t>Commissioner. The term “commissioner” means the commissioner of housing preservation and development.</w:t>
      </w:r>
    </w:p>
    <w:p w:rsidR="00354481" w:rsidRDefault="00354481" w:rsidP="00354481">
      <w:pPr>
        <w:pStyle w:val="NoSpacing"/>
        <w:spacing w:line="480" w:lineRule="auto"/>
        <w:rPr>
          <w:rFonts w:ascii="Times New Roman" w:hAnsi="Times New Roman"/>
          <w:sz w:val="24"/>
          <w:szCs w:val="24"/>
          <w:u w:val="single"/>
        </w:rPr>
      </w:pPr>
      <w:r w:rsidRPr="00EF19DB">
        <w:rPr>
          <w:rFonts w:ascii="Times New Roman" w:hAnsi="Times New Roman"/>
          <w:sz w:val="24"/>
          <w:szCs w:val="24"/>
        </w:rPr>
        <w:tab/>
      </w:r>
      <w:r>
        <w:rPr>
          <w:rFonts w:ascii="Times New Roman" w:hAnsi="Times New Roman"/>
          <w:sz w:val="24"/>
          <w:szCs w:val="24"/>
          <w:u w:val="single"/>
        </w:rPr>
        <w:t>Department</w:t>
      </w:r>
      <w:r w:rsidRPr="00EF19DB">
        <w:rPr>
          <w:rFonts w:ascii="Times New Roman" w:hAnsi="Times New Roman"/>
          <w:sz w:val="24"/>
          <w:szCs w:val="24"/>
          <w:u w:val="single"/>
        </w:rPr>
        <w:t xml:space="preserve">. The </w:t>
      </w:r>
      <w:r>
        <w:rPr>
          <w:rFonts w:ascii="Times New Roman" w:hAnsi="Times New Roman"/>
          <w:sz w:val="24"/>
          <w:szCs w:val="24"/>
          <w:u w:val="single"/>
        </w:rPr>
        <w:t xml:space="preserve">term “department” means the </w:t>
      </w:r>
      <w:r w:rsidRPr="00EF19DB">
        <w:rPr>
          <w:rFonts w:ascii="Times New Roman" w:hAnsi="Times New Roman"/>
          <w:sz w:val="24"/>
          <w:szCs w:val="24"/>
          <w:u w:val="single"/>
        </w:rPr>
        <w:t>department o</w:t>
      </w:r>
      <w:r>
        <w:rPr>
          <w:rFonts w:ascii="Times New Roman" w:hAnsi="Times New Roman"/>
          <w:sz w:val="24"/>
          <w:szCs w:val="24"/>
          <w:u w:val="single"/>
        </w:rPr>
        <w:t>f housing preservation and development.</w:t>
      </w:r>
    </w:p>
    <w:p w:rsidR="00354481" w:rsidRDefault="00354481" w:rsidP="00354481">
      <w:pPr>
        <w:pStyle w:val="NoSpacing"/>
        <w:spacing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u w:val="single"/>
        </w:rPr>
        <w:t>Senior. The term “senior” means a person who is sixty-two years of age or older.</w:t>
      </w:r>
    </w:p>
    <w:p w:rsidR="00354481" w:rsidRDefault="00354481" w:rsidP="00354481">
      <w:pPr>
        <w:pStyle w:val="NoSpacing"/>
        <w:spacing w:line="480" w:lineRule="auto"/>
        <w:ind w:firstLine="720"/>
        <w:rPr>
          <w:rFonts w:ascii="Times New Roman" w:hAnsi="Times New Roman"/>
          <w:sz w:val="24"/>
          <w:szCs w:val="24"/>
          <w:u w:val="single"/>
        </w:rPr>
      </w:pPr>
      <w:r>
        <w:rPr>
          <w:rFonts w:ascii="Times New Roman" w:hAnsi="Times New Roman"/>
          <w:sz w:val="24"/>
          <w:szCs w:val="24"/>
          <w:u w:val="single"/>
        </w:rPr>
        <w:t>Senior occupant. The term “senior occupant” means, with respect to a dwelling unit, a person who is (i) a senior or the spouse or domestic partner of a senior and (ii) entitled to the possession or use and occupancy of such unit.</w:t>
      </w:r>
    </w:p>
    <w:p w:rsidR="00354481" w:rsidRDefault="00354481" w:rsidP="00354481">
      <w:pPr>
        <w:pStyle w:val="NoSpacing"/>
        <w:spacing w:line="480" w:lineRule="auto"/>
        <w:ind w:firstLine="720"/>
        <w:rPr>
          <w:rFonts w:ascii="Times New Roman" w:hAnsi="Times New Roman"/>
          <w:sz w:val="24"/>
          <w:szCs w:val="24"/>
          <w:u w:val="single"/>
        </w:rPr>
      </w:pPr>
      <w:r>
        <w:rPr>
          <w:rFonts w:ascii="Times New Roman" w:hAnsi="Times New Roman"/>
          <w:sz w:val="24"/>
          <w:szCs w:val="24"/>
          <w:u w:val="single"/>
        </w:rPr>
        <w:t xml:space="preserve">§ 26-1802 Notification requirement. On or before the day on which an owner serves a petition or notice of petition for a summary proceeding to recover possession of a dwelling unit, </w:t>
      </w:r>
      <w:r>
        <w:rPr>
          <w:rFonts w:ascii="Times New Roman" w:hAnsi="Times New Roman"/>
          <w:sz w:val="24"/>
          <w:szCs w:val="24"/>
          <w:u w:val="single"/>
        </w:rPr>
        <w:lastRenderedPageBreak/>
        <w:t>pursuant to article seven of the real property actions and proceedings law, upon a senior occupant of such unit, the owner shall provide notification to the department of the name, address and phone number of the senior occupant. Such notification shall be in a form and manner determined by the department.</w:t>
      </w:r>
    </w:p>
    <w:p w:rsidR="00354481" w:rsidRDefault="00354481" w:rsidP="00354481">
      <w:pPr>
        <w:pStyle w:val="NoSpacing"/>
        <w:spacing w:line="480" w:lineRule="auto"/>
        <w:ind w:firstLine="720"/>
        <w:rPr>
          <w:rFonts w:ascii="Times New Roman" w:hAnsi="Times New Roman"/>
          <w:sz w:val="24"/>
          <w:szCs w:val="24"/>
          <w:u w:val="single"/>
        </w:rPr>
      </w:pPr>
      <w:r>
        <w:rPr>
          <w:rFonts w:ascii="Times New Roman" w:hAnsi="Times New Roman"/>
          <w:sz w:val="24"/>
          <w:szCs w:val="24"/>
          <w:u w:val="single"/>
        </w:rPr>
        <w:t>§ 26-1803 Tenant assistance. Upon receiving a notice pursuant to section 26-1802, the department shall provide to the senior occupant identified on the notice a list of persons that may provide legal services to senior tenants, including low-income senior tenants, or that may assist such tenants in obtaining legal services.</w:t>
      </w:r>
    </w:p>
    <w:p w:rsidR="00354481" w:rsidRDefault="00354481" w:rsidP="00354481">
      <w:pPr>
        <w:pStyle w:val="NoSpacing"/>
        <w:spacing w:line="480" w:lineRule="auto"/>
        <w:ind w:firstLine="720"/>
        <w:rPr>
          <w:rFonts w:ascii="Times New Roman" w:hAnsi="Times New Roman"/>
          <w:sz w:val="24"/>
          <w:szCs w:val="24"/>
          <w:u w:val="single"/>
        </w:rPr>
      </w:pPr>
      <w:r>
        <w:rPr>
          <w:rFonts w:ascii="Times New Roman" w:hAnsi="Times New Roman"/>
          <w:sz w:val="24"/>
          <w:szCs w:val="24"/>
          <w:u w:val="single"/>
        </w:rPr>
        <w:t>§ 26-1804 Reporting. The commissioner, in conjunction with the commissioner of the commission on human rights, shall analyze the information received pursuant to section 26-1802 and shall, by no later than July first in each year, electronically submit to the mayor and the speaker of the council, and make publicly available online, a report regarding the findings of such analysis including, but not limited to, any trends identified in evictions of senior tenants and any finding or pattern of discrimination against senior tenants with respect to eviction.</w:t>
      </w:r>
    </w:p>
    <w:p w:rsidR="00354481" w:rsidRDefault="00354481" w:rsidP="00354481">
      <w:pPr>
        <w:pStyle w:val="NoSpacing"/>
        <w:spacing w:line="480" w:lineRule="auto"/>
        <w:ind w:firstLine="720"/>
        <w:rPr>
          <w:rFonts w:ascii="Times New Roman" w:hAnsi="Times New Roman"/>
          <w:sz w:val="24"/>
          <w:szCs w:val="24"/>
          <w:u w:val="single"/>
        </w:rPr>
      </w:pPr>
      <w:r>
        <w:rPr>
          <w:rFonts w:ascii="Times New Roman" w:hAnsi="Times New Roman"/>
          <w:sz w:val="24"/>
          <w:szCs w:val="24"/>
          <w:u w:val="single"/>
        </w:rPr>
        <w:t>§ 26-1105 Violations. Any person who violates section 26-1802 shall be guilty of a class A misdemeanor.</w:t>
      </w:r>
    </w:p>
    <w:p w:rsidR="00354481" w:rsidRPr="002B13C1" w:rsidRDefault="00354481" w:rsidP="00354481">
      <w:pPr>
        <w:pStyle w:val="NoSpacing"/>
        <w:spacing w:line="480" w:lineRule="auto"/>
        <w:ind w:firstLine="720"/>
        <w:rPr>
          <w:rFonts w:ascii="Times New Roman" w:hAnsi="Times New Roman"/>
          <w:sz w:val="24"/>
          <w:szCs w:val="24"/>
        </w:rPr>
      </w:pPr>
      <w:r>
        <w:rPr>
          <w:rFonts w:ascii="Times New Roman" w:hAnsi="Times New Roman"/>
          <w:sz w:val="24"/>
          <w:szCs w:val="24"/>
        </w:rPr>
        <w:t>§ 2. This local law takes effect 120 days after it becomes law, except that the commissioner of housing preservation and development may take such measures as are necessary for its implementation, including the promulgation of rules, before such effective date.</w:t>
      </w:r>
    </w:p>
    <w:p w:rsidR="00354481" w:rsidRDefault="00354481" w:rsidP="00354481">
      <w:pPr>
        <w:pStyle w:val="NoSpacing"/>
        <w:suppressLineNumbers/>
        <w:rPr>
          <w:rFonts w:ascii="Times New Roman" w:hAnsi="Times New Roman"/>
          <w:sz w:val="16"/>
          <w:szCs w:val="16"/>
        </w:rPr>
      </w:pPr>
      <w:r>
        <w:rPr>
          <w:rFonts w:ascii="Times New Roman" w:hAnsi="Times New Roman"/>
          <w:sz w:val="16"/>
          <w:szCs w:val="16"/>
        </w:rPr>
        <w:t>LS 22/Int. 477-2014</w:t>
      </w:r>
    </w:p>
    <w:p w:rsidR="00354481" w:rsidRDefault="00354481" w:rsidP="00354481">
      <w:pPr>
        <w:pStyle w:val="NoSpacing"/>
        <w:suppressLineNumbers/>
        <w:rPr>
          <w:rFonts w:ascii="Times New Roman" w:hAnsi="Times New Roman"/>
          <w:sz w:val="16"/>
          <w:szCs w:val="16"/>
        </w:rPr>
      </w:pPr>
      <w:r>
        <w:rPr>
          <w:rFonts w:ascii="Times New Roman" w:hAnsi="Times New Roman"/>
          <w:sz w:val="16"/>
          <w:szCs w:val="16"/>
        </w:rPr>
        <w:t>LS 511</w:t>
      </w:r>
    </w:p>
    <w:p w:rsidR="00354481" w:rsidRPr="00DF04AF" w:rsidRDefault="00354481" w:rsidP="00354481">
      <w:pPr>
        <w:pStyle w:val="NoSpacing"/>
        <w:suppressLineNumbers/>
        <w:spacing w:line="480" w:lineRule="auto"/>
        <w:rPr>
          <w:rFonts w:ascii="Times New Roman" w:hAnsi="Times New Roman"/>
          <w:sz w:val="16"/>
          <w:szCs w:val="16"/>
        </w:rPr>
      </w:pPr>
      <w:r>
        <w:rPr>
          <w:rFonts w:ascii="Times New Roman" w:hAnsi="Times New Roman"/>
          <w:sz w:val="16"/>
          <w:szCs w:val="16"/>
        </w:rPr>
        <w:t>12/14/17 5:51PM</w:t>
      </w:r>
    </w:p>
    <w:p w:rsidR="00354481" w:rsidRDefault="00354481" w:rsidP="00354481">
      <w:pPr>
        <w:jc w:val="center"/>
      </w:pPr>
      <w:r>
        <w:rPr>
          <w:rFonts w:eastAsia="Calibri"/>
          <w:szCs w:val="24"/>
        </w:rPr>
        <w:br w:type="page"/>
      </w:r>
      <w:r>
        <w:lastRenderedPageBreak/>
        <w:t>Int. No. 225</w:t>
      </w:r>
    </w:p>
    <w:p w:rsidR="00354481" w:rsidRDefault="00354481" w:rsidP="00354481">
      <w:pPr>
        <w:jc w:val="center"/>
      </w:pPr>
    </w:p>
    <w:p w:rsidR="00354481" w:rsidRDefault="00354481" w:rsidP="00354481">
      <w:r>
        <w:t>By Council Member Brannan</w:t>
      </w:r>
    </w:p>
    <w:p w:rsidR="00354481" w:rsidRDefault="00354481" w:rsidP="00354481">
      <w:pPr>
        <w:pStyle w:val="BodyText"/>
        <w:spacing w:line="240" w:lineRule="auto"/>
        <w:ind w:firstLine="0"/>
      </w:pPr>
    </w:p>
    <w:p w:rsidR="00354481" w:rsidRPr="00DE5A84" w:rsidRDefault="00354481" w:rsidP="00354481">
      <w:pPr>
        <w:pStyle w:val="BodyText"/>
        <w:spacing w:line="240" w:lineRule="auto"/>
        <w:ind w:firstLine="0"/>
        <w:rPr>
          <w:vanish/>
        </w:rPr>
      </w:pPr>
      <w:r w:rsidRPr="00DE5A84">
        <w:rPr>
          <w:vanish/>
        </w:rPr>
        <w:t>..Title</w:t>
      </w:r>
    </w:p>
    <w:p w:rsidR="00354481" w:rsidRDefault="00354481" w:rsidP="00354481">
      <w:pPr>
        <w:pStyle w:val="BodyText"/>
        <w:spacing w:line="240" w:lineRule="auto"/>
        <w:ind w:firstLine="0"/>
      </w:pPr>
      <w:r>
        <w:t>A Local Law to amend the administrative code of the city of New York, in relation to the installation of protective devices for seniors and persons with a disability who reside in multiple dwellings, and the provision of a tax abatement for certain related installations</w:t>
      </w:r>
    </w:p>
    <w:p w:rsidR="00354481" w:rsidRPr="00DE5A84" w:rsidRDefault="00354481" w:rsidP="00354481">
      <w:pPr>
        <w:pStyle w:val="BodyText"/>
        <w:spacing w:line="240" w:lineRule="auto"/>
        <w:ind w:firstLine="0"/>
        <w:rPr>
          <w:vanish/>
        </w:rPr>
      </w:pPr>
      <w:r w:rsidRPr="00DE5A84">
        <w:rPr>
          <w:vanish/>
        </w:rPr>
        <w:t>..Body</w:t>
      </w:r>
    </w:p>
    <w:p w:rsidR="00354481" w:rsidRDefault="00354481" w:rsidP="00354481">
      <w:pPr>
        <w:pStyle w:val="BodyText"/>
        <w:spacing w:line="240" w:lineRule="auto"/>
        <w:ind w:firstLine="0"/>
        <w:rPr>
          <w:u w:val="single"/>
        </w:rPr>
      </w:pPr>
    </w:p>
    <w:p w:rsidR="00354481" w:rsidRDefault="00354481" w:rsidP="00354481">
      <w:r>
        <w:rPr>
          <w:u w:val="single"/>
        </w:rPr>
        <w:t>Be it enacted by the Council as follows</w:t>
      </w:r>
      <w:r w:rsidRPr="005B5DE4">
        <w:rPr>
          <w:u w:val="single"/>
        </w:rPr>
        <w:t>:</w:t>
      </w:r>
    </w:p>
    <w:p w:rsidR="00354481" w:rsidRDefault="00354481" w:rsidP="00354481"/>
    <w:p w:rsidR="00354481" w:rsidRDefault="00354481" w:rsidP="00354481">
      <w:pPr>
        <w:spacing w:line="480" w:lineRule="auto"/>
        <w:sectPr w:rsidR="00354481" w:rsidSect="00354481">
          <w:headerReference w:type="even" r:id="rId9"/>
          <w:headerReference w:type="default" r:id="rId10"/>
          <w:footerReference w:type="default" r:id="rId11"/>
          <w:headerReference w:type="first" r:id="rId12"/>
          <w:footerReference w:type="first" r:id="rId13"/>
          <w:type w:val="continuous"/>
          <w:pgSz w:w="12240" w:h="15840"/>
          <w:pgMar w:top="1440" w:right="1440" w:bottom="1440" w:left="1440" w:header="720" w:footer="720" w:gutter="0"/>
          <w:cols w:space="720"/>
          <w:docGrid w:linePitch="360"/>
        </w:sectPr>
      </w:pPr>
    </w:p>
    <w:p w:rsidR="00354481" w:rsidRPr="00395650" w:rsidRDefault="00354481" w:rsidP="00354481">
      <w:pPr>
        <w:shd w:val="clear" w:color="auto" w:fill="FFFFFF"/>
        <w:spacing w:line="480" w:lineRule="auto"/>
        <w:rPr>
          <w:color w:val="000000"/>
          <w:sz w:val="27"/>
          <w:szCs w:val="27"/>
        </w:rPr>
      </w:pPr>
      <w:r>
        <w:t xml:space="preserve">Section 1. </w:t>
      </w:r>
      <w:r w:rsidRPr="00395650">
        <w:rPr>
          <w:color w:val="000000"/>
        </w:rPr>
        <w:t>Article 11 of subchapter 2 of chapter 2 of title 27 of the administrative code of the city of New York is hereby amended by adding a new section 27-2046.</w:t>
      </w:r>
      <w:r>
        <w:rPr>
          <w:color w:val="000000"/>
        </w:rPr>
        <w:t>4</w:t>
      </w:r>
      <w:r w:rsidRPr="00395650">
        <w:rPr>
          <w:color w:val="000000"/>
        </w:rPr>
        <w:t xml:space="preserve"> to read as follows:</w:t>
      </w:r>
    </w:p>
    <w:p w:rsidR="00354481" w:rsidRPr="00395650" w:rsidRDefault="00354481" w:rsidP="00354481">
      <w:pPr>
        <w:shd w:val="clear" w:color="auto" w:fill="FFFFFF"/>
        <w:spacing w:line="480" w:lineRule="auto"/>
        <w:rPr>
          <w:color w:val="000000"/>
          <w:sz w:val="27"/>
          <w:szCs w:val="27"/>
        </w:rPr>
      </w:pPr>
      <w:r w:rsidRPr="00395650">
        <w:rPr>
          <w:color w:val="000000"/>
        </w:rPr>
        <w:t>      </w:t>
      </w:r>
      <w:r>
        <w:rPr>
          <w:color w:val="000000"/>
        </w:rPr>
        <w:tab/>
      </w:r>
      <w:r w:rsidRPr="00395650">
        <w:rPr>
          <w:color w:val="000000"/>
          <w:u w:val="single"/>
        </w:rPr>
        <w:t>§ 27-2046.</w:t>
      </w:r>
      <w:r>
        <w:rPr>
          <w:color w:val="000000"/>
          <w:u w:val="single"/>
        </w:rPr>
        <w:t>4</w:t>
      </w:r>
      <w:r w:rsidRPr="00395650">
        <w:rPr>
          <w:color w:val="000000"/>
          <w:u w:val="single"/>
        </w:rPr>
        <w:t xml:space="preserve"> Protective devices for senior citizens and persons with a disability; notification to tenants.  a. It shall be the duty of the owner, lessee, agent or other person who manages or controls a multiple dwelling to:</w:t>
      </w:r>
    </w:p>
    <w:p w:rsidR="00354481" w:rsidRPr="00395650" w:rsidRDefault="00354481" w:rsidP="00D935CE">
      <w:pPr>
        <w:shd w:val="clear" w:color="auto" w:fill="FFFFFF"/>
        <w:spacing w:line="480" w:lineRule="auto"/>
        <w:ind w:firstLine="720"/>
        <w:rPr>
          <w:color w:val="000000"/>
          <w:sz w:val="27"/>
          <w:szCs w:val="27"/>
        </w:rPr>
      </w:pPr>
      <w:r w:rsidRPr="00395650">
        <w:rPr>
          <w:color w:val="000000"/>
          <w:u w:val="single"/>
        </w:rPr>
        <w:t>1.  provide, install and maintain in a safe manner grab bars on the walls of shower and bathtub stalls and adjacent to each toilet or water closet in each residential unit when requested by a senior citizen or tenant residing therein who is a person with a disability, or by a tenant residing therein with a senior citizen or person with a disability;</w:t>
      </w:r>
    </w:p>
    <w:p w:rsidR="00354481" w:rsidRPr="00395650" w:rsidRDefault="00354481" w:rsidP="00D935CE">
      <w:pPr>
        <w:shd w:val="clear" w:color="auto" w:fill="FFFFFF"/>
        <w:spacing w:line="480" w:lineRule="auto"/>
        <w:ind w:firstLine="720"/>
        <w:rPr>
          <w:color w:val="000000"/>
          <w:sz w:val="27"/>
          <w:szCs w:val="27"/>
        </w:rPr>
      </w:pPr>
      <w:r w:rsidRPr="00395650">
        <w:rPr>
          <w:color w:val="000000"/>
          <w:u w:val="single"/>
        </w:rPr>
        <w:t>2.  provide, install and maintain in a safe manner treads on the floors of showers and bathtub stalls in each residential unit when requested by a senior citizen or tenant residing therein who is a person with a disability, or by a tenant residing therein with a senior citizen or person with a disability; and</w:t>
      </w:r>
    </w:p>
    <w:p w:rsidR="00354481" w:rsidRPr="00395650" w:rsidRDefault="00354481" w:rsidP="00D935CE">
      <w:pPr>
        <w:shd w:val="clear" w:color="auto" w:fill="FFFFFF"/>
        <w:spacing w:line="480" w:lineRule="auto"/>
        <w:ind w:firstLine="720"/>
        <w:rPr>
          <w:color w:val="000000"/>
          <w:sz w:val="27"/>
          <w:szCs w:val="27"/>
        </w:rPr>
      </w:pPr>
      <w:r w:rsidRPr="00395650">
        <w:rPr>
          <w:color w:val="000000"/>
          <w:u w:val="single"/>
        </w:rPr>
        <w:t>3.  cause to be delivered to each residential unit a notice advising occupants of the obligation of such owner, lessee, agent or other person who manages or controls a multiple dwelling to install the protective devices referred to in paragraphs 1 and 2 of this subdivision at no cost to the tenants. Such notice shall be provided on an annual basis in a form and manner approved by the department.</w:t>
      </w:r>
    </w:p>
    <w:p w:rsidR="00354481" w:rsidRPr="00395650" w:rsidRDefault="00354481" w:rsidP="00D935CE">
      <w:pPr>
        <w:shd w:val="clear" w:color="auto" w:fill="FFFFFF"/>
        <w:spacing w:line="480" w:lineRule="auto"/>
        <w:ind w:firstLine="720"/>
        <w:rPr>
          <w:color w:val="000000"/>
          <w:sz w:val="27"/>
          <w:szCs w:val="27"/>
        </w:rPr>
      </w:pPr>
      <w:r w:rsidRPr="00395650">
        <w:rPr>
          <w:color w:val="000000"/>
          <w:u w:val="single"/>
        </w:rPr>
        <w:lastRenderedPageBreak/>
        <w:t>b. The department shall promulgate such rules as it deems necessary to comply with the provisions of this section with regard to the annual notice to tenants, and the safety standards and maintenance of the protective devices required by this section.</w:t>
      </w:r>
    </w:p>
    <w:p w:rsidR="00354481" w:rsidRPr="00395650" w:rsidRDefault="00354481" w:rsidP="00D935CE">
      <w:pPr>
        <w:shd w:val="clear" w:color="auto" w:fill="FFFFFF"/>
        <w:spacing w:line="480" w:lineRule="auto"/>
        <w:ind w:firstLine="720"/>
        <w:rPr>
          <w:color w:val="000000"/>
          <w:sz w:val="27"/>
          <w:szCs w:val="27"/>
        </w:rPr>
      </w:pPr>
      <w:r w:rsidRPr="00395650">
        <w:rPr>
          <w:color w:val="000000"/>
          <w:u w:val="single"/>
        </w:rPr>
        <w:t>c. Any person who violates the provisions of this section, or the rules promulgated pursuant to this section, shall be guilty of a misdemeanor punishable by a fine of up to five hundred dollars or imprisonment for up to six months or both.  In addition, such a person shall also be subject to a civil penalty of not more than five hundred dollars per violation.</w:t>
      </w:r>
    </w:p>
    <w:p w:rsidR="00354481" w:rsidRPr="00395650" w:rsidRDefault="00354481" w:rsidP="00D935CE">
      <w:pPr>
        <w:shd w:val="clear" w:color="auto" w:fill="FFFFFF"/>
        <w:spacing w:line="480" w:lineRule="auto"/>
        <w:ind w:firstLine="720"/>
        <w:rPr>
          <w:color w:val="000000"/>
          <w:sz w:val="27"/>
          <w:szCs w:val="27"/>
        </w:rPr>
      </w:pPr>
      <w:r w:rsidRPr="00395650">
        <w:rPr>
          <w:color w:val="000000"/>
          <w:u w:val="single"/>
        </w:rPr>
        <w:t>d. As used in this section, the following terms have the following meanings:</w:t>
      </w:r>
    </w:p>
    <w:p w:rsidR="00354481" w:rsidRPr="00395650" w:rsidRDefault="00354481" w:rsidP="00D935CE">
      <w:pPr>
        <w:shd w:val="clear" w:color="auto" w:fill="FFFFFF"/>
        <w:spacing w:line="480" w:lineRule="auto"/>
        <w:ind w:firstLine="720"/>
        <w:rPr>
          <w:color w:val="000000"/>
          <w:sz w:val="27"/>
          <w:szCs w:val="27"/>
        </w:rPr>
      </w:pPr>
      <w:r w:rsidRPr="00395650">
        <w:rPr>
          <w:color w:val="000000"/>
          <w:u w:val="single"/>
        </w:rPr>
        <w:t>1. "Senior citizen" means a person who is at least sixty years of age.</w:t>
      </w:r>
    </w:p>
    <w:p w:rsidR="00354481" w:rsidRPr="00395650" w:rsidRDefault="00354481" w:rsidP="00D935CE">
      <w:pPr>
        <w:shd w:val="clear" w:color="auto" w:fill="FFFFFF"/>
        <w:spacing w:line="480" w:lineRule="auto"/>
        <w:ind w:firstLine="720"/>
        <w:rPr>
          <w:color w:val="000000"/>
          <w:sz w:val="27"/>
          <w:szCs w:val="27"/>
        </w:rPr>
      </w:pPr>
      <w:r w:rsidRPr="00395650">
        <w:rPr>
          <w:color w:val="000000"/>
          <w:u w:val="single"/>
        </w:rPr>
        <w:t>2. "Person with a disability" means an individual who provides documentation indicating that he or she is recognized by any city, state or federal authority or agency as having a disability which impedes vision or mobility, or who provides medical evidence indicating that he or she has a disability impeding vision or mobility.</w:t>
      </w:r>
    </w:p>
    <w:p w:rsidR="00354481" w:rsidRPr="00395650" w:rsidRDefault="00354481" w:rsidP="00D935CE">
      <w:pPr>
        <w:shd w:val="clear" w:color="auto" w:fill="FFFFFF"/>
        <w:spacing w:line="480" w:lineRule="auto"/>
        <w:ind w:firstLine="720"/>
        <w:rPr>
          <w:color w:val="000000"/>
          <w:sz w:val="27"/>
          <w:szCs w:val="27"/>
        </w:rPr>
      </w:pPr>
      <w:r w:rsidRPr="00395650">
        <w:rPr>
          <w:color w:val="000000"/>
        </w:rPr>
        <w:t>§2. Part 1 of subchapter 2 of chapter 2 of title 11 of the administrative code of the city of New York is amended by adding a new section 11-245.</w:t>
      </w:r>
      <w:r>
        <w:rPr>
          <w:color w:val="000000"/>
        </w:rPr>
        <w:t>11</w:t>
      </w:r>
      <w:r w:rsidRPr="00395650">
        <w:rPr>
          <w:color w:val="000000"/>
        </w:rPr>
        <w:t xml:space="preserve"> to read as follows:</w:t>
      </w:r>
    </w:p>
    <w:p w:rsidR="00354481" w:rsidRPr="00395650" w:rsidRDefault="00354481" w:rsidP="00D935CE">
      <w:pPr>
        <w:shd w:val="clear" w:color="auto" w:fill="FFFFFF"/>
        <w:spacing w:line="480" w:lineRule="auto"/>
        <w:ind w:firstLine="720"/>
        <w:rPr>
          <w:color w:val="000000"/>
          <w:sz w:val="27"/>
          <w:szCs w:val="27"/>
        </w:rPr>
      </w:pPr>
      <w:r w:rsidRPr="00395650">
        <w:rPr>
          <w:color w:val="000000"/>
          <w:u w:val="single"/>
        </w:rPr>
        <w:t>§ 11-245.</w:t>
      </w:r>
      <w:r>
        <w:rPr>
          <w:color w:val="000000"/>
          <w:u w:val="single"/>
        </w:rPr>
        <w:t>11</w:t>
      </w:r>
      <w:r w:rsidRPr="00395650">
        <w:rPr>
          <w:color w:val="000000"/>
          <w:u w:val="single"/>
        </w:rPr>
        <w:t xml:space="preserve"> Tax abatement for the installation of grab bars. a. For the purposes of this section, the following terms have the following meanings:</w:t>
      </w:r>
    </w:p>
    <w:p w:rsidR="00354481" w:rsidRPr="00395650" w:rsidRDefault="00354481" w:rsidP="00D935CE">
      <w:pPr>
        <w:shd w:val="clear" w:color="auto" w:fill="FFFFFF"/>
        <w:spacing w:line="480" w:lineRule="auto"/>
        <w:ind w:firstLine="720"/>
        <w:rPr>
          <w:color w:val="000000"/>
          <w:sz w:val="27"/>
          <w:szCs w:val="27"/>
        </w:rPr>
      </w:pPr>
      <w:r w:rsidRPr="00395650">
        <w:rPr>
          <w:color w:val="000000"/>
          <w:u w:val="single"/>
        </w:rPr>
        <w:t>1. "Eligible owner" means a person who does not reside in a residential unit and installed grab bars on the walls of shower and bathtub stalls and adjacent to each toilet or water closet in each residential unit upon a request by a senior citizen or person with a disability residing therein or by a tenant residing therein with a senior citizen or person with a disability.</w:t>
      </w:r>
    </w:p>
    <w:p w:rsidR="00354481" w:rsidRPr="00395650" w:rsidRDefault="00354481" w:rsidP="00D935CE">
      <w:pPr>
        <w:shd w:val="clear" w:color="auto" w:fill="FFFFFF"/>
        <w:spacing w:line="480" w:lineRule="auto"/>
        <w:ind w:firstLine="720"/>
        <w:rPr>
          <w:color w:val="000000"/>
          <w:sz w:val="27"/>
          <w:szCs w:val="27"/>
        </w:rPr>
      </w:pPr>
      <w:r w:rsidRPr="00395650">
        <w:rPr>
          <w:color w:val="000000"/>
          <w:u w:val="single"/>
        </w:rPr>
        <w:lastRenderedPageBreak/>
        <w:t>2. "Multiple dwelling unit" means a dwelling unit in a building in which there is either rented, leased, let or hired out to be occupied, or is occupied as the residence or home of two or more occupants living independently of each other.</w:t>
      </w:r>
    </w:p>
    <w:p w:rsidR="00354481" w:rsidRPr="00395650" w:rsidRDefault="00354481" w:rsidP="00D935CE">
      <w:pPr>
        <w:shd w:val="clear" w:color="auto" w:fill="FFFFFF"/>
        <w:spacing w:line="480" w:lineRule="auto"/>
        <w:ind w:firstLine="720"/>
        <w:rPr>
          <w:color w:val="000000"/>
          <w:sz w:val="27"/>
          <w:szCs w:val="27"/>
        </w:rPr>
      </w:pPr>
      <w:r w:rsidRPr="00395650">
        <w:rPr>
          <w:color w:val="000000"/>
          <w:u w:val="single"/>
        </w:rPr>
        <w:t>3.  "Person with a disability" means an individual who provides documentation indicating that he or she is recognized by any city, state or federal authority or agency as having a disability which impedes vision or mobility, or who provides medical evidence indicating that he or she has a disability impeding vision or mobility which would entitle him or her to receive the protective devices referred to in paragraphs 1 and 2 of subdivision a of section § 27-2046.3 of this code.</w:t>
      </w:r>
    </w:p>
    <w:p w:rsidR="00354481" w:rsidRPr="00395650" w:rsidRDefault="00354481" w:rsidP="00D935CE">
      <w:pPr>
        <w:shd w:val="clear" w:color="auto" w:fill="FFFFFF"/>
        <w:spacing w:line="480" w:lineRule="auto"/>
        <w:ind w:firstLine="720"/>
        <w:rPr>
          <w:color w:val="000000"/>
          <w:sz w:val="27"/>
          <w:szCs w:val="27"/>
        </w:rPr>
      </w:pPr>
      <w:r w:rsidRPr="00395650">
        <w:rPr>
          <w:color w:val="000000"/>
          <w:u w:val="single"/>
        </w:rPr>
        <w:t>4. "Senior citizen" shall mean a person who is at least sixty years of age.</w:t>
      </w:r>
    </w:p>
    <w:p w:rsidR="00354481" w:rsidRPr="00395650" w:rsidRDefault="00354481" w:rsidP="00D935CE">
      <w:pPr>
        <w:shd w:val="clear" w:color="auto" w:fill="FFFFFF"/>
        <w:spacing w:line="480" w:lineRule="auto"/>
        <w:ind w:firstLine="720"/>
        <w:rPr>
          <w:color w:val="000000"/>
          <w:sz w:val="27"/>
          <w:szCs w:val="27"/>
        </w:rPr>
      </w:pPr>
      <w:r w:rsidRPr="00395650">
        <w:rPr>
          <w:color w:val="000000"/>
          <w:u w:val="single"/>
        </w:rPr>
        <w:t>b. For fiscal years beginning on and after the first of July, two thousand fourteen, an eligible owner of a multiple dwelling unit shall be eligible to receive an abatement of taxes imposed on such multiple dwelling unit for each grab bar installed in such multiple dwelling unit in one of the following amounts:</w:t>
      </w:r>
    </w:p>
    <w:p w:rsidR="00354481" w:rsidRPr="00395650" w:rsidRDefault="00354481" w:rsidP="00D935CE">
      <w:pPr>
        <w:shd w:val="clear" w:color="auto" w:fill="FFFFFF"/>
        <w:spacing w:line="480" w:lineRule="auto"/>
        <w:ind w:firstLine="720"/>
        <w:rPr>
          <w:color w:val="000000"/>
          <w:sz w:val="27"/>
          <w:szCs w:val="27"/>
        </w:rPr>
      </w:pPr>
      <w:r w:rsidRPr="00395650">
        <w:rPr>
          <w:color w:val="000000"/>
          <w:u w:val="single"/>
        </w:rPr>
        <w:t>(i) where the eligible owner purchases and installs a grab bar within the tub area requiring anchoring by screws or toggles where there is no removal of surface tiles or surrounding facade, an amount not to exceed two hundred fifty dollars; or</w:t>
      </w:r>
    </w:p>
    <w:p w:rsidR="00354481" w:rsidRPr="00395650" w:rsidRDefault="00354481" w:rsidP="00D935CE">
      <w:pPr>
        <w:shd w:val="clear" w:color="auto" w:fill="FFFFFF"/>
        <w:spacing w:line="480" w:lineRule="auto"/>
        <w:ind w:firstLine="720"/>
        <w:rPr>
          <w:color w:val="000000"/>
          <w:sz w:val="27"/>
          <w:szCs w:val="27"/>
        </w:rPr>
      </w:pPr>
      <w:r w:rsidRPr="00395650">
        <w:rPr>
          <w:color w:val="000000"/>
          <w:u w:val="single"/>
        </w:rPr>
        <w:t>(ii) where the eligible owner purchases and installs a grab bar requiring anchoring that entails the removal and replacement of surrounding surface tiles or facade, an amount not to exceed four hundred dollars; or</w:t>
      </w:r>
    </w:p>
    <w:p w:rsidR="00354481" w:rsidRPr="00395650" w:rsidRDefault="00354481" w:rsidP="00D935CE">
      <w:pPr>
        <w:shd w:val="clear" w:color="auto" w:fill="FFFFFF"/>
        <w:spacing w:line="480" w:lineRule="auto"/>
        <w:ind w:firstLine="720"/>
        <w:rPr>
          <w:color w:val="000000"/>
          <w:sz w:val="27"/>
          <w:szCs w:val="27"/>
        </w:rPr>
      </w:pPr>
      <w:r w:rsidRPr="00395650">
        <w:rPr>
          <w:color w:val="000000"/>
          <w:u w:val="single"/>
        </w:rPr>
        <w:t>(iii) where such owner purchases and installs a grab bar requiring anchoring that entails the removal and replacement of surface lines and underlayment behind the removed tiles, an amount not to exceed eight hundred dollars.</w:t>
      </w:r>
    </w:p>
    <w:p w:rsidR="00354481" w:rsidRPr="00395650" w:rsidRDefault="00354481" w:rsidP="00D935CE">
      <w:pPr>
        <w:shd w:val="clear" w:color="auto" w:fill="FFFFFF"/>
        <w:spacing w:line="480" w:lineRule="auto"/>
        <w:ind w:firstLine="720"/>
        <w:rPr>
          <w:color w:val="000000"/>
          <w:sz w:val="27"/>
          <w:szCs w:val="27"/>
        </w:rPr>
      </w:pPr>
      <w:r w:rsidRPr="00395650">
        <w:rPr>
          <w:color w:val="000000"/>
          <w:u w:val="single"/>
        </w:rPr>
        <w:lastRenderedPageBreak/>
        <w:t>c. Notwithstanding the provisions of subdivision b of this section, no abatement of real property taxes in accordance with this section shall exceed the actual cost to the eligible owner of the purchase and installation of a grab bar.</w:t>
      </w:r>
    </w:p>
    <w:p w:rsidR="00354481" w:rsidRPr="00395650" w:rsidRDefault="00354481" w:rsidP="00D935CE">
      <w:pPr>
        <w:shd w:val="clear" w:color="auto" w:fill="FFFFFF"/>
        <w:spacing w:line="480" w:lineRule="auto"/>
        <w:ind w:firstLine="720"/>
        <w:rPr>
          <w:color w:val="000000"/>
          <w:sz w:val="27"/>
          <w:szCs w:val="27"/>
        </w:rPr>
      </w:pPr>
      <w:r w:rsidRPr="00395650">
        <w:rPr>
          <w:color w:val="000000"/>
          <w:u w:val="single"/>
        </w:rPr>
        <w:t>d. Any application for the real property tax abatement provided for in this section shall be submitted in such manner and in such form as shall be established by the commissioner by rule.</w:t>
      </w:r>
    </w:p>
    <w:p w:rsidR="00354481" w:rsidRPr="006D562C" w:rsidRDefault="00354481" w:rsidP="00D935CE">
      <w:pPr>
        <w:shd w:val="clear" w:color="auto" w:fill="FFFFFF"/>
        <w:spacing w:line="480" w:lineRule="auto"/>
        <w:ind w:firstLine="720"/>
        <w:rPr>
          <w:u w:val="single"/>
        </w:rPr>
      </w:pPr>
      <w:r w:rsidRPr="00395650">
        <w:rPr>
          <w:color w:val="000000"/>
        </w:rPr>
        <w:t>§3. This local law take</w:t>
      </w:r>
      <w:r>
        <w:rPr>
          <w:color w:val="000000"/>
        </w:rPr>
        <w:t>s</w:t>
      </w:r>
      <w:r w:rsidRPr="00395650">
        <w:rPr>
          <w:color w:val="000000"/>
        </w:rPr>
        <w:t xml:space="preserve"> effect </w:t>
      </w:r>
      <w:r>
        <w:rPr>
          <w:color w:val="000000"/>
        </w:rPr>
        <w:t>90</w:t>
      </w:r>
      <w:r w:rsidRPr="00395650">
        <w:rPr>
          <w:color w:val="000000"/>
        </w:rPr>
        <w:t xml:space="preserve"> days after enactment except that the commissioner of housing preservation and development and the commissioner of finance shall take such actions as are necessary for the implementation of this local law, including the promulgation of rules, prior to its effective date.</w:t>
      </w:r>
    </w:p>
    <w:p w:rsidR="00354481" w:rsidRDefault="00354481" w:rsidP="00354481">
      <w:pPr>
        <w:spacing w:line="480" w:lineRule="auto"/>
        <w:rPr>
          <w:sz w:val="18"/>
          <w:szCs w:val="18"/>
        </w:rPr>
        <w:sectPr w:rsidR="00354481" w:rsidSect="003928C8">
          <w:type w:val="continuous"/>
          <w:pgSz w:w="12240" w:h="15840"/>
          <w:pgMar w:top="1440" w:right="1440" w:bottom="1440" w:left="1440" w:header="720" w:footer="720" w:gutter="0"/>
          <w:lnNumType w:countBy="1"/>
          <w:cols w:space="720"/>
          <w:titlePg/>
          <w:docGrid w:linePitch="360"/>
        </w:sectPr>
      </w:pPr>
    </w:p>
    <w:p w:rsidR="00354481" w:rsidRDefault="00354481" w:rsidP="00354481">
      <w:pPr>
        <w:rPr>
          <w:sz w:val="18"/>
          <w:szCs w:val="18"/>
        </w:rPr>
      </w:pPr>
    </w:p>
    <w:p w:rsidR="00354481" w:rsidRDefault="00354481" w:rsidP="00354481">
      <w:pPr>
        <w:rPr>
          <w:sz w:val="18"/>
          <w:szCs w:val="18"/>
        </w:rPr>
      </w:pPr>
    </w:p>
    <w:p w:rsidR="00354481" w:rsidRDefault="00354481" w:rsidP="00354481">
      <w:pPr>
        <w:rPr>
          <w:sz w:val="18"/>
          <w:szCs w:val="18"/>
        </w:rPr>
      </w:pPr>
      <w:r>
        <w:rPr>
          <w:sz w:val="18"/>
          <w:szCs w:val="18"/>
        </w:rPr>
        <w:t>WCJ-PLS</w:t>
      </w:r>
    </w:p>
    <w:p w:rsidR="00354481" w:rsidRDefault="00354481" w:rsidP="00354481">
      <w:pPr>
        <w:rPr>
          <w:sz w:val="18"/>
          <w:szCs w:val="18"/>
        </w:rPr>
      </w:pPr>
      <w:r>
        <w:rPr>
          <w:sz w:val="18"/>
          <w:szCs w:val="18"/>
        </w:rPr>
        <w:t>LS 251/Int. 309-2014</w:t>
      </w:r>
    </w:p>
    <w:p w:rsidR="00354481" w:rsidRDefault="00354481" w:rsidP="00354481">
      <w:pPr>
        <w:rPr>
          <w:sz w:val="18"/>
          <w:szCs w:val="18"/>
        </w:rPr>
      </w:pPr>
      <w:r>
        <w:rPr>
          <w:sz w:val="18"/>
          <w:szCs w:val="18"/>
        </w:rPr>
        <w:t>LS1187</w:t>
      </w:r>
    </w:p>
    <w:p w:rsidR="00354481" w:rsidRDefault="00354481" w:rsidP="00354481">
      <w:pPr>
        <w:rPr>
          <w:sz w:val="18"/>
          <w:szCs w:val="18"/>
        </w:rPr>
      </w:pPr>
      <w:r>
        <w:rPr>
          <w:sz w:val="18"/>
          <w:szCs w:val="18"/>
        </w:rPr>
        <w:t>1/4/18</w:t>
      </w:r>
    </w:p>
    <w:p w:rsidR="00354481" w:rsidRDefault="00354481" w:rsidP="00354481">
      <w:pPr>
        <w:rPr>
          <w:sz w:val="18"/>
          <w:szCs w:val="18"/>
        </w:rPr>
      </w:pPr>
    </w:p>
    <w:p w:rsidR="00354481" w:rsidRDefault="00354481" w:rsidP="00354481">
      <w:pPr>
        <w:rPr>
          <w:sz w:val="18"/>
          <w:szCs w:val="18"/>
        </w:rPr>
      </w:pPr>
    </w:p>
    <w:p w:rsidR="00FF56E3" w:rsidRPr="008B4160" w:rsidRDefault="00FF56E3" w:rsidP="0053761B">
      <w:pPr>
        <w:spacing w:line="480" w:lineRule="auto"/>
        <w:rPr>
          <w:rFonts w:eastAsia="Calibri"/>
          <w:szCs w:val="24"/>
        </w:rPr>
      </w:pPr>
    </w:p>
    <w:sectPr w:rsidR="00FF56E3" w:rsidRPr="008B4160" w:rsidSect="00A02F98">
      <w:headerReference w:type="even" r:id="rId14"/>
      <w:headerReference w:type="default" r:id="rId15"/>
      <w:footerReference w:type="default" r:id="rId16"/>
      <w:headerReference w:type="first" r:id="rId17"/>
      <w:footerReference w:type="first" r:id="rId1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519E" w:rsidRDefault="0044519E" w:rsidP="00334097">
      <w:r>
        <w:separator/>
      </w:r>
    </w:p>
  </w:endnote>
  <w:endnote w:type="continuationSeparator" w:id="0">
    <w:p w:rsidR="0044519E" w:rsidRDefault="0044519E" w:rsidP="00334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481" w:rsidRDefault="00354481">
    <w:pPr>
      <w:pStyle w:val="Footer"/>
      <w:jc w:val="center"/>
    </w:pPr>
    <w:r>
      <w:fldChar w:fldCharType="begin"/>
    </w:r>
    <w:r>
      <w:instrText xml:space="preserve"> PAGE   \* MERGEFORMAT </w:instrText>
    </w:r>
    <w:r>
      <w:fldChar w:fldCharType="separate"/>
    </w:r>
    <w:r w:rsidR="00F31540">
      <w:rPr>
        <w:noProof/>
      </w:rPr>
      <w:t>1</w:t>
    </w:r>
    <w:r>
      <w:rPr>
        <w:noProof/>
      </w:rPr>
      <w:fldChar w:fldCharType="end"/>
    </w:r>
  </w:p>
  <w:p w:rsidR="00354481" w:rsidRDefault="0035448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481" w:rsidRDefault="00354481">
    <w:pPr>
      <w:pStyle w:val="Footer"/>
      <w:jc w:val="center"/>
    </w:pPr>
    <w:r>
      <w:fldChar w:fldCharType="begin"/>
    </w:r>
    <w:r>
      <w:instrText xml:space="preserve"> PAGE   \* MERGEFORMAT </w:instrText>
    </w:r>
    <w:r>
      <w:fldChar w:fldCharType="separate"/>
    </w:r>
    <w:r>
      <w:rPr>
        <w:noProof/>
      </w:rPr>
      <w:t>4</w:t>
    </w:r>
    <w:r>
      <w:rPr>
        <w:noProof/>
      </w:rPr>
      <w:fldChar w:fldCharType="end"/>
    </w:r>
  </w:p>
  <w:p w:rsidR="00354481" w:rsidRDefault="003544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ACA" w:rsidRDefault="004D7ACA">
    <w:pPr>
      <w:pStyle w:val="Footer"/>
      <w:jc w:val="center"/>
    </w:pPr>
    <w:r>
      <w:fldChar w:fldCharType="begin"/>
    </w:r>
    <w:r>
      <w:instrText xml:space="preserve"> PAGE   \* MERGEFORMAT </w:instrText>
    </w:r>
    <w:r>
      <w:fldChar w:fldCharType="separate"/>
    </w:r>
    <w:r w:rsidR="00354481">
      <w:rPr>
        <w:noProof/>
      </w:rPr>
      <w:t>7</w:t>
    </w:r>
    <w:r>
      <w:rPr>
        <w:noProof/>
      </w:rPr>
      <w:fldChar w:fldCharType="end"/>
    </w:r>
  </w:p>
  <w:p w:rsidR="0089573C" w:rsidRDefault="0089573C"/>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C9D" w:rsidRDefault="00C95C9D">
    <w:pPr>
      <w:pStyle w:val="Footer"/>
      <w:jc w:val="center"/>
    </w:pPr>
    <w:r>
      <w:fldChar w:fldCharType="begin"/>
    </w:r>
    <w:r>
      <w:instrText xml:space="preserve"> PAGE   \* MERGEFORMAT </w:instrText>
    </w:r>
    <w:r>
      <w:fldChar w:fldCharType="separate"/>
    </w:r>
    <w:r w:rsidR="001201E8">
      <w:rPr>
        <w:noProof/>
      </w:rPr>
      <w:t>21</w:t>
    </w:r>
    <w:r>
      <w:rPr>
        <w:noProof/>
      </w:rPr>
      <w:fldChar w:fldCharType="end"/>
    </w:r>
  </w:p>
  <w:p w:rsidR="009935DD" w:rsidRDefault="009935DD">
    <w:pPr>
      <w:pStyle w:val="Footer"/>
    </w:pPr>
  </w:p>
  <w:p w:rsidR="00AB3C3B" w:rsidRDefault="00AB3C3B"/>
  <w:p w:rsidR="00AB3C3B" w:rsidRDefault="00AB3C3B"/>
  <w:p w:rsidR="0089573C" w:rsidRDefault="0089573C"/>
  <w:p w:rsidR="0089573C" w:rsidRDefault="0089573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519E" w:rsidRDefault="0044519E" w:rsidP="00334097">
      <w:r>
        <w:separator/>
      </w:r>
    </w:p>
  </w:footnote>
  <w:footnote w:type="continuationSeparator" w:id="0">
    <w:p w:rsidR="0044519E" w:rsidRDefault="0044519E" w:rsidP="00334097">
      <w:r>
        <w:continuationSeparator/>
      </w:r>
    </w:p>
  </w:footnote>
  <w:footnote w:id="1">
    <w:p w:rsidR="008031F0" w:rsidRPr="00D32DEB" w:rsidRDefault="008031F0" w:rsidP="00D32DEB">
      <w:pPr>
        <w:jc w:val="left"/>
        <w:rPr>
          <w:sz w:val="20"/>
          <w:lang w:val="en"/>
        </w:rPr>
      </w:pPr>
      <w:r w:rsidRPr="001E67D7">
        <w:rPr>
          <w:rStyle w:val="FootnoteReference"/>
          <w:sz w:val="20"/>
        </w:rPr>
        <w:footnoteRef/>
      </w:r>
      <w:r w:rsidRPr="00D32DEB">
        <w:rPr>
          <w:sz w:val="20"/>
        </w:rPr>
        <w:t xml:space="preserve"> </w:t>
      </w:r>
      <w:r w:rsidR="00A82393" w:rsidRPr="00D32DEB">
        <w:rPr>
          <w:i/>
          <w:sz w:val="20"/>
          <w:lang w:val="en"/>
        </w:rPr>
        <w:t>The Nation's Older Population Is Still Growing, Census Bureau Reports</w:t>
      </w:r>
      <w:r w:rsidR="00A82393" w:rsidRPr="00D32DEB">
        <w:rPr>
          <w:sz w:val="20"/>
        </w:rPr>
        <w:t xml:space="preserve">, </w:t>
      </w:r>
      <w:r w:rsidRPr="00D32DEB">
        <w:rPr>
          <w:sz w:val="20"/>
          <w:u w:val="single"/>
        </w:rPr>
        <w:t>United States Census Bureau</w:t>
      </w:r>
      <w:r w:rsidRPr="00D32DEB">
        <w:rPr>
          <w:sz w:val="20"/>
        </w:rPr>
        <w:t>,</w:t>
      </w:r>
      <w:r w:rsidRPr="00D32DEB">
        <w:rPr>
          <w:sz w:val="20"/>
          <w:lang w:val="en"/>
        </w:rPr>
        <w:t xml:space="preserve"> June 22, 2017, </w:t>
      </w:r>
      <w:r w:rsidRPr="00D32DEB">
        <w:rPr>
          <w:i/>
          <w:sz w:val="20"/>
          <w:lang w:val="en"/>
        </w:rPr>
        <w:t xml:space="preserve">available at </w:t>
      </w:r>
      <w:hyperlink r:id="rId1" w:history="1">
        <w:r w:rsidRPr="00D32DEB">
          <w:rPr>
            <w:rStyle w:val="Hyperlink"/>
            <w:sz w:val="20"/>
            <w:lang w:val="en"/>
          </w:rPr>
          <w:t>https://www.census.gov/newsroom/press-releases/2017/cb17-100.html</w:t>
        </w:r>
      </w:hyperlink>
      <w:r w:rsidRPr="00D32DEB">
        <w:rPr>
          <w:sz w:val="20"/>
          <w:lang w:val="en"/>
        </w:rPr>
        <w:t>.</w:t>
      </w:r>
    </w:p>
  </w:footnote>
  <w:footnote w:id="2">
    <w:p w:rsidR="008031F0" w:rsidRPr="00D32DEB" w:rsidRDefault="008031F0" w:rsidP="00D32DEB">
      <w:pPr>
        <w:pStyle w:val="FootnoteText"/>
        <w:jc w:val="left"/>
        <w:rPr>
          <w:i/>
        </w:rPr>
      </w:pPr>
      <w:r w:rsidRPr="00D32DEB">
        <w:rPr>
          <w:rStyle w:val="FootnoteReference"/>
        </w:rPr>
        <w:footnoteRef/>
      </w:r>
      <w:r w:rsidRPr="00D32DEB">
        <w:t xml:space="preserve"> </w:t>
      </w:r>
      <w:r w:rsidRPr="00D32DEB">
        <w:rPr>
          <w:i/>
        </w:rPr>
        <w:t>Id.</w:t>
      </w:r>
    </w:p>
  </w:footnote>
  <w:footnote w:id="3">
    <w:p w:rsidR="008031F0" w:rsidRPr="00D32DEB" w:rsidRDefault="008031F0" w:rsidP="00D32DEB">
      <w:pPr>
        <w:pStyle w:val="FootnoteText"/>
        <w:jc w:val="left"/>
        <w:rPr>
          <w:i/>
        </w:rPr>
      </w:pPr>
      <w:r w:rsidRPr="00D32DEB">
        <w:rPr>
          <w:i/>
        </w:rPr>
        <w:footnoteRef/>
      </w:r>
      <w:r w:rsidRPr="00D32DEB">
        <w:rPr>
          <w:i/>
        </w:rPr>
        <w:t xml:space="preserve"> Id.</w:t>
      </w:r>
    </w:p>
  </w:footnote>
  <w:footnote w:id="4">
    <w:p w:rsidR="008031F0" w:rsidRPr="00D32DEB" w:rsidRDefault="008031F0" w:rsidP="00D32DEB">
      <w:pPr>
        <w:pStyle w:val="FootnoteText"/>
        <w:jc w:val="left"/>
        <w:rPr>
          <w:i/>
        </w:rPr>
      </w:pPr>
      <w:r w:rsidRPr="00D32DEB">
        <w:rPr>
          <w:rStyle w:val="FootnoteReference"/>
        </w:rPr>
        <w:footnoteRef/>
      </w:r>
      <w:r w:rsidRPr="00D32DEB">
        <w:t xml:space="preserve"> </w:t>
      </w:r>
      <w:r w:rsidR="00A82393" w:rsidRPr="00D32DEB">
        <w:rPr>
          <w:i/>
        </w:rPr>
        <w:t>Annual Plan Summary April 1, 2018 – March 31, 2019</w:t>
      </w:r>
      <w:r w:rsidR="00A82393" w:rsidRPr="00D32DEB">
        <w:t xml:space="preserve">, </w:t>
      </w:r>
      <w:r w:rsidR="00A82393" w:rsidRPr="00D32DEB">
        <w:rPr>
          <w:u w:val="single"/>
        </w:rPr>
        <w:t>NY</w:t>
      </w:r>
      <w:r w:rsidRPr="00D32DEB">
        <w:rPr>
          <w:u w:val="single"/>
        </w:rPr>
        <w:t>C Department for the Aging</w:t>
      </w:r>
      <w:r w:rsidRPr="00D32DEB">
        <w:t xml:space="preserve">, Sept. 2017, </w:t>
      </w:r>
      <w:r w:rsidRPr="00D32DEB">
        <w:rPr>
          <w:i/>
        </w:rPr>
        <w:t>available at</w:t>
      </w:r>
      <w:r w:rsidRPr="00D32DEB">
        <w:t xml:space="preserve"> </w:t>
      </w:r>
      <w:hyperlink r:id="rId2" w:history="1">
        <w:r w:rsidRPr="00D32DEB">
          <w:rPr>
            <w:rStyle w:val="Hyperlink"/>
          </w:rPr>
          <w:t>https://www1.nyc.gov/assets/dfta/downloads/pdf/reports/DFTAAnnualPlanSummary2017.pdf</w:t>
        </w:r>
      </w:hyperlink>
      <w:r w:rsidRPr="00D32DEB">
        <w:t>.</w:t>
      </w:r>
    </w:p>
  </w:footnote>
  <w:footnote w:id="5">
    <w:p w:rsidR="008031F0" w:rsidRPr="00D32DEB" w:rsidRDefault="008031F0" w:rsidP="00D32DEB">
      <w:pPr>
        <w:pStyle w:val="FootnoteText"/>
        <w:jc w:val="left"/>
        <w:rPr>
          <w:i/>
        </w:rPr>
      </w:pPr>
      <w:r w:rsidRPr="00D32DEB">
        <w:rPr>
          <w:rStyle w:val="FootnoteReference"/>
        </w:rPr>
        <w:footnoteRef/>
      </w:r>
      <w:r w:rsidRPr="00D32DEB">
        <w:t xml:space="preserve"> </w:t>
      </w:r>
      <w:r w:rsidRPr="00D32DEB">
        <w:rPr>
          <w:i/>
        </w:rPr>
        <w:t>Id.</w:t>
      </w:r>
    </w:p>
  </w:footnote>
  <w:footnote w:id="6">
    <w:p w:rsidR="00BA284F" w:rsidRPr="00D32DEB" w:rsidRDefault="00BA284F" w:rsidP="00D32DEB">
      <w:pPr>
        <w:pStyle w:val="FootnoteText"/>
        <w:jc w:val="left"/>
      </w:pPr>
      <w:r w:rsidRPr="00D32DEB">
        <w:rPr>
          <w:rStyle w:val="FootnoteReference"/>
        </w:rPr>
        <w:footnoteRef/>
      </w:r>
      <w:r w:rsidRPr="00D32DEB">
        <w:t xml:space="preserve"> Kelly Mena and Victoria Merlino, </w:t>
      </w:r>
      <w:r w:rsidRPr="00D32DEB">
        <w:rPr>
          <w:i/>
        </w:rPr>
        <w:t>NYC’s housing supply can’t keep up with its job growth: report</w:t>
      </w:r>
      <w:r w:rsidRPr="00D32DEB">
        <w:t xml:space="preserve">, </w:t>
      </w:r>
      <w:r w:rsidRPr="00D32DEB">
        <w:rPr>
          <w:u w:val="single"/>
        </w:rPr>
        <w:t>Brooklyn Daily Eagle</w:t>
      </w:r>
      <w:r w:rsidRPr="00D32DEB">
        <w:t xml:space="preserve">, Nov. 8, 2019, </w:t>
      </w:r>
      <w:r w:rsidRPr="00D32DEB">
        <w:rPr>
          <w:i/>
        </w:rPr>
        <w:t xml:space="preserve">available at </w:t>
      </w:r>
      <w:hyperlink r:id="rId3" w:history="1">
        <w:r w:rsidRPr="00D32DEB">
          <w:rPr>
            <w:rStyle w:val="Hyperlink"/>
          </w:rPr>
          <w:t>https://brooklyneagle.com/articles/2019/11/08/nycs-housing-supply-cant-keep-up-with-its-job-growth-report/</w:t>
        </w:r>
      </w:hyperlink>
      <w:r w:rsidRPr="00D32DEB">
        <w:t xml:space="preserve">. </w:t>
      </w:r>
    </w:p>
  </w:footnote>
  <w:footnote w:id="7">
    <w:p w:rsidR="00FB6ED8" w:rsidRPr="00D32DEB" w:rsidRDefault="00FB6ED8" w:rsidP="00D32DEB">
      <w:pPr>
        <w:pStyle w:val="FootnoteText"/>
        <w:jc w:val="left"/>
      </w:pPr>
      <w:r w:rsidRPr="00D32DEB">
        <w:rPr>
          <w:rStyle w:val="FootnoteReference"/>
        </w:rPr>
        <w:footnoteRef/>
      </w:r>
      <w:r w:rsidRPr="00D32DEB">
        <w:t xml:space="preserve"> </w:t>
      </w:r>
      <w:r w:rsidRPr="00D32DEB">
        <w:rPr>
          <w:i/>
        </w:rPr>
        <w:t>See</w:t>
      </w:r>
      <w:r w:rsidRPr="00D32DEB">
        <w:t xml:space="preserve"> Tony Kamins, </w:t>
      </w:r>
      <w:r w:rsidRPr="00D32DEB">
        <w:rPr>
          <w:i/>
        </w:rPr>
        <w:t>The Distressing Math of NYC’s Future Senior-Housing Need</w:t>
      </w:r>
      <w:r w:rsidRPr="00D32DEB">
        <w:t xml:space="preserve">, </w:t>
      </w:r>
      <w:r w:rsidRPr="00D32DEB">
        <w:rPr>
          <w:u w:val="single"/>
        </w:rPr>
        <w:t>CityLimits.org</w:t>
      </w:r>
      <w:r w:rsidRPr="00D32DEB">
        <w:t xml:space="preserve">, Apr. 24, 2019, </w:t>
      </w:r>
      <w:r w:rsidRPr="00D32DEB">
        <w:rPr>
          <w:i/>
        </w:rPr>
        <w:t xml:space="preserve">available at </w:t>
      </w:r>
      <w:hyperlink r:id="rId4" w:history="1">
        <w:r w:rsidRPr="00D32DEB">
          <w:rPr>
            <w:rStyle w:val="Hyperlink"/>
          </w:rPr>
          <w:t>https://citylimits.org/2019/04/24/the-distressing-math-of-nycs-future-senior-housing-need/</w:t>
        </w:r>
      </w:hyperlink>
      <w:r w:rsidRPr="00D32DEB">
        <w:t>.</w:t>
      </w:r>
    </w:p>
  </w:footnote>
  <w:footnote w:id="8">
    <w:p w:rsidR="00FB6ED8" w:rsidRPr="00D32DEB" w:rsidRDefault="00FB6ED8" w:rsidP="00D32DEB">
      <w:pPr>
        <w:pStyle w:val="FootnoteText"/>
        <w:jc w:val="left"/>
        <w:rPr>
          <w:i/>
        </w:rPr>
      </w:pPr>
      <w:r w:rsidRPr="00D32DEB">
        <w:rPr>
          <w:rStyle w:val="FootnoteReference"/>
        </w:rPr>
        <w:footnoteRef/>
      </w:r>
      <w:r w:rsidRPr="00D32DEB">
        <w:t xml:space="preserve"> </w:t>
      </w:r>
      <w:r w:rsidRPr="00D32DEB">
        <w:rPr>
          <w:i/>
        </w:rPr>
        <w:t>Id.</w:t>
      </w:r>
    </w:p>
  </w:footnote>
  <w:footnote w:id="9">
    <w:p w:rsidR="00FB6ED8" w:rsidRPr="00D32DEB" w:rsidRDefault="00FB6ED8" w:rsidP="00D32DEB">
      <w:pPr>
        <w:pStyle w:val="FootnoteText"/>
        <w:jc w:val="left"/>
        <w:rPr>
          <w:i/>
        </w:rPr>
      </w:pPr>
      <w:r w:rsidRPr="00D32DEB">
        <w:rPr>
          <w:rStyle w:val="FootnoteReference"/>
        </w:rPr>
        <w:footnoteRef/>
      </w:r>
      <w:r w:rsidRPr="00D32DEB">
        <w:t xml:space="preserve"> </w:t>
      </w:r>
      <w:r w:rsidRPr="00D32DEB">
        <w:rPr>
          <w:i/>
        </w:rPr>
        <w:t xml:space="preserve">Id. </w:t>
      </w:r>
    </w:p>
  </w:footnote>
  <w:footnote w:id="10">
    <w:p w:rsidR="00C60E0E" w:rsidRPr="00D32DEB" w:rsidRDefault="00C60E0E" w:rsidP="00D32DEB">
      <w:pPr>
        <w:pStyle w:val="FootnoteText"/>
        <w:jc w:val="left"/>
        <w:rPr>
          <w:i/>
        </w:rPr>
      </w:pPr>
      <w:r w:rsidRPr="00D32DEB">
        <w:rPr>
          <w:rStyle w:val="FootnoteReference"/>
        </w:rPr>
        <w:footnoteRef/>
      </w:r>
      <w:r w:rsidRPr="00D32DEB">
        <w:t xml:space="preserve"> </w:t>
      </w:r>
      <w:r w:rsidRPr="00D32DEB">
        <w:rPr>
          <w:i/>
        </w:rPr>
        <w:t>Id.</w:t>
      </w:r>
    </w:p>
  </w:footnote>
  <w:footnote w:id="11">
    <w:p w:rsidR="00646858" w:rsidRPr="00D32DEB" w:rsidRDefault="00646858" w:rsidP="00D32DEB">
      <w:pPr>
        <w:pStyle w:val="FootnoteText"/>
        <w:jc w:val="left"/>
      </w:pPr>
      <w:r w:rsidRPr="00D32DEB">
        <w:rPr>
          <w:rStyle w:val="FootnoteReference"/>
        </w:rPr>
        <w:footnoteRef/>
      </w:r>
      <w:r w:rsidRPr="00D32DEB">
        <w:t xml:space="preserve"> </w:t>
      </w:r>
      <w:r w:rsidR="00C60E0E" w:rsidRPr="00D32DEB">
        <w:rPr>
          <w:i/>
        </w:rPr>
        <w:t>Area Median Income (AMI)</w:t>
      </w:r>
      <w:r w:rsidR="00C60E0E" w:rsidRPr="00D32DEB">
        <w:t xml:space="preserve">, </w:t>
      </w:r>
      <w:r w:rsidR="00C60E0E" w:rsidRPr="00D32DEB">
        <w:rPr>
          <w:u w:val="single"/>
        </w:rPr>
        <w:t>NYC Housing Preservation &amp; Development</w:t>
      </w:r>
      <w:r w:rsidR="00C60E0E" w:rsidRPr="00D32DEB">
        <w:rPr>
          <w:i/>
          <w:u w:val="single"/>
        </w:rPr>
        <w:t xml:space="preserve">, </w:t>
      </w:r>
      <w:r w:rsidR="00C60E0E" w:rsidRPr="00D32DEB">
        <w:rPr>
          <w:i/>
        </w:rPr>
        <w:t xml:space="preserve">available at </w:t>
      </w:r>
      <w:hyperlink r:id="rId5" w:history="1">
        <w:r w:rsidRPr="00D32DEB">
          <w:rPr>
            <w:rStyle w:val="Hyperlink"/>
          </w:rPr>
          <w:t>https://www1.nyc.gov/site/hpd/renters/area-median-income.page</w:t>
        </w:r>
      </w:hyperlink>
      <w:r w:rsidR="00C60E0E" w:rsidRPr="00D32DEB">
        <w:t>.</w:t>
      </w:r>
    </w:p>
  </w:footnote>
  <w:footnote w:id="12">
    <w:p w:rsidR="004265CD" w:rsidRPr="00D32DEB" w:rsidRDefault="004265CD" w:rsidP="00D32DEB">
      <w:pPr>
        <w:pStyle w:val="FootnoteText"/>
        <w:jc w:val="left"/>
      </w:pPr>
      <w:r w:rsidRPr="00D32DEB">
        <w:rPr>
          <w:rStyle w:val="FootnoteReference"/>
        </w:rPr>
        <w:footnoteRef/>
      </w:r>
      <w:r w:rsidRPr="00D32DEB">
        <w:t xml:space="preserve"> </w:t>
      </w:r>
      <w:r w:rsidR="00C60E0E" w:rsidRPr="00D32DEB">
        <w:rPr>
          <w:i/>
        </w:rPr>
        <w:t>Median Family Income Calculation Methodology</w:t>
      </w:r>
      <w:r w:rsidR="00C60E0E" w:rsidRPr="00D32DEB">
        <w:t xml:space="preserve">, </w:t>
      </w:r>
      <w:r w:rsidR="00C60E0E" w:rsidRPr="00D32DEB">
        <w:rPr>
          <w:u w:val="single"/>
        </w:rPr>
        <w:t>Office of Policy Development and Research</w:t>
      </w:r>
      <w:r w:rsidR="00C60E0E" w:rsidRPr="00D32DEB">
        <w:t xml:space="preserve">, </w:t>
      </w:r>
      <w:r w:rsidR="00C60E0E" w:rsidRPr="00D32DEB">
        <w:rPr>
          <w:i/>
        </w:rPr>
        <w:t xml:space="preserve">available at </w:t>
      </w:r>
      <w:hyperlink r:id="rId6" w:history="1">
        <w:r w:rsidR="00497135" w:rsidRPr="00D32DEB">
          <w:rPr>
            <w:rStyle w:val="Hyperlink"/>
          </w:rPr>
          <w:t>https://www.huduser.gov/portal/datasets/il/il2019/2019MedCalc.odn</w:t>
        </w:r>
      </w:hyperlink>
      <w:r w:rsidR="00C60E0E" w:rsidRPr="00D32DEB">
        <w:t>.</w:t>
      </w:r>
    </w:p>
  </w:footnote>
  <w:footnote w:id="13">
    <w:p w:rsidR="00EB6F07" w:rsidRPr="00D32DEB" w:rsidRDefault="00EB6F07" w:rsidP="00D32DEB">
      <w:pPr>
        <w:pStyle w:val="FootnoteText"/>
        <w:jc w:val="left"/>
      </w:pPr>
      <w:r w:rsidRPr="00D32DEB">
        <w:rPr>
          <w:rStyle w:val="FootnoteReference"/>
        </w:rPr>
        <w:footnoteRef/>
      </w:r>
      <w:r w:rsidRPr="00D32DEB">
        <w:t xml:space="preserve"> </w:t>
      </w:r>
      <w:r w:rsidR="00C60E0E" w:rsidRPr="00D32DEB">
        <w:rPr>
          <w:i/>
        </w:rPr>
        <w:t>Area Median Income (AMI)</w:t>
      </w:r>
      <w:r w:rsidR="00C60E0E" w:rsidRPr="00D32DEB">
        <w:t xml:space="preserve">, </w:t>
      </w:r>
      <w:r w:rsidR="00C60E0E" w:rsidRPr="00D32DEB">
        <w:rPr>
          <w:u w:val="single"/>
        </w:rPr>
        <w:t>NYC Housing Preservation &amp; Development</w:t>
      </w:r>
      <w:r w:rsidR="00C60E0E" w:rsidRPr="00D32DEB">
        <w:rPr>
          <w:i/>
          <w:u w:val="single"/>
        </w:rPr>
        <w:t xml:space="preserve">, </w:t>
      </w:r>
      <w:r w:rsidR="00C60E0E" w:rsidRPr="00D32DEB">
        <w:rPr>
          <w:i/>
        </w:rPr>
        <w:t xml:space="preserve">available at </w:t>
      </w:r>
      <w:hyperlink r:id="rId7" w:history="1">
        <w:r w:rsidR="00C60E0E" w:rsidRPr="00D32DEB">
          <w:rPr>
            <w:rStyle w:val="Hyperlink"/>
          </w:rPr>
          <w:t>https://www1.nyc.gov/site/hpd/renters/area-median-income.page</w:t>
        </w:r>
      </w:hyperlink>
      <w:r w:rsidR="00C60E0E" w:rsidRPr="00D32DEB">
        <w:t>.</w:t>
      </w:r>
    </w:p>
  </w:footnote>
  <w:footnote w:id="14">
    <w:p w:rsidR="00973CAE" w:rsidRPr="00D32DEB" w:rsidRDefault="00973CAE" w:rsidP="00D32DEB">
      <w:pPr>
        <w:pStyle w:val="FootnoteText"/>
        <w:jc w:val="left"/>
      </w:pPr>
      <w:r w:rsidRPr="00D32DEB">
        <w:rPr>
          <w:rStyle w:val="FootnoteReference"/>
        </w:rPr>
        <w:footnoteRef/>
      </w:r>
      <w:r w:rsidR="00C60E0E" w:rsidRPr="00D32DEB">
        <w:t xml:space="preserve"> </w:t>
      </w:r>
      <w:r w:rsidR="00C60E0E" w:rsidRPr="00D32DEB">
        <w:rPr>
          <w:i/>
        </w:rPr>
        <w:t>Affordable Housing</w:t>
      </w:r>
      <w:r w:rsidR="00C60E0E" w:rsidRPr="00D32DEB">
        <w:t xml:space="preserve">, </w:t>
      </w:r>
      <w:r w:rsidR="00C60E0E" w:rsidRPr="00D32DEB">
        <w:rPr>
          <w:u w:val="single"/>
        </w:rPr>
        <w:t>U.S. Department of Housing and Urban Development</w:t>
      </w:r>
      <w:r w:rsidR="00C60E0E" w:rsidRPr="00D32DEB">
        <w:t xml:space="preserve">, </w:t>
      </w:r>
      <w:r w:rsidR="00C60E0E" w:rsidRPr="00D32DEB">
        <w:rPr>
          <w:i/>
        </w:rPr>
        <w:t xml:space="preserve">available at </w:t>
      </w:r>
      <w:r w:rsidRPr="00D32DEB">
        <w:t xml:space="preserve"> </w:t>
      </w:r>
      <w:hyperlink r:id="rId8" w:history="1">
        <w:r w:rsidRPr="00D32DEB">
          <w:rPr>
            <w:rStyle w:val="Hyperlink"/>
          </w:rPr>
          <w:t>https://www.hud.gov/program_offices/comm_planning/affor</w:t>
        </w:r>
        <w:r w:rsidRPr="00D32DEB">
          <w:rPr>
            <w:rStyle w:val="Hyperlink"/>
          </w:rPr>
          <w:t>dablehousing/</w:t>
        </w:r>
      </w:hyperlink>
      <w:r w:rsidR="00C60E0E" w:rsidRPr="00D32DEB">
        <w:t>.</w:t>
      </w:r>
    </w:p>
  </w:footnote>
  <w:footnote w:id="15">
    <w:p w:rsidR="00014750" w:rsidRPr="00D32DEB" w:rsidRDefault="00014750" w:rsidP="00D32DEB">
      <w:pPr>
        <w:pStyle w:val="FootnoteText"/>
        <w:jc w:val="left"/>
      </w:pPr>
      <w:r w:rsidRPr="00D32DEB">
        <w:rPr>
          <w:rStyle w:val="FootnoteReference"/>
        </w:rPr>
        <w:footnoteRef/>
      </w:r>
      <w:r w:rsidRPr="00D32DEB">
        <w:t xml:space="preserve"> </w:t>
      </w:r>
      <w:r w:rsidR="00CD07AC" w:rsidRPr="00D32DEB">
        <w:rPr>
          <w:i/>
        </w:rPr>
        <w:t>Aging with Dignity: A Blueprint for Serving NYC’s Growing Senior Population</w:t>
      </w:r>
      <w:r w:rsidR="00C60E0E" w:rsidRPr="00D32DEB">
        <w:t xml:space="preserve">, </w:t>
      </w:r>
      <w:r w:rsidR="00C60E0E" w:rsidRPr="00D32DEB">
        <w:rPr>
          <w:u w:val="single"/>
        </w:rPr>
        <w:t>NYC Comptroller</w:t>
      </w:r>
      <w:r w:rsidR="00C60E0E" w:rsidRPr="00D32DEB">
        <w:t>,</w:t>
      </w:r>
      <w:r w:rsidR="0028718B" w:rsidRPr="00D32DEB">
        <w:t xml:space="preserve"> </w:t>
      </w:r>
      <w:r w:rsidR="00CD07AC" w:rsidRPr="00D32DEB">
        <w:t>Mar. 21, 2017,</w:t>
      </w:r>
      <w:r w:rsidR="00C60E0E" w:rsidRPr="00D32DEB">
        <w:t xml:space="preserve"> </w:t>
      </w:r>
      <w:r w:rsidR="00C60E0E" w:rsidRPr="00D32DEB">
        <w:rPr>
          <w:i/>
        </w:rPr>
        <w:t xml:space="preserve">available at </w:t>
      </w:r>
      <w:r w:rsidR="00CD07AC" w:rsidRPr="00D32DEB">
        <w:t xml:space="preserve"> </w:t>
      </w:r>
      <w:hyperlink r:id="rId9" w:history="1">
        <w:r w:rsidR="00C210DF" w:rsidRPr="00D32DEB">
          <w:rPr>
            <w:rStyle w:val="Hyperlink"/>
          </w:rPr>
          <w:t>https://comptroller.nyc.gov/reports/aging-with-dignity-a-blueprint-for-serving-nycs-growing-senior-population/</w:t>
        </w:r>
      </w:hyperlink>
      <w:r w:rsidR="00C210DF" w:rsidRPr="00D32DEB">
        <w:t xml:space="preserve">. </w:t>
      </w:r>
    </w:p>
  </w:footnote>
  <w:footnote w:id="16">
    <w:p w:rsidR="00471E60" w:rsidRPr="00D32DEB" w:rsidRDefault="00471E60" w:rsidP="00D32DEB">
      <w:pPr>
        <w:pStyle w:val="FootnoteText"/>
        <w:jc w:val="left"/>
      </w:pPr>
      <w:r w:rsidRPr="00D32DEB">
        <w:rPr>
          <w:rStyle w:val="FootnoteReference"/>
        </w:rPr>
        <w:footnoteRef/>
      </w:r>
      <w:r w:rsidRPr="00D32DEB">
        <w:t xml:space="preserve"> </w:t>
      </w:r>
      <w:r w:rsidRPr="00D32DEB">
        <w:rPr>
          <w:i/>
        </w:rPr>
        <w:t>Id.</w:t>
      </w:r>
      <w:r w:rsidR="00147C16" w:rsidRPr="00D32DEB">
        <w:t xml:space="preserve"> at 11</w:t>
      </w:r>
      <w:r w:rsidR="0071386C" w:rsidRPr="00D32DEB">
        <w:t>.</w:t>
      </w:r>
    </w:p>
  </w:footnote>
  <w:footnote w:id="17">
    <w:p w:rsidR="00BA0E41" w:rsidRPr="00D32DEB" w:rsidRDefault="00BA0E41" w:rsidP="00D32DEB">
      <w:pPr>
        <w:pStyle w:val="FootnoteText"/>
        <w:jc w:val="left"/>
      </w:pPr>
      <w:r w:rsidRPr="00D32DEB">
        <w:rPr>
          <w:rStyle w:val="FootnoteReference"/>
        </w:rPr>
        <w:footnoteRef/>
      </w:r>
      <w:r w:rsidRPr="00D32DEB">
        <w:t xml:space="preserve"> Tony Kamins, </w:t>
      </w:r>
      <w:r w:rsidRPr="00D32DEB">
        <w:rPr>
          <w:i/>
        </w:rPr>
        <w:t>The Distressing Math of NYC’s Future Senior-Housing Need</w:t>
      </w:r>
      <w:r w:rsidRPr="00D32DEB">
        <w:t xml:space="preserve">, </w:t>
      </w:r>
      <w:r w:rsidRPr="00D32DEB">
        <w:rPr>
          <w:u w:val="single"/>
        </w:rPr>
        <w:t>CityLimits.org</w:t>
      </w:r>
      <w:r w:rsidRPr="00D32DEB">
        <w:t xml:space="preserve">, Apr. 24, 2019, </w:t>
      </w:r>
      <w:r w:rsidRPr="00D32DEB">
        <w:rPr>
          <w:i/>
        </w:rPr>
        <w:t xml:space="preserve">available at </w:t>
      </w:r>
      <w:hyperlink r:id="rId10" w:history="1">
        <w:r w:rsidRPr="00D32DEB">
          <w:rPr>
            <w:rStyle w:val="Hyperlink"/>
          </w:rPr>
          <w:t>https://citylimits.org/2019/04/24/the-distressing-math-of-nycs-future-senior-housing-need/</w:t>
        </w:r>
      </w:hyperlink>
      <w:r w:rsidRPr="00D32DEB">
        <w:t xml:space="preserve">. </w:t>
      </w:r>
    </w:p>
  </w:footnote>
  <w:footnote w:id="18">
    <w:p w:rsidR="00E56888" w:rsidRPr="00D32DEB" w:rsidRDefault="00E56888" w:rsidP="00D32DEB">
      <w:pPr>
        <w:pStyle w:val="FootnoteText"/>
        <w:jc w:val="left"/>
        <w:rPr>
          <w:i/>
        </w:rPr>
      </w:pPr>
      <w:r w:rsidRPr="00D32DEB">
        <w:rPr>
          <w:rStyle w:val="FootnoteReference"/>
        </w:rPr>
        <w:footnoteRef/>
      </w:r>
      <w:r w:rsidRPr="00D32DEB">
        <w:t xml:space="preserve"> </w:t>
      </w:r>
      <w:r w:rsidRPr="00D32DEB">
        <w:rPr>
          <w:i/>
        </w:rPr>
        <w:t>Id.</w:t>
      </w:r>
    </w:p>
  </w:footnote>
  <w:footnote w:id="19">
    <w:p w:rsidR="00E56888" w:rsidRPr="00D32DEB" w:rsidRDefault="00E56888" w:rsidP="00D32DEB">
      <w:pPr>
        <w:pStyle w:val="FootnoteText"/>
        <w:jc w:val="left"/>
        <w:rPr>
          <w:i/>
        </w:rPr>
      </w:pPr>
      <w:r w:rsidRPr="00D32DEB">
        <w:rPr>
          <w:rStyle w:val="FootnoteReference"/>
        </w:rPr>
        <w:footnoteRef/>
      </w:r>
      <w:r w:rsidRPr="00D32DEB">
        <w:t xml:space="preserve"> </w:t>
      </w:r>
      <w:r w:rsidRPr="00D32DEB">
        <w:rPr>
          <w:i/>
        </w:rPr>
        <w:t>Id.</w:t>
      </w:r>
    </w:p>
  </w:footnote>
  <w:footnote w:id="20">
    <w:p w:rsidR="00E56888" w:rsidRPr="00D32DEB" w:rsidRDefault="00E56888" w:rsidP="00D32DEB">
      <w:pPr>
        <w:pStyle w:val="FootnoteText"/>
        <w:jc w:val="left"/>
        <w:rPr>
          <w:i/>
        </w:rPr>
      </w:pPr>
      <w:r w:rsidRPr="00D32DEB">
        <w:rPr>
          <w:rStyle w:val="FootnoteReference"/>
        </w:rPr>
        <w:footnoteRef/>
      </w:r>
      <w:r w:rsidRPr="00D32DEB">
        <w:t xml:space="preserve"> </w:t>
      </w:r>
      <w:r w:rsidRPr="00D32DEB">
        <w:rPr>
          <w:i/>
        </w:rPr>
        <w:t>Id.</w:t>
      </w:r>
    </w:p>
  </w:footnote>
  <w:footnote w:id="21">
    <w:p w:rsidR="00775AAD" w:rsidRPr="00D32DEB" w:rsidRDefault="00775AAD" w:rsidP="00D32DEB">
      <w:pPr>
        <w:pStyle w:val="FootnoteText"/>
        <w:jc w:val="left"/>
      </w:pPr>
      <w:r w:rsidRPr="00D32DEB">
        <w:rPr>
          <w:rStyle w:val="FootnoteReference"/>
        </w:rPr>
        <w:footnoteRef/>
      </w:r>
      <w:r w:rsidRPr="00D32DEB">
        <w:t xml:space="preserve"> Karen Haycox, </w:t>
      </w:r>
      <w:r w:rsidRPr="00D32DEB">
        <w:rPr>
          <w:i/>
        </w:rPr>
        <w:t>New York City Is Struggling to House its Aging Population</w:t>
      </w:r>
      <w:r w:rsidRPr="00D32DEB">
        <w:t xml:space="preserve">, </w:t>
      </w:r>
      <w:r w:rsidRPr="00D32DEB">
        <w:rPr>
          <w:u w:val="single"/>
        </w:rPr>
        <w:t>Observer</w:t>
      </w:r>
      <w:r w:rsidRPr="00D32DEB">
        <w:t xml:space="preserve">, Apr. 13, 2018, </w:t>
      </w:r>
      <w:r w:rsidRPr="00D32DEB">
        <w:rPr>
          <w:i/>
        </w:rPr>
        <w:t xml:space="preserve">available at </w:t>
      </w:r>
      <w:hyperlink r:id="rId11" w:history="1">
        <w:r w:rsidRPr="00D32DEB">
          <w:rPr>
            <w:rStyle w:val="Hyperlink"/>
          </w:rPr>
          <w:t>https://observer.com/2018/04/new-york-faces-affordable-housing-crisis-for-the-elderly/</w:t>
        </w:r>
      </w:hyperlink>
      <w:r w:rsidRPr="00D32DEB">
        <w:t>.</w:t>
      </w:r>
    </w:p>
  </w:footnote>
  <w:footnote w:id="22">
    <w:p w:rsidR="00CB4B97" w:rsidRPr="00D32DEB" w:rsidRDefault="00CB4B97" w:rsidP="00D32DEB">
      <w:pPr>
        <w:pStyle w:val="FootnoteText"/>
        <w:jc w:val="left"/>
      </w:pPr>
      <w:r w:rsidRPr="00D32DEB">
        <w:rPr>
          <w:rStyle w:val="FootnoteReference"/>
        </w:rPr>
        <w:footnoteRef/>
      </w:r>
      <w:r w:rsidRPr="00D32DEB">
        <w:t xml:space="preserve"> </w:t>
      </w:r>
      <w:r w:rsidRPr="00D32DEB">
        <w:rPr>
          <w:i/>
        </w:rPr>
        <w:t>Id.</w:t>
      </w:r>
      <w:r w:rsidRPr="00D32DEB">
        <w:t xml:space="preserve">; </w:t>
      </w:r>
      <w:r w:rsidRPr="00D32DEB">
        <w:rPr>
          <w:i/>
        </w:rPr>
        <w:t>see also</w:t>
      </w:r>
      <w:r w:rsidRPr="00D32DEB">
        <w:t xml:space="preserve"> Sally Goldenberg, </w:t>
      </w:r>
      <w:r w:rsidRPr="00D32DEB">
        <w:rPr>
          <w:i/>
        </w:rPr>
        <w:t>The senior housing crisis</w:t>
      </w:r>
      <w:r w:rsidRPr="00D32DEB">
        <w:t xml:space="preserve">, </w:t>
      </w:r>
      <w:r w:rsidRPr="00D32DEB">
        <w:rPr>
          <w:u w:val="single"/>
        </w:rPr>
        <w:t>Politico</w:t>
      </w:r>
      <w:r w:rsidRPr="00D32DEB">
        <w:t xml:space="preserve">, Feb. 29, 2016, </w:t>
      </w:r>
      <w:r w:rsidRPr="00D32DEB">
        <w:rPr>
          <w:i/>
        </w:rPr>
        <w:t xml:space="preserve">available at </w:t>
      </w:r>
      <w:hyperlink r:id="rId12" w:history="1">
        <w:r w:rsidRPr="00D32DEB">
          <w:rPr>
            <w:rStyle w:val="Hyperlink"/>
          </w:rPr>
          <w:t>https://www.politico.com/states/new-york/city-hall/story/2016/02/the-senior-housing-crisis-031725</w:t>
        </w:r>
      </w:hyperlink>
      <w:r w:rsidRPr="00D32DEB">
        <w:t>.</w:t>
      </w:r>
    </w:p>
  </w:footnote>
  <w:footnote w:id="23">
    <w:p w:rsidR="00A75511" w:rsidRPr="00D32DEB" w:rsidRDefault="00A75511" w:rsidP="00D32DEB">
      <w:pPr>
        <w:pStyle w:val="FootnoteText"/>
        <w:jc w:val="left"/>
      </w:pPr>
      <w:r w:rsidRPr="00D32DEB">
        <w:rPr>
          <w:rStyle w:val="FootnoteReference"/>
        </w:rPr>
        <w:footnoteRef/>
      </w:r>
      <w:r w:rsidRPr="00D32DEB">
        <w:t xml:space="preserve"> City of New York, </w:t>
      </w:r>
      <w:r w:rsidRPr="00D32DEB">
        <w:rPr>
          <w:i/>
        </w:rPr>
        <w:t>Housing New York 2.0</w:t>
      </w:r>
      <w:r w:rsidRPr="00D32DEB">
        <w:t xml:space="preserve"> (Nov. 2017), </w:t>
      </w:r>
      <w:r w:rsidRPr="00D32DEB">
        <w:rPr>
          <w:i/>
        </w:rPr>
        <w:t xml:space="preserve">available at </w:t>
      </w:r>
      <w:hyperlink r:id="rId13" w:history="1">
        <w:r w:rsidRPr="00D32DEB">
          <w:rPr>
            <w:rStyle w:val="Hyperlink"/>
          </w:rPr>
          <w:t>https://www1.nyc.gov/assets/hpd/downloads/pdf/about/hny-2.pdf</w:t>
        </w:r>
      </w:hyperlink>
      <w:r w:rsidRPr="00D32DEB">
        <w:t xml:space="preserve">. </w:t>
      </w:r>
    </w:p>
  </w:footnote>
  <w:footnote w:id="24">
    <w:p w:rsidR="00A75511" w:rsidRPr="00D32DEB" w:rsidRDefault="00A75511" w:rsidP="00D32DEB">
      <w:pPr>
        <w:pStyle w:val="FootnoteText"/>
        <w:jc w:val="left"/>
      </w:pPr>
      <w:r w:rsidRPr="00D32DEB">
        <w:rPr>
          <w:rStyle w:val="FootnoteReference"/>
        </w:rPr>
        <w:footnoteRef/>
      </w:r>
      <w:r w:rsidRPr="00D32DEB">
        <w:t xml:space="preserve"> </w:t>
      </w:r>
      <w:r w:rsidRPr="00D32DEB">
        <w:rPr>
          <w:i/>
        </w:rPr>
        <w:t>Id.</w:t>
      </w:r>
      <w:r w:rsidRPr="00D32DEB">
        <w:t xml:space="preserve"> at 20.</w:t>
      </w:r>
    </w:p>
  </w:footnote>
  <w:footnote w:id="25">
    <w:p w:rsidR="00F20DCE" w:rsidRPr="00D32DEB" w:rsidRDefault="00F20DCE" w:rsidP="00D32DEB">
      <w:pPr>
        <w:pStyle w:val="FootnoteText"/>
        <w:jc w:val="left"/>
      </w:pPr>
      <w:r w:rsidRPr="00D32DEB">
        <w:rPr>
          <w:rStyle w:val="FootnoteReference"/>
        </w:rPr>
        <w:footnoteRef/>
      </w:r>
      <w:r w:rsidRPr="00D32DEB">
        <w:t xml:space="preserve"> </w:t>
      </w:r>
      <w:r w:rsidRPr="00D32DEB">
        <w:rPr>
          <w:i/>
        </w:rPr>
        <w:t>Housing New York 2.0</w:t>
      </w:r>
      <w:r w:rsidRPr="00D32DEB">
        <w:t xml:space="preserve">, </w:t>
      </w:r>
      <w:r w:rsidR="006A00CE" w:rsidRPr="00D32DEB">
        <w:rPr>
          <w:u w:val="single"/>
        </w:rPr>
        <w:t>NYC Department of Housing Preservation and Developments</w:t>
      </w:r>
      <w:r w:rsidRPr="00D32DEB">
        <w:rPr>
          <w:i/>
        </w:rPr>
        <w:t xml:space="preserve">, </w:t>
      </w:r>
      <w:hyperlink r:id="rId14" w:history="1">
        <w:r w:rsidRPr="00D32DEB">
          <w:rPr>
            <w:rStyle w:val="Hyperlink"/>
          </w:rPr>
          <w:t>https://www1.nyc.gov/site/hpd/about/housing-new-york-2-0.page</w:t>
        </w:r>
      </w:hyperlink>
      <w:r w:rsidRPr="00D32DEB">
        <w:t xml:space="preserve">. </w:t>
      </w:r>
    </w:p>
  </w:footnote>
  <w:footnote w:id="26">
    <w:p w:rsidR="00A06348" w:rsidRPr="00D32DEB" w:rsidRDefault="00A06348" w:rsidP="00D32DEB">
      <w:pPr>
        <w:pStyle w:val="FootnoteText"/>
        <w:jc w:val="left"/>
      </w:pPr>
      <w:r w:rsidRPr="00D32DEB">
        <w:rPr>
          <w:rStyle w:val="FootnoteReference"/>
        </w:rPr>
        <w:footnoteRef/>
      </w:r>
      <w:r w:rsidRPr="00D32DEB">
        <w:t xml:space="preserve"> Tony Kamins, </w:t>
      </w:r>
      <w:r w:rsidRPr="00D32DEB">
        <w:rPr>
          <w:i/>
        </w:rPr>
        <w:t>The Distressing Math of NYC’s Future Senior-Housing Need</w:t>
      </w:r>
      <w:r w:rsidRPr="00D32DEB">
        <w:t xml:space="preserve">, </w:t>
      </w:r>
      <w:r w:rsidRPr="00D32DEB">
        <w:rPr>
          <w:u w:val="single"/>
        </w:rPr>
        <w:t>CityLimits.org</w:t>
      </w:r>
      <w:r w:rsidRPr="00D32DEB">
        <w:t xml:space="preserve">, Apr. 24, 2019, </w:t>
      </w:r>
      <w:r w:rsidRPr="00D32DEB">
        <w:rPr>
          <w:i/>
        </w:rPr>
        <w:t xml:space="preserve">available at </w:t>
      </w:r>
      <w:hyperlink r:id="rId15" w:history="1">
        <w:r w:rsidRPr="00D32DEB">
          <w:rPr>
            <w:rStyle w:val="Hyperlink"/>
          </w:rPr>
          <w:t>https://citylimits.org/2019/04/24/the-distressing-math-of-nycs-future-senior-housing-need/</w:t>
        </w:r>
      </w:hyperlink>
      <w:r w:rsidRPr="00D32DEB">
        <w:t>.</w:t>
      </w:r>
    </w:p>
  </w:footnote>
  <w:footnote w:id="27">
    <w:p w:rsidR="00C542D0" w:rsidRPr="00D32DEB" w:rsidRDefault="00C542D0" w:rsidP="00D32DEB">
      <w:pPr>
        <w:pStyle w:val="FootnoteText"/>
        <w:jc w:val="left"/>
      </w:pPr>
      <w:r w:rsidRPr="00D32DEB">
        <w:rPr>
          <w:rStyle w:val="FootnoteReference"/>
        </w:rPr>
        <w:footnoteRef/>
      </w:r>
      <w:r w:rsidRPr="00D32DEB">
        <w:t xml:space="preserve"> </w:t>
      </w:r>
      <w:r w:rsidRPr="00D32DEB">
        <w:rPr>
          <w:i/>
        </w:rPr>
        <w:t>See</w:t>
      </w:r>
      <w:r w:rsidRPr="00D32DEB">
        <w:t xml:space="preserve"> </w:t>
      </w:r>
      <w:r w:rsidRPr="00D32DEB">
        <w:rPr>
          <w:i/>
        </w:rPr>
        <w:t>Senior Citizen Rent Increase Exemption (SCRIE)</w:t>
      </w:r>
      <w:r w:rsidRPr="00D32DEB">
        <w:t xml:space="preserve">, </w:t>
      </w:r>
      <w:r w:rsidRPr="00D32DEB">
        <w:rPr>
          <w:u w:val="single"/>
        </w:rPr>
        <w:t>NYU Furman Center</w:t>
      </w:r>
      <w:r w:rsidRPr="00D32DEB">
        <w:t xml:space="preserve">, </w:t>
      </w:r>
      <w:hyperlink r:id="rId16" w:history="1">
        <w:r w:rsidRPr="00D32DEB">
          <w:rPr>
            <w:rStyle w:val="Hyperlink"/>
          </w:rPr>
          <w:t>https://furmancenter.org/coredata/directory/entry/senior-citizen-rent-increase-exemption-program</w:t>
        </w:r>
      </w:hyperlink>
      <w:r w:rsidRPr="00D32DEB">
        <w:t xml:space="preserve">. </w:t>
      </w:r>
    </w:p>
  </w:footnote>
  <w:footnote w:id="28">
    <w:p w:rsidR="00C542D0" w:rsidRPr="00D32DEB" w:rsidRDefault="00C542D0" w:rsidP="00D32DEB">
      <w:pPr>
        <w:pStyle w:val="FootnoteText"/>
        <w:jc w:val="left"/>
      </w:pPr>
      <w:r w:rsidRPr="00D32DEB">
        <w:rPr>
          <w:rStyle w:val="FootnoteReference"/>
        </w:rPr>
        <w:footnoteRef/>
      </w:r>
      <w:r w:rsidRPr="00D32DEB">
        <w:t xml:space="preserve"> </w:t>
      </w:r>
      <w:r w:rsidRPr="00D32DEB">
        <w:rPr>
          <w:i/>
        </w:rPr>
        <w:t>See</w:t>
      </w:r>
      <w:r w:rsidRPr="00D32DEB">
        <w:t xml:space="preserve"> </w:t>
      </w:r>
      <w:r w:rsidRPr="00D32DEB">
        <w:rPr>
          <w:i/>
        </w:rPr>
        <w:t>Senior citizens exemption</w:t>
      </w:r>
      <w:r w:rsidRPr="00D32DEB">
        <w:t xml:space="preserve">, </w:t>
      </w:r>
      <w:r w:rsidRPr="00D32DEB">
        <w:rPr>
          <w:u w:val="single"/>
        </w:rPr>
        <w:t>New York State Department of Taxation and Finance</w:t>
      </w:r>
      <w:r w:rsidRPr="00D32DEB">
        <w:t xml:space="preserve">, </w:t>
      </w:r>
      <w:hyperlink r:id="rId17" w:history="1">
        <w:r w:rsidRPr="00D32DEB">
          <w:rPr>
            <w:rStyle w:val="Hyperlink"/>
          </w:rPr>
          <w:t>https://www.tax.ny.gov/pit/property/exemption/seniorexempt.htm</w:t>
        </w:r>
      </w:hyperlink>
      <w:r w:rsidRPr="00D32DEB">
        <w:t xml:space="preserve">. </w:t>
      </w:r>
    </w:p>
  </w:footnote>
  <w:footnote w:id="29">
    <w:p w:rsidR="00C9105A" w:rsidRPr="00D32DEB" w:rsidRDefault="00C9105A" w:rsidP="00D32DEB">
      <w:pPr>
        <w:pStyle w:val="FootnoteText"/>
        <w:jc w:val="left"/>
      </w:pPr>
      <w:r w:rsidRPr="00D32DEB">
        <w:rPr>
          <w:rStyle w:val="FootnoteReference"/>
        </w:rPr>
        <w:footnoteRef/>
      </w:r>
      <w:r w:rsidRPr="00D32DEB">
        <w:t xml:space="preserve"> </w:t>
      </w:r>
      <w:r w:rsidRPr="00D32DEB">
        <w:rPr>
          <w:i/>
        </w:rPr>
        <w:t>See</w:t>
      </w:r>
      <w:r w:rsidRPr="00D32DEB">
        <w:t xml:space="preserve"> Chapter 689 of the Laws of 1972. </w:t>
      </w:r>
    </w:p>
  </w:footnote>
  <w:footnote w:id="30">
    <w:p w:rsidR="00C542D0" w:rsidRPr="00D32DEB" w:rsidRDefault="00C542D0" w:rsidP="00D32DEB">
      <w:pPr>
        <w:pStyle w:val="FootnoteText"/>
        <w:jc w:val="left"/>
      </w:pPr>
      <w:r w:rsidRPr="00D32DEB">
        <w:rPr>
          <w:rStyle w:val="FootnoteReference"/>
        </w:rPr>
        <w:footnoteRef/>
      </w:r>
      <w:r w:rsidRPr="00D32DEB">
        <w:t xml:space="preserve"> </w:t>
      </w:r>
      <w:r w:rsidRPr="00D32DEB">
        <w:rPr>
          <w:i/>
        </w:rPr>
        <w:t>Senior Citizen Rent Increase Exemption (SCRIE)</w:t>
      </w:r>
      <w:r w:rsidRPr="00D32DEB">
        <w:t xml:space="preserve">, </w:t>
      </w:r>
      <w:r w:rsidRPr="00D32DEB">
        <w:rPr>
          <w:u w:val="single"/>
        </w:rPr>
        <w:t>NYU Furman Center</w:t>
      </w:r>
      <w:r w:rsidRPr="00D32DEB">
        <w:t xml:space="preserve">, </w:t>
      </w:r>
      <w:hyperlink r:id="rId18" w:history="1">
        <w:r w:rsidRPr="00D32DEB">
          <w:rPr>
            <w:rStyle w:val="Hyperlink"/>
          </w:rPr>
          <w:t>https://furmancenter.org/coredata/directory/entry/senior-citizen-rent-increase-exemption-program</w:t>
        </w:r>
      </w:hyperlink>
      <w:r w:rsidRPr="00D32DEB">
        <w:t>.</w:t>
      </w:r>
    </w:p>
  </w:footnote>
  <w:footnote w:id="31">
    <w:p w:rsidR="00C542D0" w:rsidRPr="00D32DEB" w:rsidRDefault="00C542D0" w:rsidP="00D32DEB">
      <w:pPr>
        <w:pStyle w:val="FootnoteText"/>
        <w:jc w:val="left"/>
        <w:rPr>
          <w:i/>
        </w:rPr>
      </w:pPr>
      <w:r w:rsidRPr="00D32DEB">
        <w:rPr>
          <w:rStyle w:val="FootnoteReference"/>
        </w:rPr>
        <w:footnoteRef/>
      </w:r>
      <w:r w:rsidRPr="00D32DEB">
        <w:t xml:space="preserve"> </w:t>
      </w:r>
      <w:r w:rsidRPr="00D32DEB">
        <w:rPr>
          <w:i/>
        </w:rPr>
        <w:t>Id.</w:t>
      </w:r>
    </w:p>
  </w:footnote>
  <w:footnote w:id="32">
    <w:p w:rsidR="00C9105A" w:rsidRPr="00D32DEB" w:rsidRDefault="00C9105A" w:rsidP="00D32DEB">
      <w:pPr>
        <w:pStyle w:val="FootnoteText"/>
        <w:jc w:val="left"/>
      </w:pPr>
      <w:r w:rsidRPr="00D32DEB">
        <w:rPr>
          <w:rStyle w:val="FootnoteReference"/>
        </w:rPr>
        <w:footnoteRef/>
      </w:r>
      <w:r w:rsidRPr="00D32DEB">
        <w:t xml:space="preserve"> N.Y. State Real Property Tax Law § 467-c; N.Y.C. Admin. Code §§ 26-405(m), 26-406, and 26-509.</w:t>
      </w:r>
    </w:p>
  </w:footnote>
  <w:footnote w:id="33">
    <w:p w:rsidR="00C542D0" w:rsidRPr="00D32DEB" w:rsidRDefault="00C542D0" w:rsidP="00D32DEB">
      <w:pPr>
        <w:pStyle w:val="FootnoteText"/>
        <w:jc w:val="left"/>
      </w:pPr>
      <w:r w:rsidRPr="00D32DEB">
        <w:rPr>
          <w:rStyle w:val="FootnoteReference"/>
        </w:rPr>
        <w:footnoteRef/>
      </w:r>
      <w:r w:rsidRPr="00D32DEB">
        <w:t xml:space="preserve"> </w:t>
      </w:r>
      <w:r w:rsidRPr="00D32DEB">
        <w:rPr>
          <w:i/>
        </w:rPr>
        <w:t>Senior citizens exemption</w:t>
      </w:r>
      <w:r w:rsidRPr="00D32DEB">
        <w:t xml:space="preserve">, </w:t>
      </w:r>
      <w:r w:rsidRPr="00D32DEB">
        <w:rPr>
          <w:u w:val="single"/>
        </w:rPr>
        <w:t>New York State Department of Taxation and Finance</w:t>
      </w:r>
      <w:r w:rsidRPr="00D32DEB">
        <w:t xml:space="preserve">, </w:t>
      </w:r>
      <w:hyperlink r:id="rId19" w:history="1">
        <w:r w:rsidRPr="00D32DEB">
          <w:rPr>
            <w:rStyle w:val="Hyperlink"/>
          </w:rPr>
          <w:t>https://www.tax.ny.gov/pit/property/exemption/seniorexempt.htm</w:t>
        </w:r>
      </w:hyperlink>
      <w:r w:rsidRPr="00D32DEB">
        <w:t>.</w:t>
      </w:r>
    </w:p>
  </w:footnote>
  <w:footnote w:id="34">
    <w:p w:rsidR="00C9105A" w:rsidRPr="00D32DEB" w:rsidRDefault="00C9105A" w:rsidP="00D32DEB">
      <w:pPr>
        <w:pStyle w:val="FootnoteText"/>
        <w:jc w:val="left"/>
      </w:pPr>
      <w:r w:rsidRPr="00D32DEB">
        <w:rPr>
          <w:rStyle w:val="FootnoteReference"/>
        </w:rPr>
        <w:footnoteRef/>
      </w:r>
      <w:r w:rsidRPr="00D32DEB">
        <w:t xml:space="preserve"> </w:t>
      </w:r>
      <w:r w:rsidR="00C542D0" w:rsidRPr="00D32DEB">
        <w:rPr>
          <w:i/>
        </w:rPr>
        <w:t>Senior Citizen Homeowners’ Exemption (SCHE)</w:t>
      </w:r>
      <w:r w:rsidR="00C542D0" w:rsidRPr="00D32DEB">
        <w:t xml:space="preserve">, </w:t>
      </w:r>
      <w:r w:rsidRPr="00D32DEB">
        <w:rPr>
          <w:u w:val="single"/>
        </w:rPr>
        <w:t>NYC Department of Finance</w:t>
      </w:r>
      <w:r w:rsidRPr="00D32DEB">
        <w:t>,</w:t>
      </w:r>
      <w:r w:rsidR="00C542D0" w:rsidRPr="00D32DEB">
        <w:t xml:space="preserve"> </w:t>
      </w:r>
      <w:r w:rsidR="00C542D0" w:rsidRPr="00D32DEB">
        <w:rPr>
          <w:i/>
        </w:rPr>
        <w:t>available at</w:t>
      </w:r>
      <w:r w:rsidRPr="00D32DEB">
        <w:t xml:space="preserve"> </w:t>
      </w:r>
      <w:hyperlink r:id="rId20" w:history="1">
        <w:r w:rsidRPr="00D32DEB">
          <w:rPr>
            <w:rStyle w:val="Hyperlink"/>
          </w:rPr>
          <w:t>https://www1.nyc.gov/site/finance/benefits/landlords-sche.page</w:t>
        </w:r>
      </w:hyperlink>
      <w:r w:rsidRPr="00D32DEB">
        <w:t xml:space="preserve">. </w:t>
      </w:r>
    </w:p>
  </w:footnote>
  <w:footnote w:id="35">
    <w:p w:rsidR="00C9105A" w:rsidRPr="00D32DEB" w:rsidRDefault="00C9105A" w:rsidP="00D32DEB">
      <w:pPr>
        <w:pStyle w:val="FootnoteText"/>
        <w:jc w:val="left"/>
        <w:rPr>
          <w:i/>
        </w:rPr>
      </w:pPr>
      <w:r w:rsidRPr="00D32DEB">
        <w:rPr>
          <w:rStyle w:val="FootnoteReference"/>
        </w:rPr>
        <w:footnoteRef/>
      </w:r>
      <w:r w:rsidRPr="00D32DEB">
        <w:t xml:space="preserve"> </w:t>
      </w:r>
      <w:r w:rsidRPr="00D32DEB">
        <w:rPr>
          <w:i/>
        </w:rPr>
        <w:t xml:space="preserve">Id. </w:t>
      </w:r>
    </w:p>
  </w:footnote>
  <w:footnote w:id="36">
    <w:p w:rsidR="00C74239" w:rsidRPr="00D32DEB" w:rsidRDefault="00C74239" w:rsidP="00D32DEB">
      <w:pPr>
        <w:pStyle w:val="FootnoteText"/>
        <w:jc w:val="left"/>
      </w:pPr>
      <w:r w:rsidRPr="00D32DEB">
        <w:rPr>
          <w:rStyle w:val="FootnoteReference"/>
        </w:rPr>
        <w:footnoteRef/>
      </w:r>
      <w:r w:rsidRPr="00D32DEB">
        <w:t xml:space="preserve"> </w:t>
      </w:r>
      <w:r w:rsidRPr="00D32DEB">
        <w:rPr>
          <w:i/>
        </w:rPr>
        <w:t>Senior Affordable Rental Apartments</w:t>
      </w:r>
      <w:r w:rsidRPr="00D32DEB">
        <w:t xml:space="preserve">, </w:t>
      </w:r>
      <w:r w:rsidR="006A00CE" w:rsidRPr="00D32DEB">
        <w:rPr>
          <w:u w:val="single"/>
        </w:rPr>
        <w:t>NYC Department of Housing Preservation and Developments</w:t>
      </w:r>
      <w:r w:rsidRPr="00D32DEB">
        <w:t xml:space="preserve">, </w:t>
      </w:r>
      <w:hyperlink r:id="rId21" w:history="1">
        <w:r w:rsidRPr="00D32DEB">
          <w:rPr>
            <w:rStyle w:val="Hyperlink"/>
          </w:rPr>
          <w:t>https://www1.nyc.gov/site/hpd/developers/development-programs/senior-affordable-rental-apartments-program.page</w:t>
        </w:r>
      </w:hyperlink>
      <w:r w:rsidRPr="00D32DEB">
        <w:t>.</w:t>
      </w:r>
    </w:p>
  </w:footnote>
  <w:footnote w:id="37">
    <w:p w:rsidR="006E4462" w:rsidRPr="00D32DEB" w:rsidRDefault="006E4462" w:rsidP="00D32DEB">
      <w:pPr>
        <w:pStyle w:val="FootnoteText"/>
        <w:jc w:val="left"/>
      </w:pPr>
      <w:r w:rsidRPr="00D32DEB">
        <w:rPr>
          <w:rStyle w:val="FootnoteReference"/>
        </w:rPr>
        <w:footnoteRef/>
      </w:r>
      <w:r w:rsidRPr="00D32DEB">
        <w:t xml:space="preserve"> </w:t>
      </w:r>
      <w:r w:rsidRPr="00D32DEB">
        <w:rPr>
          <w:i/>
        </w:rPr>
        <w:t>HPD and NYCHA Announce Development Teams for 100% Affordable Senior Housing in the Bronx and Brooklyn</w:t>
      </w:r>
      <w:r w:rsidRPr="00D32DEB">
        <w:t xml:space="preserve">, </w:t>
      </w:r>
      <w:r w:rsidR="006A00CE" w:rsidRPr="00D32DEB">
        <w:rPr>
          <w:u w:val="single"/>
        </w:rPr>
        <w:t>NYC Department of Housing Preservation and Developments</w:t>
      </w:r>
      <w:r w:rsidRPr="00D32DEB">
        <w:t xml:space="preserve">, Mar. 11, 2019, </w:t>
      </w:r>
      <w:r w:rsidRPr="00D32DEB">
        <w:rPr>
          <w:i/>
        </w:rPr>
        <w:t xml:space="preserve">available at </w:t>
      </w:r>
      <w:hyperlink r:id="rId22" w:history="1">
        <w:r w:rsidRPr="00D32DEB">
          <w:rPr>
            <w:rStyle w:val="Hyperlink"/>
          </w:rPr>
          <w:t>https://www1.nyc.gov/site/hpd/about/press-releases/2019/03/hpd-and-nycha-announce-development-teams-for-senior-affordable-housing.page</w:t>
        </w:r>
      </w:hyperlink>
      <w:r w:rsidRPr="00D32DEB">
        <w:t>.</w:t>
      </w:r>
    </w:p>
  </w:footnote>
  <w:footnote w:id="38">
    <w:p w:rsidR="008D4CD9" w:rsidRPr="00D32DEB" w:rsidRDefault="008D4CD9" w:rsidP="00D32DEB">
      <w:pPr>
        <w:pStyle w:val="FootnoteText"/>
        <w:jc w:val="left"/>
      </w:pPr>
      <w:r w:rsidRPr="00D32DEB">
        <w:rPr>
          <w:rStyle w:val="FootnoteReference"/>
        </w:rPr>
        <w:footnoteRef/>
      </w:r>
      <w:r w:rsidRPr="00D32DEB">
        <w:t xml:space="preserve"> NYC Council Department of Finance, Dec. 9, 2019.</w:t>
      </w:r>
    </w:p>
  </w:footnote>
  <w:footnote w:id="39">
    <w:p w:rsidR="008D4CD9" w:rsidRPr="00D32DEB" w:rsidRDefault="008D4CD9" w:rsidP="00D32DEB">
      <w:pPr>
        <w:pStyle w:val="FootnoteText"/>
        <w:jc w:val="left"/>
      </w:pPr>
      <w:r w:rsidRPr="00D32DEB">
        <w:rPr>
          <w:rStyle w:val="FootnoteReference"/>
        </w:rPr>
        <w:footnoteRef/>
      </w:r>
      <w:r w:rsidRPr="00D32DEB">
        <w:t xml:space="preserve"> </w:t>
      </w:r>
      <w:r w:rsidRPr="00D32DEB">
        <w:rPr>
          <w:i/>
        </w:rPr>
        <w:t xml:space="preserve">Aging in Place, </w:t>
      </w:r>
      <w:r w:rsidR="006A00CE" w:rsidRPr="00D32DEB">
        <w:rPr>
          <w:u w:val="single"/>
        </w:rPr>
        <w:t>NYC Department of Housing Preservation and Developments</w:t>
      </w:r>
      <w:r w:rsidRPr="00D32DEB">
        <w:t xml:space="preserve">, </w:t>
      </w:r>
      <w:hyperlink r:id="rId23" w:history="1">
        <w:r w:rsidRPr="00D32DEB">
          <w:rPr>
            <w:rStyle w:val="Hyperlink"/>
          </w:rPr>
          <w:t>https://www1.nyc.gov/site/hpd/developers/aging-in-place.page</w:t>
        </w:r>
      </w:hyperlink>
      <w:r w:rsidRPr="00D32DEB">
        <w:t xml:space="preserve">. </w:t>
      </w:r>
    </w:p>
  </w:footnote>
  <w:footnote w:id="40">
    <w:p w:rsidR="008D4CD9" w:rsidRPr="00D32DEB" w:rsidRDefault="008D4CD9" w:rsidP="00D32DEB">
      <w:pPr>
        <w:pStyle w:val="FootnoteText"/>
        <w:jc w:val="left"/>
        <w:rPr>
          <w:i/>
        </w:rPr>
      </w:pPr>
      <w:r w:rsidRPr="00D32DEB">
        <w:rPr>
          <w:rStyle w:val="FootnoteReference"/>
        </w:rPr>
        <w:footnoteRef/>
      </w:r>
      <w:r w:rsidRPr="00D32DEB">
        <w:t xml:space="preserve"> </w:t>
      </w:r>
      <w:r w:rsidRPr="00D32DEB">
        <w:rPr>
          <w:i/>
        </w:rPr>
        <w:t>Id.</w:t>
      </w:r>
    </w:p>
  </w:footnote>
  <w:footnote w:id="41">
    <w:p w:rsidR="008D4CD9" w:rsidRPr="00D32DEB" w:rsidRDefault="008D4CD9" w:rsidP="00D32DEB">
      <w:pPr>
        <w:pStyle w:val="FootnoteText"/>
        <w:jc w:val="left"/>
        <w:rPr>
          <w:i/>
        </w:rPr>
      </w:pPr>
      <w:r w:rsidRPr="00D32DEB">
        <w:rPr>
          <w:rStyle w:val="FootnoteReference"/>
        </w:rPr>
        <w:footnoteRef/>
      </w:r>
      <w:r w:rsidRPr="00D32DEB">
        <w:t xml:space="preserve"> </w:t>
      </w:r>
      <w:r w:rsidRPr="00D32DEB">
        <w:rPr>
          <w:i/>
        </w:rPr>
        <w:t>Id.</w:t>
      </w:r>
    </w:p>
  </w:footnote>
  <w:footnote w:id="42">
    <w:p w:rsidR="006F696E" w:rsidRPr="00D32DEB" w:rsidRDefault="006F696E" w:rsidP="00D32DEB">
      <w:pPr>
        <w:pStyle w:val="FootnoteText"/>
        <w:jc w:val="left"/>
      </w:pPr>
      <w:r w:rsidRPr="00D32DEB">
        <w:rPr>
          <w:rStyle w:val="FootnoteReference"/>
        </w:rPr>
        <w:footnoteRef/>
      </w:r>
      <w:r w:rsidRPr="00D32DEB">
        <w:t xml:space="preserve"> </w:t>
      </w:r>
      <w:r w:rsidR="006E4462" w:rsidRPr="00D32DEB">
        <w:rPr>
          <w:i/>
        </w:rPr>
        <w:t>Section 202 Supportive Housing for the Elderly Program</w:t>
      </w:r>
      <w:r w:rsidR="006E4462" w:rsidRPr="00D32DEB">
        <w:t xml:space="preserve">, </w:t>
      </w:r>
      <w:r w:rsidRPr="00D32DEB">
        <w:rPr>
          <w:u w:val="single"/>
        </w:rPr>
        <w:t>U.S. Department of Housing and Urban Development</w:t>
      </w:r>
      <w:r w:rsidR="006E4462" w:rsidRPr="00D32DEB">
        <w:t>,</w:t>
      </w:r>
      <w:r w:rsidRPr="00D32DEB">
        <w:t xml:space="preserve"> </w:t>
      </w:r>
      <w:hyperlink r:id="rId24" w:history="1">
        <w:r w:rsidRPr="00D32DEB">
          <w:rPr>
            <w:rStyle w:val="Hyperlink"/>
          </w:rPr>
          <w:t>http://portal.hud.gov/hudportal/HUD?src=/program_offices/housing/mfh/progdesc/eld202</w:t>
        </w:r>
      </w:hyperlink>
      <w:r w:rsidRPr="00D32DEB">
        <w:t xml:space="preserve">; 12 U.S.C.A § </w:t>
      </w:r>
      <w:r w:rsidR="006E4462" w:rsidRPr="00D32DEB">
        <w:t>1701q;</w:t>
      </w:r>
      <w:r w:rsidRPr="00D32DEB">
        <w:t xml:space="preserve"> </w:t>
      </w:r>
      <w:r w:rsidR="006E4462" w:rsidRPr="00D32DEB">
        <w:rPr>
          <w:i/>
        </w:rPr>
        <w:t>s</w:t>
      </w:r>
      <w:r w:rsidRPr="00D32DEB">
        <w:rPr>
          <w:i/>
        </w:rPr>
        <w:t>ee also</w:t>
      </w:r>
      <w:r w:rsidR="006E4462" w:rsidRPr="00D32DEB">
        <w:rPr>
          <w:i/>
        </w:rPr>
        <w:t xml:space="preserve"> Alternatives in Senior Housing Brooklyn</w:t>
      </w:r>
      <w:r w:rsidR="006E4462" w:rsidRPr="00D32DEB">
        <w:t xml:space="preserve">, </w:t>
      </w:r>
      <w:r w:rsidR="006E4462" w:rsidRPr="00D32DEB">
        <w:rPr>
          <w:u w:val="single"/>
        </w:rPr>
        <w:t>NYC Department for the Aging</w:t>
      </w:r>
      <w:r w:rsidR="006E4462" w:rsidRPr="00D32DEB">
        <w:t xml:space="preserve">, </w:t>
      </w:r>
      <w:r w:rsidR="006A00CE" w:rsidRPr="00D32DEB">
        <w:t xml:space="preserve">Oct. 2017, </w:t>
      </w:r>
      <w:r w:rsidR="006A00CE" w:rsidRPr="00D32DEB">
        <w:rPr>
          <w:i/>
        </w:rPr>
        <w:t>available at</w:t>
      </w:r>
      <w:r w:rsidRPr="00D32DEB">
        <w:t xml:space="preserve"> </w:t>
      </w:r>
      <w:hyperlink r:id="rId25" w:history="1">
        <w:r w:rsidRPr="00D32DEB">
          <w:rPr>
            <w:rStyle w:val="Hyperlink"/>
          </w:rPr>
          <w:t>https://www1.nyc.gov/assets/dfta/downloads/pdf/publications/HousingBrooklyn2017v2.pdf</w:t>
        </w:r>
      </w:hyperlink>
      <w:r w:rsidRPr="00D32DEB">
        <w:t>.</w:t>
      </w:r>
    </w:p>
  </w:footnote>
  <w:footnote w:id="43">
    <w:p w:rsidR="006F696E" w:rsidRPr="00D32DEB" w:rsidRDefault="006F696E" w:rsidP="00D32DEB">
      <w:pPr>
        <w:pStyle w:val="FootnoteText"/>
        <w:jc w:val="left"/>
        <w:rPr>
          <w:i/>
        </w:rPr>
      </w:pPr>
      <w:r w:rsidRPr="00D32DEB">
        <w:rPr>
          <w:rStyle w:val="FootnoteReference"/>
        </w:rPr>
        <w:footnoteRef/>
      </w:r>
      <w:r w:rsidRPr="00D32DEB">
        <w:t xml:space="preserve"> </w:t>
      </w:r>
      <w:r w:rsidR="006A00CE" w:rsidRPr="00D32DEB">
        <w:rPr>
          <w:i/>
        </w:rPr>
        <w:t>Section 202 Supportive Housing for the Elderly (Section 202)</w:t>
      </w:r>
      <w:r w:rsidR="006A00CE" w:rsidRPr="00D32DEB">
        <w:t xml:space="preserve">, </w:t>
      </w:r>
      <w:r w:rsidR="006A00CE" w:rsidRPr="00D32DEB">
        <w:rPr>
          <w:u w:val="single"/>
        </w:rPr>
        <w:t>NYU Furman Center</w:t>
      </w:r>
      <w:r w:rsidRPr="00D32DEB">
        <w:t>,</w:t>
      </w:r>
      <w:r w:rsidR="006A00CE" w:rsidRPr="00D32DEB">
        <w:t xml:space="preserve"> </w:t>
      </w:r>
      <w:r w:rsidR="006A00CE" w:rsidRPr="00D32DEB">
        <w:rPr>
          <w:i/>
        </w:rPr>
        <w:t>available at</w:t>
      </w:r>
      <w:r w:rsidRPr="00D32DEB">
        <w:t xml:space="preserve"> </w:t>
      </w:r>
      <w:hyperlink r:id="rId26" w:history="1">
        <w:r w:rsidRPr="00D32DEB">
          <w:rPr>
            <w:rStyle w:val="Hyperlink"/>
          </w:rPr>
          <w:t>https://furmancenter.org/coredata/directory/entry/section-202-supportive-housing-for-the-elderly</w:t>
        </w:r>
      </w:hyperlink>
      <w:r w:rsidRPr="00D32DEB">
        <w:t>.</w:t>
      </w:r>
    </w:p>
  </w:footnote>
  <w:footnote w:id="44">
    <w:p w:rsidR="006F696E" w:rsidRPr="00D32DEB" w:rsidRDefault="006F696E" w:rsidP="00D32DEB">
      <w:pPr>
        <w:pStyle w:val="FootnoteText"/>
        <w:jc w:val="left"/>
        <w:rPr>
          <w:i/>
        </w:rPr>
      </w:pPr>
      <w:r w:rsidRPr="00D32DEB">
        <w:rPr>
          <w:rStyle w:val="FootnoteReference"/>
        </w:rPr>
        <w:footnoteRef/>
      </w:r>
      <w:r w:rsidRPr="00D32DEB">
        <w:t xml:space="preserve"> </w:t>
      </w:r>
      <w:r w:rsidR="006A00CE" w:rsidRPr="00D32DEB">
        <w:rPr>
          <w:i/>
        </w:rPr>
        <w:t>Id.</w:t>
      </w:r>
    </w:p>
  </w:footnote>
  <w:footnote w:id="45">
    <w:p w:rsidR="006F696E" w:rsidRPr="00D32DEB" w:rsidRDefault="006F696E" w:rsidP="00D32DEB">
      <w:pPr>
        <w:pStyle w:val="FootnoteText"/>
        <w:jc w:val="left"/>
        <w:rPr>
          <w:i/>
        </w:rPr>
      </w:pPr>
      <w:r w:rsidRPr="00D32DEB">
        <w:rPr>
          <w:rStyle w:val="FootnoteReference"/>
        </w:rPr>
        <w:footnoteRef/>
      </w:r>
      <w:r w:rsidRPr="00D32DEB">
        <w:t xml:space="preserve"> </w:t>
      </w:r>
      <w:r w:rsidR="006A00CE" w:rsidRPr="00D32DEB">
        <w:rPr>
          <w:i/>
        </w:rPr>
        <w:t>Id.</w:t>
      </w:r>
    </w:p>
  </w:footnote>
  <w:footnote w:id="46">
    <w:p w:rsidR="006F696E" w:rsidRPr="00D32DEB" w:rsidRDefault="006F696E" w:rsidP="00D32DEB">
      <w:pPr>
        <w:pStyle w:val="FootnoteText"/>
        <w:jc w:val="left"/>
        <w:rPr>
          <w:i/>
        </w:rPr>
      </w:pPr>
      <w:r w:rsidRPr="00D32DEB">
        <w:rPr>
          <w:rStyle w:val="FootnoteReference"/>
        </w:rPr>
        <w:footnoteRef/>
      </w:r>
      <w:r w:rsidRPr="00D32DEB">
        <w:t xml:space="preserve"> </w:t>
      </w:r>
      <w:r w:rsidR="006A00CE" w:rsidRPr="00D32DEB">
        <w:rPr>
          <w:i/>
        </w:rPr>
        <w:t>Id.</w:t>
      </w:r>
    </w:p>
  </w:footnote>
  <w:footnote w:id="47">
    <w:p w:rsidR="006F696E" w:rsidRPr="00D32DEB" w:rsidRDefault="006F696E" w:rsidP="00D32DEB">
      <w:pPr>
        <w:pStyle w:val="FootnoteText"/>
        <w:jc w:val="left"/>
        <w:rPr>
          <w:i/>
        </w:rPr>
      </w:pPr>
      <w:r w:rsidRPr="00D32DEB">
        <w:rPr>
          <w:rStyle w:val="FootnoteReference"/>
        </w:rPr>
        <w:footnoteRef/>
      </w:r>
      <w:r w:rsidRPr="00D32DEB">
        <w:t xml:space="preserve"> </w:t>
      </w:r>
      <w:r w:rsidR="006A00CE" w:rsidRPr="00D32DEB">
        <w:rPr>
          <w:i/>
        </w:rPr>
        <w:t>Id.</w:t>
      </w:r>
    </w:p>
  </w:footnote>
  <w:footnote w:id="48">
    <w:p w:rsidR="00AF64AF" w:rsidRPr="00D32DEB" w:rsidRDefault="00AF64AF" w:rsidP="00D32DEB">
      <w:pPr>
        <w:pStyle w:val="FootnoteText"/>
        <w:jc w:val="left"/>
      </w:pPr>
      <w:r w:rsidRPr="00D32DEB">
        <w:rPr>
          <w:rStyle w:val="FootnoteReference"/>
        </w:rPr>
        <w:footnoteRef/>
      </w:r>
      <w:r w:rsidRPr="00D32DEB">
        <w:t xml:space="preserve"> </w:t>
      </w:r>
      <w:r w:rsidRPr="00D32DEB">
        <w:rPr>
          <w:i/>
        </w:rPr>
        <w:t>FY 2018 Section 202 Supportive Housing for the Elderly Program</w:t>
      </w:r>
      <w:r w:rsidRPr="00D32DEB">
        <w:t xml:space="preserve">, </w:t>
      </w:r>
      <w:r w:rsidRPr="00D32DEB">
        <w:rPr>
          <w:u w:val="single"/>
        </w:rPr>
        <w:t>U.S. Department of Housing and Urban Development</w:t>
      </w:r>
      <w:r w:rsidRPr="00D32DEB">
        <w:t xml:space="preserve">, </w:t>
      </w:r>
      <w:r w:rsidRPr="00D32DEB">
        <w:rPr>
          <w:i/>
        </w:rPr>
        <w:t>available at</w:t>
      </w:r>
      <w:r w:rsidRPr="00D32DEB">
        <w:t xml:space="preserve"> </w:t>
      </w:r>
      <w:hyperlink r:id="rId27" w:history="1">
        <w:r w:rsidRPr="00D32DEB">
          <w:rPr>
            <w:rStyle w:val="Hyperlink"/>
          </w:rPr>
          <w:t>https://www.hud.gov/sites/dfiles/SPM/documents/FY2018-Section202-NOFA.pdf</w:t>
        </w:r>
      </w:hyperlink>
      <w:r w:rsidRPr="00D32DEB">
        <w:t xml:space="preserve">. </w:t>
      </w:r>
    </w:p>
  </w:footnote>
  <w:footnote w:id="49">
    <w:p w:rsidR="00AF64AF" w:rsidRPr="00D32DEB" w:rsidRDefault="00AF64AF" w:rsidP="00D32DEB">
      <w:pPr>
        <w:pStyle w:val="FootnoteText"/>
        <w:jc w:val="left"/>
        <w:rPr>
          <w:i/>
        </w:rPr>
      </w:pPr>
      <w:r w:rsidRPr="00D32DEB">
        <w:rPr>
          <w:rStyle w:val="FootnoteReference"/>
        </w:rPr>
        <w:footnoteRef/>
      </w:r>
      <w:r w:rsidRPr="00D32DEB">
        <w:t xml:space="preserve"> </w:t>
      </w:r>
      <w:r w:rsidRPr="00D32DEB">
        <w:rPr>
          <w:i/>
        </w:rPr>
        <w:t>Id.</w:t>
      </w:r>
    </w:p>
  </w:footnote>
  <w:footnote w:id="50">
    <w:p w:rsidR="008D4CD9" w:rsidRPr="00D32DEB" w:rsidRDefault="008D4CD9" w:rsidP="00D32DEB">
      <w:pPr>
        <w:pStyle w:val="FootnoteText"/>
        <w:jc w:val="left"/>
      </w:pPr>
      <w:r w:rsidRPr="00D32DEB">
        <w:rPr>
          <w:rStyle w:val="FootnoteReference"/>
        </w:rPr>
        <w:footnoteRef/>
      </w:r>
      <w:r w:rsidRPr="00D32DEB">
        <w:t xml:space="preserve"> Information </w:t>
      </w:r>
      <w:r w:rsidR="00AF64AF" w:rsidRPr="00D32DEB">
        <w:t>provided to the City Council by HPD, May 9, 2019, on file with Committee staff.</w:t>
      </w:r>
    </w:p>
  </w:footnote>
  <w:footnote w:id="51">
    <w:p w:rsidR="00AF64AF" w:rsidRPr="00D32DEB" w:rsidRDefault="00AF64AF" w:rsidP="00D32DEB">
      <w:pPr>
        <w:pStyle w:val="FootnoteText"/>
        <w:jc w:val="left"/>
        <w:rPr>
          <w:i/>
        </w:rPr>
      </w:pPr>
      <w:r w:rsidRPr="00D32DEB">
        <w:rPr>
          <w:rStyle w:val="FootnoteReference"/>
        </w:rPr>
        <w:footnoteRef/>
      </w:r>
      <w:r w:rsidRPr="00D32DEB">
        <w:t xml:space="preserve"> </w:t>
      </w:r>
      <w:r w:rsidRPr="00D32DEB">
        <w:rPr>
          <w:i/>
        </w:rPr>
        <w:t>Id.</w:t>
      </w:r>
    </w:p>
  </w:footnote>
  <w:footnote w:id="52">
    <w:p w:rsidR="006F696E" w:rsidRPr="00D32DEB" w:rsidRDefault="006F696E" w:rsidP="00D32DEB">
      <w:pPr>
        <w:pStyle w:val="FootnoteText"/>
        <w:jc w:val="left"/>
      </w:pPr>
      <w:r w:rsidRPr="00D32DEB">
        <w:rPr>
          <w:rStyle w:val="FootnoteReference"/>
        </w:rPr>
        <w:footnoteRef/>
      </w:r>
      <w:r w:rsidRPr="00D32DEB">
        <w:t xml:space="preserve"> </w:t>
      </w:r>
      <w:r w:rsidR="006A00CE" w:rsidRPr="00D32DEB">
        <w:rPr>
          <w:i/>
        </w:rPr>
        <w:t>Section 202 Supportive Housing for the Elderly Program</w:t>
      </w:r>
      <w:r w:rsidR="006A00CE" w:rsidRPr="00D32DEB">
        <w:t xml:space="preserve">, </w:t>
      </w:r>
      <w:r w:rsidR="006A00CE" w:rsidRPr="00D32DEB">
        <w:rPr>
          <w:u w:val="single"/>
        </w:rPr>
        <w:t>U.S. Department of Housing and Urban Development</w:t>
      </w:r>
      <w:r w:rsidR="006A00CE" w:rsidRPr="00D32DEB">
        <w:t xml:space="preserve">, </w:t>
      </w:r>
      <w:hyperlink r:id="rId28" w:history="1">
        <w:r w:rsidR="006A00CE" w:rsidRPr="00D32DEB">
          <w:rPr>
            <w:rStyle w:val="Hyperlink"/>
          </w:rPr>
          <w:t>http://portal.hud.gov/hudportal/HUD?src=/program_offices/housing/mfh/progdesc/eld202</w:t>
        </w:r>
      </w:hyperlink>
      <w:r w:rsidR="006A00CE" w:rsidRPr="00D32DEB">
        <w:t>.</w:t>
      </w:r>
    </w:p>
  </w:footnote>
  <w:footnote w:id="53">
    <w:p w:rsidR="006F696E" w:rsidRPr="00D32DEB" w:rsidRDefault="006F696E" w:rsidP="00D32DEB">
      <w:pPr>
        <w:pStyle w:val="FootnoteText"/>
        <w:jc w:val="left"/>
      </w:pPr>
      <w:r w:rsidRPr="00D32DEB">
        <w:rPr>
          <w:rStyle w:val="FootnoteReference"/>
        </w:rPr>
        <w:footnoteRef/>
      </w:r>
      <w:r w:rsidRPr="00D32DEB">
        <w:t xml:space="preserve"> </w:t>
      </w:r>
      <w:r w:rsidR="006A00CE" w:rsidRPr="00D32DEB">
        <w:rPr>
          <w:i/>
        </w:rPr>
        <w:t>Housing Choice Vouchers Fact Sheet</w:t>
      </w:r>
      <w:r w:rsidR="006A00CE" w:rsidRPr="00D32DEB">
        <w:t>,</w:t>
      </w:r>
      <w:r w:rsidR="006A00CE" w:rsidRPr="00D32DEB">
        <w:rPr>
          <w:i/>
        </w:rPr>
        <w:t xml:space="preserve"> </w:t>
      </w:r>
      <w:r w:rsidRPr="00D32DEB">
        <w:rPr>
          <w:u w:val="single"/>
        </w:rPr>
        <w:t>U.S. Department of Housing and Urban Development</w:t>
      </w:r>
      <w:r w:rsidR="006A00CE" w:rsidRPr="00D32DEB">
        <w:t>,</w:t>
      </w:r>
      <w:r w:rsidRPr="00D32DEB">
        <w:t xml:space="preserve"> </w:t>
      </w:r>
      <w:hyperlink r:id="rId29" w:history="1">
        <w:r w:rsidRPr="00D32DEB">
          <w:rPr>
            <w:rStyle w:val="Hyperlink"/>
          </w:rPr>
          <w:t>http://portal.hud.gov/hudportal/HUD?src=/topics/housing_choice_voucher_program_section_8</w:t>
        </w:r>
      </w:hyperlink>
      <w:r w:rsidR="006A00CE" w:rsidRPr="00D32DEB">
        <w:t>.</w:t>
      </w:r>
      <w:r w:rsidRPr="00D32DEB">
        <w:t xml:space="preserve"> </w:t>
      </w:r>
    </w:p>
  </w:footnote>
  <w:footnote w:id="54">
    <w:p w:rsidR="006F696E" w:rsidRPr="00D32DEB" w:rsidRDefault="006F696E" w:rsidP="00D32DEB">
      <w:pPr>
        <w:pStyle w:val="FootnoteText"/>
        <w:jc w:val="left"/>
      </w:pPr>
      <w:r w:rsidRPr="00D32DEB">
        <w:rPr>
          <w:rStyle w:val="FootnoteReference"/>
        </w:rPr>
        <w:footnoteRef/>
      </w:r>
      <w:r w:rsidRPr="00D32DEB">
        <w:t xml:space="preserve"> </w:t>
      </w:r>
      <w:r w:rsidR="006A00CE" w:rsidRPr="00D32DEB">
        <w:rPr>
          <w:i/>
        </w:rPr>
        <w:t>Alternatives in Senior Housing Brooklyn</w:t>
      </w:r>
      <w:r w:rsidR="006A00CE" w:rsidRPr="00D32DEB">
        <w:t xml:space="preserve">, </w:t>
      </w:r>
      <w:r w:rsidR="006A00CE" w:rsidRPr="00D32DEB">
        <w:rPr>
          <w:u w:val="single"/>
        </w:rPr>
        <w:t>NYC Department for the Aging</w:t>
      </w:r>
      <w:r w:rsidR="006A00CE" w:rsidRPr="00D32DEB">
        <w:t xml:space="preserve">, Oct. 2017, </w:t>
      </w:r>
      <w:r w:rsidR="006A00CE" w:rsidRPr="00D32DEB">
        <w:rPr>
          <w:i/>
        </w:rPr>
        <w:t>available at</w:t>
      </w:r>
      <w:r w:rsidR="006A00CE" w:rsidRPr="00D32DEB">
        <w:t xml:space="preserve"> </w:t>
      </w:r>
      <w:hyperlink r:id="rId30" w:history="1">
        <w:r w:rsidR="006A00CE" w:rsidRPr="00D32DEB">
          <w:rPr>
            <w:rStyle w:val="Hyperlink"/>
          </w:rPr>
          <w:t>https://www1.nyc.gov/assets/dfta/downloads/pdf/publications/HousingBrooklyn2017v2.pdf</w:t>
        </w:r>
      </w:hyperlink>
      <w:r w:rsidR="006A00CE" w:rsidRPr="00D32DEB">
        <w:t>.</w:t>
      </w:r>
    </w:p>
  </w:footnote>
  <w:footnote w:id="55">
    <w:p w:rsidR="006F696E" w:rsidRPr="00D32DEB" w:rsidRDefault="006F696E" w:rsidP="00D32DEB">
      <w:pPr>
        <w:pStyle w:val="FootnoteText"/>
        <w:jc w:val="left"/>
      </w:pPr>
      <w:r w:rsidRPr="00D32DEB">
        <w:rPr>
          <w:rStyle w:val="FootnoteReference"/>
        </w:rPr>
        <w:footnoteRef/>
      </w:r>
      <w:r w:rsidRPr="00D32DEB">
        <w:t xml:space="preserve"> </w:t>
      </w:r>
      <w:r w:rsidR="006A00CE" w:rsidRPr="00D32DEB">
        <w:rPr>
          <w:i/>
        </w:rPr>
        <w:t>DTS Section 8 General Program Indicator</w:t>
      </w:r>
      <w:r w:rsidR="006A00CE" w:rsidRPr="00D32DEB">
        <w:t xml:space="preserve">, </w:t>
      </w:r>
      <w:r w:rsidR="006A00CE" w:rsidRPr="00D32DEB">
        <w:rPr>
          <w:u w:val="single"/>
        </w:rPr>
        <w:t>NYC</w:t>
      </w:r>
      <w:r w:rsidRPr="00D32DEB">
        <w:rPr>
          <w:u w:val="single"/>
        </w:rPr>
        <w:t xml:space="preserve"> Department of Housing Preservation and Developments</w:t>
      </w:r>
      <w:r w:rsidRPr="00D32DEB">
        <w:t xml:space="preserve">, </w:t>
      </w:r>
      <w:r w:rsidR="006A00CE" w:rsidRPr="00D32DEB">
        <w:rPr>
          <w:i/>
        </w:rPr>
        <w:t xml:space="preserve">available at </w:t>
      </w:r>
      <w:hyperlink r:id="rId31" w:history="1">
        <w:r w:rsidRPr="00D32DEB">
          <w:rPr>
            <w:rStyle w:val="Hyperlink"/>
          </w:rPr>
          <w:t>https://www1.nyc.gov/assets/hpd/downloads/pdf/hpd-section-8-program-statistics.pdf</w:t>
        </w:r>
      </w:hyperlink>
      <w:r w:rsidR="006A00CE" w:rsidRPr="00D32DEB">
        <w:t>.</w:t>
      </w:r>
    </w:p>
  </w:footnote>
  <w:footnote w:id="56">
    <w:p w:rsidR="006F696E" w:rsidRPr="00D32DEB" w:rsidRDefault="006F696E" w:rsidP="00D32DEB">
      <w:pPr>
        <w:pStyle w:val="FootnoteText"/>
        <w:jc w:val="left"/>
      </w:pPr>
      <w:r w:rsidRPr="00D32DEB">
        <w:rPr>
          <w:rStyle w:val="FootnoteReference"/>
        </w:rPr>
        <w:footnoteRef/>
      </w:r>
      <w:r w:rsidRPr="00D32DEB">
        <w:t xml:space="preserve"> </w:t>
      </w:r>
      <w:r w:rsidR="006A00CE" w:rsidRPr="00D32DEB">
        <w:rPr>
          <w:i/>
        </w:rPr>
        <w:t>Section 8</w:t>
      </w:r>
      <w:r w:rsidR="006A00CE" w:rsidRPr="00D32DEB">
        <w:t xml:space="preserve">, </w:t>
      </w:r>
      <w:r w:rsidR="006A00CE" w:rsidRPr="00D32DEB">
        <w:rPr>
          <w:u w:val="single"/>
        </w:rPr>
        <w:t>NYC Department of Housing Preservation and Developments</w:t>
      </w:r>
      <w:r w:rsidRPr="00D32DEB">
        <w:t xml:space="preserve">, </w:t>
      </w:r>
      <w:hyperlink r:id="rId32" w:history="1">
        <w:r w:rsidRPr="00D32DEB">
          <w:rPr>
            <w:rStyle w:val="Hyperlink"/>
          </w:rPr>
          <w:t>https://www1.nyc.gov/site/hpd/section-8/about-section-8.page</w:t>
        </w:r>
      </w:hyperlink>
      <w:r w:rsidR="006A00CE" w:rsidRPr="00D32DEB">
        <w:t>.</w:t>
      </w:r>
    </w:p>
  </w:footnote>
  <w:footnote w:id="57">
    <w:p w:rsidR="006E4462" w:rsidRPr="00D32DEB" w:rsidRDefault="006E4462" w:rsidP="00D32DEB">
      <w:pPr>
        <w:pStyle w:val="FootnoteText"/>
        <w:jc w:val="left"/>
      </w:pPr>
      <w:r w:rsidRPr="00D32DEB">
        <w:rPr>
          <w:rStyle w:val="FootnoteReference"/>
        </w:rPr>
        <w:footnoteRef/>
      </w:r>
      <w:r w:rsidRPr="00D32DEB">
        <w:t xml:space="preserve"> Information provided to the City Council by HPD, May 9, 2019, on file with Committee staff.</w:t>
      </w:r>
    </w:p>
  </w:footnote>
  <w:footnote w:id="58">
    <w:p w:rsidR="006E4462" w:rsidRPr="00D32DEB" w:rsidRDefault="006E4462" w:rsidP="00D32DEB">
      <w:pPr>
        <w:pStyle w:val="FootnoteText"/>
        <w:jc w:val="left"/>
        <w:rPr>
          <w:i/>
        </w:rPr>
      </w:pPr>
      <w:r w:rsidRPr="00D32DEB">
        <w:rPr>
          <w:rStyle w:val="FootnoteReference"/>
        </w:rPr>
        <w:footnoteRef/>
      </w:r>
      <w:r w:rsidRPr="00D32DEB">
        <w:t xml:space="preserve"> </w:t>
      </w:r>
      <w:r w:rsidRPr="00D32DEB">
        <w:rPr>
          <w:i/>
        </w:rPr>
        <w:t>Id.</w:t>
      </w:r>
    </w:p>
  </w:footnote>
  <w:footnote w:id="59">
    <w:p w:rsidR="006E4462" w:rsidRPr="00D32DEB" w:rsidRDefault="006E4462" w:rsidP="00D32DEB">
      <w:pPr>
        <w:pStyle w:val="FootnoteText"/>
        <w:jc w:val="left"/>
        <w:rPr>
          <w:i/>
        </w:rPr>
      </w:pPr>
      <w:r w:rsidRPr="00D32DEB">
        <w:rPr>
          <w:rStyle w:val="FootnoteReference"/>
        </w:rPr>
        <w:footnoteRef/>
      </w:r>
      <w:r w:rsidRPr="00D32DEB">
        <w:t xml:space="preserve"> </w:t>
      </w:r>
      <w:r w:rsidRPr="00D32DEB">
        <w:rPr>
          <w:i/>
        </w:rPr>
        <w:t>Id.</w:t>
      </w:r>
    </w:p>
  </w:footnote>
  <w:footnote w:id="60">
    <w:p w:rsidR="006E4462" w:rsidRPr="00D32DEB" w:rsidRDefault="006E4462" w:rsidP="00D32DEB">
      <w:pPr>
        <w:pStyle w:val="FootnoteText"/>
        <w:jc w:val="left"/>
        <w:rPr>
          <w:i/>
        </w:rPr>
      </w:pPr>
      <w:r w:rsidRPr="00D32DEB">
        <w:rPr>
          <w:rStyle w:val="FootnoteReference"/>
        </w:rPr>
        <w:footnoteRef/>
      </w:r>
      <w:r w:rsidRPr="00D32DEB">
        <w:t xml:space="preserve"> </w:t>
      </w:r>
      <w:r w:rsidRPr="00D32DEB">
        <w:rPr>
          <w:i/>
        </w:rPr>
        <w:t>Id.</w:t>
      </w:r>
    </w:p>
  </w:footnote>
  <w:footnote w:id="61">
    <w:p w:rsidR="006F696E" w:rsidRPr="00D32DEB" w:rsidRDefault="006F696E" w:rsidP="00D32DEB">
      <w:pPr>
        <w:pStyle w:val="FootnoteText"/>
        <w:jc w:val="left"/>
      </w:pPr>
      <w:r w:rsidRPr="00D32DEB">
        <w:rPr>
          <w:rStyle w:val="FootnoteReference"/>
        </w:rPr>
        <w:footnoteRef/>
      </w:r>
      <w:r w:rsidRPr="00D32DEB">
        <w:t xml:space="preserve"> </w:t>
      </w:r>
      <w:r w:rsidRPr="00D32DEB">
        <w:rPr>
          <w:i/>
        </w:rPr>
        <w:t>Press Release</w:t>
      </w:r>
      <w:r w:rsidR="006A00CE" w:rsidRPr="00D32DEB">
        <w:t xml:space="preserve">, </w:t>
      </w:r>
      <w:r w:rsidR="006A00CE" w:rsidRPr="00D32DEB">
        <w:rPr>
          <w:u w:val="single"/>
        </w:rPr>
        <w:t>NYC Department of Housing Preservation and Developments</w:t>
      </w:r>
      <w:r w:rsidR="006A00CE" w:rsidRPr="00D32DEB">
        <w:t>,</w:t>
      </w:r>
      <w:r w:rsidRPr="00D32DEB">
        <w:t xml:space="preserve"> Nov</w:t>
      </w:r>
      <w:r w:rsidR="006A00CE" w:rsidRPr="00D32DEB">
        <w:t>.</w:t>
      </w:r>
      <w:r w:rsidRPr="00D32DEB">
        <w:t xml:space="preserve"> 17, 2014, </w:t>
      </w:r>
      <w:r w:rsidR="006A00CE" w:rsidRPr="00D32DEB">
        <w:rPr>
          <w:i/>
        </w:rPr>
        <w:t xml:space="preserve">available at </w:t>
      </w:r>
      <w:hyperlink r:id="rId33" w:history="1">
        <w:r w:rsidRPr="00D32DEB">
          <w:rPr>
            <w:rStyle w:val="Hyperlink"/>
          </w:rPr>
          <w:t>https://www1.nyc.gov/site/hpd/about/press-releases/2014/11/17.page</w:t>
        </w:r>
      </w:hyperlink>
      <w:r w:rsidR="006A00CE" w:rsidRPr="00D32DEB">
        <w:rPr>
          <w:rStyle w:val="Hyperlink"/>
        </w:rPr>
        <w:t>.</w:t>
      </w:r>
    </w:p>
  </w:footnote>
  <w:footnote w:id="62">
    <w:p w:rsidR="006E4462" w:rsidRPr="00D32DEB" w:rsidRDefault="006E4462" w:rsidP="00D32DEB">
      <w:pPr>
        <w:pStyle w:val="FootnoteText"/>
        <w:jc w:val="left"/>
      </w:pPr>
      <w:r w:rsidRPr="00D32DEB">
        <w:rPr>
          <w:rStyle w:val="FootnoteReference"/>
        </w:rPr>
        <w:footnoteRef/>
      </w:r>
      <w:r w:rsidRPr="00D32DEB">
        <w:t xml:space="preserve"> </w:t>
      </w:r>
      <w:r w:rsidR="006A00CE" w:rsidRPr="00D32DEB">
        <w:rPr>
          <w:i/>
        </w:rPr>
        <w:t>Senior Affordable Rental Apartments (SARA) Program Term Sheet</w:t>
      </w:r>
      <w:r w:rsidR="006A00CE" w:rsidRPr="00D32DEB">
        <w:t xml:space="preserve">, </w:t>
      </w:r>
      <w:r w:rsidR="006A00CE" w:rsidRPr="00D32DEB">
        <w:rPr>
          <w:u w:val="single"/>
        </w:rPr>
        <w:t>NYC Department of Housing Preservation and Developments</w:t>
      </w:r>
      <w:r w:rsidR="006A00CE" w:rsidRPr="00D32DEB">
        <w:t>,</w:t>
      </w:r>
      <w:r w:rsidRPr="00D32DEB">
        <w:t xml:space="preserve"> Nov</w:t>
      </w:r>
      <w:r w:rsidR="006A00CE" w:rsidRPr="00D32DEB">
        <w:t xml:space="preserve">. 13, 2014, </w:t>
      </w:r>
      <w:r w:rsidR="006A00CE" w:rsidRPr="00D32DEB">
        <w:rPr>
          <w:i/>
        </w:rPr>
        <w:t>available at</w:t>
      </w:r>
      <w:r w:rsidRPr="00D32DEB">
        <w:t xml:space="preserve"> </w:t>
      </w:r>
      <w:hyperlink r:id="rId34" w:history="1">
        <w:r w:rsidRPr="00D32DEB">
          <w:rPr>
            <w:rStyle w:val="Hyperlink"/>
          </w:rPr>
          <w:t>https://www1.nyc.gov/assets/hpd/downloads/pdf/developers/term-sheets/snh-sara-term-sheet.pdf</w:t>
        </w:r>
      </w:hyperlink>
      <w:r w:rsidR="006A00CE" w:rsidRPr="00D32DEB">
        <w:rPr>
          <w:rStyle w:val="Hyperlink"/>
        </w:rPr>
        <w:t>.</w:t>
      </w:r>
    </w:p>
  </w:footnote>
  <w:footnote w:id="63">
    <w:p w:rsidR="006E4462" w:rsidRPr="00D32DEB" w:rsidRDefault="006E4462" w:rsidP="00D32DEB">
      <w:pPr>
        <w:pStyle w:val="FootnoteText"/>
        <w:jc w:val="left"/>
        <w:rPr>
          <w:i/>
        </w:rPr>
      </w:pPr>
      <w:r w:rsidRPr="00D32DEB">
        <w:rPr>
          <w:rStyle w:val="FootnoteReference"/>
        </w:rPr>
        <w:footnoteRef/>
      </w:r>
      <w:r w:rsidRPr="00D32DEB">
        <w:t xml:space="preserve"> </w:t>
      </w:r>
      <w:r w:rsidRPr="00D32DEB">
        <w:rPr>
          <w:i/>
        </w:rPr>
        <w:t>Id.</w:t>
      </w:r>
    </w:p>
  </w:footnote>
  <w:footnote w:id="64">
    <w:p w:rsidR="006E4462" w:rsidRPr="00D32DEB" w:rsidRDefault="006E4462" w:rsidP="00D32DEB">
      <w:pPr>
        <w:pStyle w:val="FootnoteText"/>
        <w:jc w:val="left"/>
        <w:rPr>
          <w:i/>
        </w:rPr>
      </w:pPr>
      <w:r w:rsidRPr="00D32DEB">
        <w:rPr>
          <w:rStyle w:val="FootnoteReference"/>
        </w:rPr>
        <w:footnoteRef/>
      </w:r>
      <w:r w:rsidRPr="00D32DEB">
        <w:t xml:space="preserve"> </w:t>
      </w:r>
      <w:r w:rsidRPr="00D32DEB">
        <w:rPr>
          <w:i/>
        </w:rPr>
        <w:t>Id.</w:t>
      </w:r>
    </w:p>
  </w:footnote>
  <w:footnote w:id="65">
    <w:p w:rsidR="006E4462" w:rsidRPr="00D32DEB" w:rsidRDefault="006E4462" w:rsidP="00D32DEB">
      <w:pPr>
        <w:pStyle w:val="FootnoteText"/>
        <w:jc w:val="left"/>
      </w:pPr>
      <w:r w:rsidRPr="00D32DEB">
        <w:rPr>
          <w:rStyle w:val="FootnoteReference"/>
        </w:rPr>
        <w:footnoteRef/>
      </w:r>
      <w:r w:rsidRPr="00D32DEB">
        <w:t xml:space="preserve"> Information provided to the City Council by HPD, May 9, 2019, on file with Committee staff.</w:t>
      </w:r>
    </w:p>
  </w:footnote>
  <w:footnote w:id="66">
    <w:p w:rsidR="006E4462" w:rsidRPr="00D32DEB" w:rsidRDefault="006E4462" w:rsidP="00D32DEB">
      <w:pPr>
        <w:pStyle w:val="FootnoteText"/>
        <w:jc w:val="left"/>
      </w:pPr>
      <w:r w:rsidRPr="00D32DEB">
        <w:rPr>
          <w:rStyle w:val="FootnoteReference"/>
        </w:rPr>
        <w:footnoteRef/>
      </w:r>
      <w:r w:rsidRPr="00D32DEB">
        <w:t xml:space="preserve"> NYC Council Department of Finance, Dec. 9, 2019.</w:t>
      </w:r>
    </w:p>
  </w:footnote>
  <w:footnote w:id="67">
    <w:p w:rsidR="006E4462" w:rsidRPr="00D32DEB" w:rsidRDefault="006E4462" w:rsidP="00D32DEB">
      <w:pPr>
        <w:pStyle w:val="FootnoteText"/>
        <w:jc w:val="left"/>
        <w:rPr>
          <w:i/>
        </w:rPr>
      </w:pPr>
      <w:r w:rsidRPr="00D32DEB">
        <w:rPr>
          <w:rStyle w:val="FootnoteReference"/>
        </w:rPr>
        <w:footnoteRef/>
      </w:r>
      <w:r w:rsidRPr="00D32DEB">
        <w:t xml:space="preserve"> </w:t>
      </w:r>
      <w:r w:rsidRPr="00D32DEB">
        <w:rPr>
          <w:i/>
        </w:rPr>
        <w:t>Id.</w:t>
      </w:r>
    </w:p>
  </w:footnote>
  <w:footnote w:id="68">
    <w:p w:rsidR="00143E5A" w:rsidRPr="00D32DEB" w:rsidRDefault="00143E5A" w:rsidP="00D32DEB">
      <w:pPr>
        <w:pStyle w:val="FootnoteText"/>
        <w:jc w:val="left"/>
      </w:pPr>
      <w:r w:rsidRPr="00D32DEB">
        <w:rPr>
          <w:rStyle w:val="FootnoteReference"/>
        </w:rPr>
        <w:footnoteRef/>
      </w:r>
      <w:r w:rsidRPr="00D32DEB">
        <w:t xml:space="preserve"> </w:t>
      </w:r>
      <w:r w:rsidR="00C542D0" w:rsidRPr="00D32DEB">
        <w:rPr>
          <w:i/>
        </w:rPr>
        <w:t>New York Foundation for Senior Citizens, Department for the Aging Expand Home Sharing Program</w:t>
      </w:r>
      <w:r w:rsidR="00C542D0" w:rsidRPr="00D32DEB">
        <w:t>,</w:t>
      </w:r>
      <w:r w:rsidR="00C542D0" w:rsidRPr="00D32DEB">
        <w:rPr>
          <w:i/>
        </w:rPr>
        <w:t xml:space="preserve"> </w:t>
      </w:r>
      <w:r w:rsidR="00C542D0" w:rsidRPr="00D32DEB">
        <w:rPr>
          <w:u w:val="single"/>
        </w:rPr>
        <w:t>NYC</w:t>
      </w:r>
      <w:r w:rsidR="00F33243" w:rsidRPr="00D32DEB">
        <w:rPr>
          <w:u w:val="single"/>
        </w:rPr>
        <w:t xml:space="preserve"> Department for the Aging</w:t>
      </w:r>
      <w:r w:rsidR="00F33243" w:rsidRPr="00D32DEB">
        <w:t>, Mar</w:t>
      </w:r>
      <w:r w:rsidR="00C542D0" w:rsidRPr="00D32DEB">
        <w:t>.</w:t>
      </w:r>
      <w:r w:rsidR="00F33243" w:rsidRPr="00D32DEB">
        <w:t xml:space="preserve"> 27, 2019, </w:t>
      </w:r>
      <w:r w:rsidR="00F33243" w:rsidRPr="00D32DEB">
        <w:rPr>
          <w:i/>
        </w:rPr>
        <w:t>available at</w:t>
      </w:r>
      <w:r w:rsidR="00F33243" w:rsidRPr="00D32DEB">
        <w:t xml:space="preserve"> </w:t>
      </w:r>
      <w:hyperlink r:id="rId35" w:history="1">
        <w:r w:rsidR="00F33243" w:rsidRPr="00D32DEB">
          <w:rPr>
            <w:rStyle w:val="Hyperlink"/>
          </w:rPr>
          <w:t>https://www1.nyc.gov/site/dfta/about/pr-NYFC-and-DFTA-hold-pr-for-homesharing-program.page</w:t>
        </w:r>
      </w:hyperlink>
      <w:r w:rsidR="00C542D0" w:rsidRPr="00D32DEB">
        <w:t>.</w:t>
      </w:r>
      <w:r w:rsidR="00F33243" w:rsidRPr="00D32DEB">
        <w:t xml:space="preserve"> </w:t>
      </w:r>
    </w:p>
  </w:footnote>
  <w:footnote w:id="69">
    <w:p w:rsidR="00143E5A" w:rsidRPr="00D32DEB" w:rsidRDefault="00143E5A" w:rsidP="00D32DEB">
      <w:pPr>
        <w:pStyle w:val="FootnoteText"/>
        <w:jc w:val="left"/>
      </w:pPr>
      <w:r w:rsidRPr="00D32DEB">
        <w:rPr>
          <w:rStyle w:val="FootnoteReference"/>
        </w:rPr>
        <w:footnoteRef/>
      </w:r>
      <w:r w:rsidRPr="00D32DEB">
        <w:t xml:space="preserve"> </w:t>
      </w:r>
      <w:r w:rsidR="00F33243" w:rsidRPr="00D32DEB">
        <w:rPr>
          <w:rFonts w:eastAsia="Calibri"/>
          <w:i/>
        </w:rPr>
        <w:t>Alternatives in Senior Housing Manhattan</w:t>
      </w:r>
      <w:r w:rsidR="006A00CE" w:rsidRPr="00D32DEB">
        <w:rPr>
          <w:rFonts w:eastAsia="Calibri"/>
        </w:rPr>
        <w:t xml:space="preserve">, </w:t>
      </w:r>
      <w:r w:rsidR="006A00CE" w:rsidRPr="00D32DEB">
        <w:rPr>
          <w:u w:val="single"/>
        </w:rPr>
        <w:t>NYC Department for the Aging</w:t>
      </w:r>
      <w:r w:rsidR="006A00CE" w:rsidRPr="00D32DEB">
        <w:t>, 2017</w:t>
      </w:r>
      <w:r w:rsidR="00F33243" w:rsidRPr="00D32DEB">
        <w:rPr>
          <w:rFonts w:eastAsia="Calibri"/>
        </w:rPr>
        <w:t xml:space="preserve">, </w:t>
      </w:r>
      <w:r w:rsidR="00F33243" w:rsidRPr="00D32DEB">
        <w:rPr>
          <w:rFonts w:eastAsia="Calibri"/>
          <w:i/>
        </w:rPr>
        <w:t xml:space="preserve">available at </w:t>
      </w:r>
      <w:hyperlink r:id="rId36" w:history="1">
        <w:r w:rsidR="00F33243" w:rsidRPr="00D32DEB">
          <w:rPr>
            <w:rFonts w:eastAsia="Calibri"/>
            <w:color w:val="0563C1"/>
            <w:u w:val="single"/>
          </w:rPr>
          <w:t>https://www1.nyc.gov/assets/dfta/downloads/pdf/publications/HousingManhattan2017.pdf</w:t>
        </w:r>
      </w:hyperlink>
      <w:r w:rsidR="00F33243" w:rsidRPr="00D32DEB">
        <w:rPr>
          <w:rFonts w:eastAsia="Calibri"/>
        </w:rPr>
        <w:t xml:space="preserve"> at p. 4.</w:t>
      </w:r>
    </w:p>
  </w:footnote>
  <w:footnote w:id="70">
    <w:p w:rsidR="00143E5A" w:rsidRPr="00D32DEB" w:rsidRDefault="00143E5A" w:rsidP="00D32DEB">
      <w:pPr>
        <w:pStyle w:val="FootnoteText"/>
        <w:jc w:val="left"/>
      </w:pPr>
      <w:r w:rsidRPr="00D32DEB">
        <w:rPr>
          <w:rStyle w:val="FootnoteReference"/>
        </w:rPr>
        <w:footnoteRef/>
      </w:r>
      <w:r w:rsidRPr="00D32DEB">
        <w:t xml:space="preserve"> </w:t>
      </w:r>
      <w:r w:rsidR="006A00CE" w:rsidRPr="00D32DEB">
        <w:rPr>
          <w:i/>
        </w:rPr>
        <w:t>Department for the Aging Expand Home Sharing Program</w:t>
      </w:r>
      <w:r w:rsidR="006A00CE" w:rsidRPr="00D32DEB">
        <w:rPr>
          <w:u w:val="single"/>
        </w:rPr>
        <w:t xml:space="preserve"> NYC Department for the Aging</w:t>
      </w:r>
      <w:r w:rsidR="006A00CE" w:rsidRPr="00D32DEB">
        <w:t>,</w:t>
      </w:r>
      <w:r w:rsidR="00F33243" w:rsidRPr="00D32DEB">
        <w:t xml:space="preserve"> Mar</w:t>
      </w:r>
      <w:r w:rsidR="006A00CE" w:rsidRPr="00D32DEB">
        <w:t>.</w:t>
      </w:r>
      <w:r w:rsidR="00F33243" w:rsidRPr="00D32DEB">
        <w:t xml:space="preserve"> 27, 2019, </w:t>
      </w:r>
      <w:r w:rsidR="00F33243" w:rsidRPr="00D32DEB">
        <w:rPr>
          <w:i/>
        </w:rPr>
        <w:t>available at</w:t>
      </w:r>
      <w:r w:rsidR="00F33243" w:rsidRPr="00D32DEB">
        <w:t xml:space="preserve"> </w:t>
      </w:r>
      <w:hyperlink r:id="rId37" w:history="1">
        <w:r w:rsidR="00F33243" w:rsidRPr="00D32DEB">
          <w:rPr>
            <w:rStyle w:val="Hyperlink"/>
          </w:rPr>
          <w:t>https://www1.nyc.gov/site/dfta/about/pr-NYFC-and-DFTA-hold-pr-for-homesharing-program.page</w:t>
        </w:r>
      </w:hyperlink>
      <w:r w:rsidR="006A00CE" w:rsidRPr="00D32DEB">
        <w:t>.</w:t>
      </w:r>
    </w:p>
  </w:footnote>
  <w:footnote w:id="71">
    <w:p w:rsidR="00143E5A" w:rsidRPr="00D32DEB" w:rsidRDefault="00143E5A" w:rsidP="00D32DEB">
      <w:pPr>
        <w:jc w:val="left"/>
        <w:rPr>
          <w:sz w:val="20"/>
        </w:rPr>
      </w:pPr>
      <w:r w:rsidRPr="00D32DEB">
        <w:rPr>
          <w:rStyle w:val="FootnoteReference"/>
          <w:sz w:val="20"/>
        </w:rPr>
        <w:footnoteRef/>
      </w:r>
      <w:r w:rsidRPr="00D32DEB">
        <w:rPr>
          <w:sz w:val="20"/>
        </w:rPr>
        <w:t xml:space="preserve"> </w:t>
      </w:r>
      <w:r w:rsidR="006A00CE" w:rsidRPr="00D32DEB">
        <w:rPr>
          <w:rFonts w:eastAsia="Calibri"/>
          <w:i/>
          <w:sz w:val="20"/>
        </w:rPr>
        <w:t>Alternatives in Senior Housing Manhattan</w:t>
      </w:r>
      <w:r w:rsidR="006A00CE" w:rsidRPr="00D32DEB">
        <w:rPr>
          <w:rFonts w:eastAsia="Calibri"/>
          <w:sz w:val="20"/>
        </w:rPr>
        <w:t xml:space="preserve">, </w:t>
      </w:r>
      <w:r w:rsidR="006A00CE" w:rsidRPr="00D32DEB">
        <w:rPr>
          <w:sz w:val="20"/>
          <w:u w:val="single"/>
        </w:rPr>
        <w:t>NYC Department for the Aging</w:t>
      </w:r>
      <w:r w:rsidR="006A00CE" w:rsidRPr="00D32DEB">
        <w:rPr>
          <w:sz w:val="20"/>
        </w:rPr>
        <w:t>, 2017</w:t>
      </w:r>
      <w:r w:rsidR="006A00CE" w:rsidRPr="00D32DEB">
        <w:rPr>
          <w:rFonts w:eastAsia="Calibri"/>
          <w:sz w:val="20"/>
        </w:rPr>
        <w:t xml:space="preserve">, </w:t>
      </w:r>
      <w:r w:rsidR="006A00CE" w:rsidRPr="00D32DEB">
        <w:rPr>
          <w:rFonts w:eastAsia="Calibri"/>
          <w:i/>
          <w:sz w:val="20"/>
        </w:rPr>
        <w:t xml:space="preserve">available at </w:t>
      </w:r>
      <w:hyperlink r:id="rId38" w:history="1">
        <w:r w:rsidR="006A00CE" w:rsidRPr="00D32DEB">
          <w:rPr>
            <w:rFonts w:eastAsia="Calibri"/>
            <w:color w:val="0563C1"/>
            <w:sz w:val="20"/>
            <w:u w:val="single"/>
          </w:rPr>
          <w:t>https://www1.nyc.gov/assets/dfta/downloads/pdf/publications/HousingManhattan2017.pdf</w:t>
        </w:r>
      </w:hyperlink>
      <w:r w:rsidR="006A00CE" w:rsidRPr="00D32DEB">
        <w:rPr>
          <w:rFonts w:eastAsia="Calibri"/>
          <w:sz w:val="20"/>
        </w:rPr>
        <w:t xml:space="preserve"> at p. 4.</w:t>
      </w:r>
    </w:p>
  </w:footnote>
  <w:footnote w:id="72">
    <w:p w:rsidR="00143E5A" w:rsidRPr="00D32DEB" w:rsidRDefault="00143E5A" w:rsidP="00D32DEB">
      <w:pPr>
        <w:jc w:val="left"/>
        <w:rPr>
          <w:sz w:val="20"/>
        </w:rPr>
      </w:pPr>
      <w:r w:rsidRPr="00D32DEB">
        <w:rPr>
          <w:rStyle w:val="FootnoteReference"/>
          <w:sz w:val="20"/>
        </w:rPr>
        <w:footnoteRef/>
      </w:r>
      <w:r w:rsidR="00F33243" w:rsidRPr="00D32DEB">
        <w:rPr>
          <w:rFonts w:eastAsia="Calibri"/>
          <w:bCs/>
          <w:sz w:val="20"/>
        </w:rPr>
        <w:t xml:space="preserve"> </w:t>
      </w:r>
      <w:hyperlink r:id="rId39" w:tooltip="Read All Posts By Lorraine Cortés-Vázquez" w:history="1">
        <w:r w:rsidR="00F33243" w:rsidRPr="00D32DEB">
          <w:rPr>
            <w:rFonts w:eastAsia="Calibri"/>
            <w:bCs/>
            <w:sz w:val="20"/>
          </w:rPr>
          <w:t>Lorraine Cortés-Vázquez</w:t>
        </w:r>
      </w:hyperlink>
      <w:r w:rsidR="00F33243" w:rsidRPr="00D32DEB">
        <w:rPr>
          <w:rFonts w:eastAsia="Calibri"/>
          <w:bCs/>
          <w:sz w:val="20"/>
        </w:rPr>
        <w:t xml:space="preserve">, </w:t>
      </w:r>
      <w:r w:rsidR="00F33243" w:rsidRPr="00D32DEB">
        <w:rPr>
          <w:rFonts w:eastAsia="Calibri"/>
          <w:bCs/>
          <w:i/>
          <w:sz w:val="20"/>
        </w:rPr>
        <w:t>Opinion: City’s Commitment to Diverse Seniors is Unprecedented</w:t>
      </w:r>
      <w:r w:rsidR="00F33243" w:rsidRPr="00D32DEB">
        <w:rPr>
          <w:rFonts w:eastAsia="Calibri"/>
          <w:bCs/>
          <w:sz w:val="20"/>
        </w:rPr>
        <w:t>,</w:t>
      </w:r>
      <w:r w:rsidR="006A00CE" w:rsidRPr="00D32DEB">
        <w:rPr>
          <w:rFonts w:eastAsia="Calibri"/>
          <w:bCs/>
          <w:sz w:val="20"/>
        </w:rPr>
        <w:t xml:space="preserve"> </w:t>
      </w:r>
      <w:r w:rsidR="006A00CE" w:rsidRPr="00D32DEB">
        <w:rPr>
          <w:rFonts w:eastAsia="Calibri"/>
          <w:bCs/>
          <w:sz w:val="20"/>
          <w:u w:val="single"/>
        </w:rPr>
        <w:t>CityLimits</w:t>
      </w:r>
      <w:r w:rsidR="006A00CE" w:rsidRPr="00D32DEB">
        <w:rPr>
          <w:rFonts w:eastAsia="Calibri"/>
          <w:bCs/>
          <w:sz w:val="20"/>
        </w:rPr>
        <w:t>,</w:t>
      </w:r>
      <w:r w:rsidR="00F33243" w:rsidRPr="00D32DEB">
        <w:rPr>
          <w:rFonts w:eastAsia="Calibri"/>
          <w:bCs/>
          <w:sz w:val="20"/>
        </w:rPr>
        <w:t xml:space="preserve"> Apr</w:t>
      </w:r>
      <w:r w:rsidR="006A00CE" w:rsidRPr="00D32DEB">
        <w:rPr>
          <w:rFonts w:eastAsia="Calibri"/>
          <w:bCs/>
          <w:sz w:val="20"/>
        </w:rPr>
        <w:t xml:space="preserve">. </w:t>
      </w:r>
      <w:r w:rsidR="00F33243" w:rsidRPr="00D32DEB">
        <w:rPr>
          <w:rFonts w:eastAsia="Calibri"/>
          <w:bCs/>
          <w:sz w:val="20"/>
        </w:rPr>
        <w:t>23, 2019</w:t>
      </w:r>
      <w:r w:rsidR="006A00CE" w:rsidRPr="00D32DEB">
        <w:rPr>
          <w:rFonts w:eastAsia="Calibri"/>
          <w:bCs/>
          <w:sz w:val="20"/>
        </w:rPr>
        <w:t>,</w:t>
      </w:r>
      <w:r w:rsidR="00F33243" w:rsidRPr="00D32DEB">
        <w:rPr>
          <w:rFonts w:eastAsia="Calibri"/>
          <w:bCs/>
          <w:color w:val="333333"/>
          <w:sz w:val="20"/>
        </w:rPr>
        <w:t xml:space="preserve"> </w:t>
      </w:r>
      <w:r w:rsidR="00F33243" w:rsidRPr="00D32DEB">
        <w:rPr>
          <w:rFonts w:eastAsia="Calibri"/>
          <w:bCs/>
          <w:i/>
          <w:color w:val="333333"/>
          <w:sz w:val="20"/>
        </w:rPr>
        <w:t>available at</w:t>
      </w:r>
      <w:r w:rsidR="00F33243" w:rsidRPr="00D32DEB">
        <w:rPr>
          <w:rFonts w:eastAsia="Calibri"/>
          <w:bCs/>
          <w:color w:val="333333"/>
          <w:sz w:val="20"/>
        </w:rPr>
        <w:t xml:space="preserve"> </w:t>
      </w:r>
      <w:hyperlink r:id="rId40" w:history="1">
        <w:r w:rsidR="00F33243" w:rsidRPr="00D32DEB">
          <w:rPr>
            <w:rFonts w:eastAsia="Calibri"/>
            <w:bCs/>
            <w:color w:val="0563C1"/>
            <w:sz w:val="20"/>
          </w:rPr>
          <w:t>https://citylimits.org/2019/04/23/opinion-citys-commitment-to-diverse-seniors-is-unprecedented/</w:t>
        </w:r>
      </w:hyperlink>
      <w:r w:rsidR="006A00CE" w:rsidRPr="00D32DEB">
        <w:rPr>
          <w:rFonts w:eastAsia="Calibri"/>
          <w:bCs/>
          <w:color w:val="333333"/>
          <w:sz w:val="20"/>
        </w:rPr>
        <w:t>.</w:t>
      </w:r>
      <w:r w:rsidR="00F33243" w:rsidRPr="00D32DEB">
        <w:rPr>
          <w:rFonts w:eastAsia="Calibri"/>
          <w:bCs/>
          <w:color w:val="333333"/>
          <w:sz w:val="20"/>
        </w:rPr>
        <w:t xml:space="preserve"> </w:t>
      </w:r>
    </w:p>
  </w:footnote>
  <w:footnote w:id="73">
    <w:p w:rsidR="00143E5A" w:rsidRPr="00D32DEB" w:rsidRDefault="00143E5A" w:rsidP="00D32DEB">
      <w:pPr>
        <w:pStyle w:val="FootnoteText"/>
        <w:jc w:val="left"/>
      </w:pPr>
      <w:r w:rsidRPr="00D32DEB">
        <w:rPr>
          <w:rStyle w:val="FootnoteReference"/>
        </w:rPr>
        <w:footnoteRef/>
      </w:r>
      <w:r w:rsidRPr="00D32DEB">
        <w:t xml:space="preserve"> </w:t>
      </w:r>
      <w:r w:rsidR="006A00CE" w:rsidRPr="00D32DEB">
        <w:rPr>
          <w:i/>
        </w:rPr>
        <w:t>Report of the Finance Division on the Fiscal 2020 Preliminary Plan and the Fiscal 2019 Preliminary Mayor’s Management Report for the Department for the Aging</w:t>
      </w:r>
      <w:r w:rsidR="006A00CE" w:rsidRPr="00D32DEB">
        <w:t xml:space="preserve">, </w:t>
      </w:r>
      <w:r w:rsidR="006A00CE" w:rsidRPr="00D32DEB">
        <w:rPr>
          <w:u w:val="single"/>
        </w:rPr>
        <w:t xml:space="preserve">NYC Council </w:t>
      </w:r>
      <w:r w:rsidR="001E67D7" w:rsidRPr="00D32DEB">
        <w:rPr>
          <w:u w:val="single"/>
        </w:rPr>
        <w:t>Department of Finance</w:t>
      </w:r>
      <w:r w:rsidR="001E67D7" w:rsidRPr="00D32DEB">
        <w:t xml:space="preserve">, </w:t>
      </w:r>
      <w:r w:rsidR="001E67D7" w:rsidRPr="00D32DEB">
        <w:rPr>
          <w:i/>
        </w:rPr>
        <w:t xml:space="preserve">available at </w:t>
      </w:r>
      <w:hyperlink r:id="rId41" w:history="1">
        <w:r w:rsidRPr="00D32DEB">
          <w:rPr>
            <w:rStyle w:val="Hyperlink"/>
          </w:rPr>
          <w:t>https://council.nyc.gov/budget/wp-content/uploads/sites/54/2019/03/125-DFTA1.pdf</w:t>
        </w:r>
      </w:hyperlink>
      <w:r w:rsidRPr="00D32DEB">
        <w:t xml:space="preserve"> and Council Fiscal Year 2020 Schedule C and Transparency Resolutions #1-5</w:t>
      </w:r>
      <w:r w:rsidR="001E67D7" w:rsidRPr="00D32DEB">
        <w:t>.</w:t>
      </w:r>
    </w:p>
  </w:footnote>
  <w:footnote w:id="74">
    <w:p w:rsidR="00143E5A" w:rsidRPr="00D32DEB" w:rsidRDefault="00143E5A" w:rsidP="00D32DEB">
      <w:pPr>
        <w:pStyle w:val="FootnoteText"/>
        <w:jc w:val="left"/>
      </w:pPr>
      <w:r w:rsidRPr="00D32DEB">
        <w:rPr>
          <w:rStyle w:val="FootnoteReference"/>
        </w:rPr>
        <w:footnoteRef/>
      </w:r>
      <w:r w:rsidRPr="00D32DEB">
        <w:t xml:space="preserve"> </w:t>
      </w:r>
      <w:r w:rsidR="00F33243" w:rsidRPr="00D32DEB">
        <w:rPr>
          <w:i/>
        </w:rPr>
        <w:t>Id.</w:t>
      </w:r>
    </w:p>
  </w:footnote>
  <w:footnote w:id="75">
    <w:p w:rsidR="00143E5A" w:rsidRPr="00D32DEB" w:rsidRDefault="00143E5A" w:rsidP="00D32DEB">
      <w:pPr>
        <w:pStyle w:val="FootnoteText"/>
        <w:jc w:val="left"/>
      </w:pPr>
      <w:r w:rsidRPr="00D32DEB">
        <w:rPr>
          <w:rStyle w:val="FootnoteReference"/>
        </w:rPr>
        <w:footnoteRef/>
      </w:r>
      <w:r w:rsidRPr="00D32DEB">
        <w:t xml:space="preserve"> </w:t>
      </w:r>
      <w:r w:rsidR="001E67D7" w:rsidRPr="00D32DEB">
        <w:rPr>
          <w:i/>
        </w:rPr>
        <w:t>Legal Help</w:t>
      </w:r>
      <w:r w:rsidR="001E67D7" w:rsidRPr="00D32DEB">
        <w:t>,</w:t>
      </w:r>
      <w:r w:rsidR="001E67D7" w:rsidRPr="00D32DEB">
        <w:rPr>
          <w:i/>
        </w:rPr>
        <w:t xml:space="preserve"> </w:t>
      </w:r>
      <w:r w:rsidR="001E67D7" w:rsidRPr="00D32DEB">
        <w:rPr>
          <w:u w:val="single"/>
        </w:rPr>
        <w:t>NYC Department for the Aging</w:t>
      </w:r>
      <w:r w:rsidR="001E67D7" w:rsidRPr="00D32DEB">
        <w:t>,</w:t>
      </w:r>
      <w:r w:rsidR="001E67D7" w:rsidRPr="00D32DEB" w:rsidDel="001E67D7">
        <w:t xml:space="preserve"> </w:t>
      </w:r>
      <w:r w:rsidR="00F33243" w:rsidRPr="00D32DEB">
        <w:rPr>
          <w:i/>
        </w:rPr>
        <w:t>available at</w:t>
      </w:r>
      <w:r w:rsidR="00F33243" w:rsidRPr="00D32DEB">
        <w:t xml:space="preserve"> </w:t>
      </w:r>
      <w:hyperlink r:id="rId42" w:history="1">
        <w:r w:rsidR="00F33243" w:rsidRPr="00D32DEB">
          <w:rPr>
            <w:rStyle w:val="Hyperlink"/>
          </w:rPr>
          <w:t>https://www1.nyc.gov/site/dfta/services/legal-help.page</w:t>
        </w:r>
      </w:hyperlink>
      <w:r w:rsidR="001E67D7" w:rsidRPr="00D32DEB">
        <w:t>.</w:t>
      </w:r>
      <w:r w:rsidR="00F33243" w:rsidRPr="00D32DEB">
        <w:t xml:space="preserve"> </w:t>
      </w:r>
    </w:p>
  </w:footnote>
  <w:footnote w:id="76">
    <w:p w:rsidR="00143E5A" w:rsidRPr="00D32DEB" w:rsidRDefault="00143E5A" w:rsidP="00D32DEB">
      <w:pPr>
        <w:pStyle w:val="FootnoteText"/>
        <w:jc w:val="left"/>
        <w:rPr>
          <w:i/>
        </w:rPr>
      </w:pPr>
      <w:r w:rsidRPr="00D32DEB">
        <w:rPr>
          <w:rStyle w:val="FootnoteReference"/>
        </w:rPr>
        <w:footnoteRef/>
      </w:r>
      <w:r w:rsidRPr="00D32DEB">
        <w:t xml:space="preserve"> </w:t>
      </w:r>
      <w:r w:rsidR="00F33243" w:rsidRPr="00D32DEB">
        <w:rPr>
          <w:i/>
        </w:rPr>
        <w:t>Id.</w:t>
      </w:r>
    </w:p>
  </w:footnote>
  <w:footnote w:id="77">
    <w:p w:rsidR="00143E5A" w:rsidRPr="00D32DEB" w:rsidRDefault="00143E5A" w:rsidP="00D32DEB">
      <w:pPr>
        <w:pStyle w:val="FootnoteText"/>
        <w:jc w:val="left"/>
      </w:pPr>
      <w:r w:rsidRPr="00D32DEB">
        <w:rPr>
          <w:rStyle w:val="FootnoteReference"/>
        </w:rPr>
        <w:footnoteRef/>
      </w:r>
      <w:r w:rsidRPr="00D32DEB">
        <w:t xml:space="preserve"> </w:t>
      </w:r>
      <w:r w:rsidR="001E67D7" w:rsidRPr="00D32DEB">
        <w:rPr>
          <w:i/>
        </w:rPr>
        <w:t>Assigned Counsel Project (ACP)</w:t>
      </w:r>
      <w:r w:rsidR="001E67D7" w:rsidRPr="00D32DEB">
        <w:t xml:space="preserve">, </w:t>
      </w:r>
      <w:r w:rsidR="000406BC" w:rsidRPr="00D32DEB">
        <w:rPr>
          <w:u w:val="single"/>
        </w:rPr>
        <w:t>New York State Courts</w:t>
      </w:r>
      <w:r w:rsidR="000406BC" w:rsidRPr="00D32DEB">
        <w:t xml:space="preserve">, </w:t>
      </w:r>
      <w:r w:rsidR="000406BC" w:rsidRPr="00D32DEB">
        <w:rPr>
          <w:i/>
        </w:rPr>
        <w:t>available at</w:t>
      </w:r>
      <w:r w:rsidR="000406BC" w:rsidRPr="00D32DEB">
        <w:t xml:space="preserve"> </w:t>
      </w:r>
      <w:hyperlink r:id="rId43" w:history="1">
        <w:r w:rsidR="000406BC" w:rsidRPr="00D32DEB">
          <w:rPr>
            <w:rStyle w:val="Hyperlink"/>
          </w:rPr>
          <w:t>http://ww2.nycourts.go</w:t>
        </w:r>
        <w:r w:rsidR="000406BC" w:rsidRPr="00D32DEB">
          <w:rPr>
            <w:rStyle w:val="Hyperlink"/>
          </w:rPr>
          <w:t>v</w:t>
        </w:r>
        <w:r w:rsidR="000406BC" w:rsidRPr="00D32DEB">
          <w:rPr>
            <w:rStyle w:val="Hyperlink"/>
          </w:rPr>
          <w:t>/ip/nya2j/diverseneeds/assignedcounsel.shtml</w:t>
        </w:r>
      </w:hyperlink>
      <w:r w:rsidR="001E67D7" w:rsidRPr="00D32DEB">
        <w:t>.</w:t>
      </w:r>
      <w:r w:rsidR="000406BC" w:rsidRPr="00D32DEB">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BC1" w:rsidRDefault="00634B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BC1" w:rsidRDefault="00634B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BC1" w:rsidRDefault="00634BC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BC1" w:rsidRDefault="00634BC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0F7" w:rsidRDefault="005260F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BC1" w:rsidRDefault="00634B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4BB2A"/>
    <w:multiLevelType w:val="singleLevel"/>
    <w:tmpl w:val="DC5C6662"/>
    <w:lvl w:ilvl="0">
      <w:start w:val="1"/>
      <w:numFmt w:val="lowerLetter"/>
      <w:lvlText w:val="%1."/>
      <w:lvlJc w:val="left"/>
      <w:pPr>
        <w:tabs>
          <w:tab w:val="num" w:pos="216"/>
        </w:tabs>
        <w:ind w:left="720" w:hanging="216"/>
      </w:pPr>
      <w:rPr>
        <w:rFonts w:ascii="Times" w:hAnsi="Times" w:cs="Times"/>
        <w:spacing w:val="-3"/>
        <w:sz w:val="17"/>
        <w:szCs w:val="17"/>
        <w:u w:val="single"/>
      </w:rPr>
    </w:lvl>
  </w:abstractNum>
  <w:abstractNum w:abstractNumId="1" w15:restartNumberingAfterBreak="0">
    <w:nsid w:val="0174BC3C"/>
    <w:multiLevelType w:val="singleLevel"/>
    <w:tmpl w:val="41A4B7A0"/>
    <w:lvl w:ilvl="0">
      <w:start w:val="1"/>
      <w:numFmt w:val="lowerLetter"/>
      <w:lvlText w:val="%1."/>
      <w:lvlJc w:val="left"/>
      <w:pPr>
        <w:tabs>
          <w:tab w:val="num" w:pos="216"/>
        </w:tabs>
        <w:ind w:left="394" w:firstLine="0"/>
      </w:pPr>
      <w:rPr>
        <w:rFonts w:ascii="Times" w:hAnsi="Times" w:cs="Times"/>
        <w:spacing w:val="12"/>
        <w:sz w:val="17"/>
        <w:szCs w:val="17"/>
        <w:u w:val="single"/>
      </w:rPr>
    </w:lvl>
  </w:abstractNum>
  <w:abstractNum w:abstractNumId="2" w15:restartNumberingAfterBreak="0">
    <w:nsid w:val="01E13CCD"/>
    <w:multiLevelType w:val="singleLevel"/>
    <w:tmpl w:val="21E6F6B0"/>
    <w:lvl w:ilvl="0">
      <w:start w:val="1"/>
      <w:numFmt w:val="lowerLetter"/>
      <w:lvlText w:val="%1."/>
      <w:lvlJc w:val="left"/>
      <w:pPr>
        <w:tabs>
          <w:tab w:val="num" w:pos="144"/>
        </w:tabs>
        <w:ind w:left="216" w:hanging="144"/>
      </w:pPr>
      <w:rPr>
        <w:rFonts w:ascii="Times" w:hAnsi="Times" w:cs="Times"/>
        <w:spacing w:val="1"/>
        <w:sz w:val="24"/>
        <w:szCs w:val="24"/>
        <w:u w:val="single"/>
      </w:rPr>
    </w:lvl>
  </w:abstractNum>
  <w:abstractNum w:abstractNumId="3" w15:restartNumberingAfterBreak="0">
    <w:nsid w:val="0302B59D"/>
    <w:multiLevelType w:val="singleLevel"/>
    <w:tmpl w:val="3CE4489C"/>
    <w:lvl w:ilvl="0">
      <w:start w:val="1"/>
      <w:numFmt w:val="lowerLetter"/>
      <w:lvlText w:val="%1."/>
      <w:lvlJc w:val="left"/>
      <w:pPr>
        <w:tabs>
          <w:tab w:val="num" w:pos="216"/>
        </w:tabs>
        <w:ind w:left="720" w:hanging="216"/>
      </w:pPr>
      <w:rPr>
        <w:rFonts w:ascii="Times" w:hAnsi="Times" w:cs="Times"/>
        <w:spacing w:val="3"/>
        <w:sz w:val="17"/>
        <w:szCs w:val="17"/>
        <w:u w:val="single"/>
      </w:rPr>
    </w:lvl>
  </w:abstractNum>
  <w:abstractNum w:abstractNumId="4" w15:restartNumberingAfterBreak="0">
    <w:nsid w:val="031DB2CB"/>
    <w:multiLevelType w:val="singleLevel"/>
    <w:tmpl w:val="7AF69E6A"/>
    <w:lvl w:ilvl="0">
      <w:start w:val="1"/>
      <w:numFmt w:val="lowerLetter"/>
      <w:lvlText w:val="%1."/>
      <w:lvlJc w:val="left"/>
      <w:pPr>
        <w:tabs>
          <w:tab w:val="num" w:pos="216"/>
        </w:tabs>
        <w:ind w:left="394" w:firstLine="0"/>
      </w:pPr>
      <w:rPr>
        <w:rFonts w:ascii="Times" w:hAnsi="Times" w:cs="Times"/>
        <w:spacing w:val="9"/>
        <w:sz w:val="20"/>
        <w:szCs w:val="20"/>
        <w:u w:val="single"/>
      </w:rPr>
    </w:lvl>
  </w:abstractNum>
  <w:abstractNum w:abstractNumId="5" w15:restartNumberingAfterBreak="0">
    <w:nsid w:val="0342172E"/>
    <w:multiLevelType w:val="hybridMultilevel"/>
    <w:tmpl w:val="D994C584"/>
    <w:lvl w:ilvl="0" w:tplc="0832D786">
      <w:start w:val="3"/>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375E1F6"/>
    <w:multiLevelType w:val="singleLevel"/>
    <w:tmpl w:val="2F1EFD54"/>
    <w:lvl w:ilvl="0">
      <w:start w:val="1"/>
      <w:numFmt w:val="decimal"/>
      <w:lvlText w:val="%1)"/>
      <w:lvlJc w:val="left"/>
      <w:pPr>
        <w:tabs>
          <w:tab w:val="num" w:pos="216"/>
        </w:tabs>
        <w:ind w:left="936" w:hanging="216"/>
      </w:pPr>
      <w:rPr>
        <w:rFonts w:ascii="Times" w:hAnsi="Times" w:cs="Times"/>
        <w:spacing w:val="-2"/>
        <w:sz w:val="17"/>
        <w:szCs w:val="17"/>
        <w:u w:val="single"/>
      </w:rPr>
    </w:lvl>
  </w:abstractNum>
  <w:abstractNum w:abstractNumId="7" w15:restartNumberingAfterBreak="0">
    <w:nsid w:val="0426428C"/>
    <w:multiLevelType w:val="hybridMultilevel"/>
    <w:tmpl w:val="7DBE6FE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064A6C7D"/>
    <w:multiLevelType w:val="hybridMultilevel"/>
    <w:tmpl w:val="ABE8645C"/>
    <w:lvl w:ilvl="0" w:tplc="910024A4">
      <w:start w:val="1"/>
      <w:numFmt w:val="lowerLetter"/>
      <w:lvlText w:val="%1."/>
      <w:lvlJc w:val="left"/>
      <w:pPr>
        <w:ind w:left="63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6AEA818"/>
    <w:multiLevelType w:val="singleLevel"/>
    <w:tmpl w:val="DD94F150"/>
    <w:lvl w:ilvl="0">
      <w:start w:val="1"/>
      <w:numFmt w:val="decimal"/>
      <w:lvlText w:val="%1)"/>
      <w:lvlJc w:val="left"/>
      <w:pPr>
        <w:tabs>
          <w:tab w:val="num" w:pos="216"/>
        </w:tabs>
        <w:ind w:left="936" w:hanging="216"/>
      </w:pPr>
      <w:rPr>
        <w:rFonts w:ascii="Times" w:hAnsi="Times" w:cs="Times"/>
        <w:sz w:val="17"/>
        <w:szCs w:val="17"/>
        <w:u w:val="single"/>
      </w:rPr>
    </w:lvl>
  </w:abstractNum>
  <w:abstractNum w:abstractNumId="10" w15:restartNumberingAfterBreak="0">
    <w:nsid w:val="0A8531CE"/>
    <w:multiLevelType w:val="hybridMultilevel"/>
    <w:tmpl w:val="BFD60170"/>
    <w:lvl w:ilvl="0" w:tplc="0409000F">
      <w:start w:val="1"/>
      <w:numFmt w:val="decimal"/>
      <w:lvlText w:val="%1."/>
      <w:lvlJc w:val="left"/>
      <w:pPr>
        <w:ind w:left="360" w:hanging="360"/>
      </w:pPr>
      <w:rPr>
        <w:rFonts w:hint="default"/>
      </w:rPr>
    </w:lvl>
    <w:lvl w:ilvl="1" w:tplc="910024A4">
      <w:start w:val="1"/>
      <w:numFmt w:val="lowerLetter"/>
      <w:lvlText w:val="%2."/>
      <w:lvlJc w:val="left"/>
      <w:pPr>
        <w:ind w:left="63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1B50D6B"/>
    <w:multiLevelType w:val="hybridMultilevel"/>
    <w:tmpl w:val="DD00D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8B1622"/>
    <w:multiLevelType w:val="hybridMultilevel"/>
    <w:tmpl w:val="7C9CD8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9F638E9"/>
    <w:multiLevelType w:val="hybridMultilevel"/>
    <w:tmpl w:val="13CE4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227CAC"/>
    <w:multiLevelType w:val="hybridMultilevel"/>
    <w:tmpl w:val="2612F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CE0F40"/>
    <w:multiLevelType w:val="hybridMultilevel"/>
    <w:tmpl w:val="5FDC0E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924BF4"/>
    <w:multiLevelType w:val="hybridMultilevel"/>
    <w:tmpl w:val="392252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2D4481"/>
    <w:multiLevelType w:val="hybridMultilevel"/>
    <w:tmpl w:val="1F322BC0"/>
    <w:lvl w:ilvl="0" w:tplc="8908742C">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76558C"/>
    <w:multiLevelType w:val="hybridMultilevel"/>
    <w:tmpl w:val="6BD06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B96C04"/>
    <w:multiLevelType w:val="hybridMultilevel"/>
    <w:tmpl w:val="2DF217C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3E4EF0"/>
    <w:multiLevelType w:val="hybridMultilevel"/>
    <w:tmpl w:val="540CAA26"/>
    <w:lvl w:ilvl="0" w:tplc="D4E02CA0">
      <w:start w:val="1"/>
      <w:numFmt w:val="upperRoman"/>
      <w:lvlText w:val="%1."/>
      <w:lvlJc w:val="left"/>
      <w:pPr>
        <w:ind w:left="1080" w:hanging="72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960936"/>
    <w:multiLevelType w:val="hybridMultilevel"/>
    <w:tmpl w:val="21FC2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1D01FF"/>
    <w:multiLevelType w:val="hybridMultilevel"/>
    <w:tmpl w:val="F96EA728"/>
    <w:lvl w:ilvl="0" w:tplc="20A6EE82">
      <w:start w:val="1"/>
      <w:numFmt w:val="decimal"/>
      <w:lvlText w:val="%1."/>
      <w:lvlJc w:val="left"/>
      <w:pPr>
        <w:tabs>
          <w:tab w:val="num" w:pos="648"/>
        </w:tabs>
        <w:ind w:left="1008" w:hanging="288"/>
      </w:pPr>
      <w:rPr>
        <w:rFonts w:ascii="Times New Roman" w:hAnsi="Times New Roman" w:cs="Times New Roman" w:hint="default"/>
        <w:strike w:val="0"/>
        <w:dstrike w:val="0"/>
        <w:spacing w:val="10"/>
        <w:sz w:val="24"/>
        <w:szCs w:val="24"/>
        <w:u w:val="none"/>
        <w:effect w:val="none"/>
      </w:rPr>
    </w:lvl>
    <w:lvl w:ilvl="1" w:tplc="001471A2">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3" w15:restartNumberingAfterBreak="0">
    <w:nsid w:val="496C0190"/>
    <w:multiLevelType w:val="hybridMultilevel"/>
    <w:tmpl w:val="57526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307948"/>
    <w:multiLevelType w:val="hybridMultilevel"/>
    <w:tmpl w:val="7414C17C"/>
    <w:lvl w:ilvl="0" w:tplc="4AAE693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C47D4E"/>
    <w:multiLevelType w:val="hybridMultilevel"/>
    <w:tmpl w:val="B22A67DC"/>
    <w:lvl w:ilvl="0" w:tplc="99C0C2DA">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DE1BA4"/>
    <w:multiLevelType w:val="hybridMultilevel"/>
    <w:tmpl w:val="745A1B3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1B1233"/>
    <w:multiLevelType w:val="hybridMultilevel"/>
    <w:tmpl w:val="7C4CEE7E"/>
    <w:lvl w:ilvl="0" w:tplc="697C152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8" w15:restartNumberingAfterBreak="0">
    <w:nsid w:val="54E923A7"/>
    <w:multiLevelType w:val="hybridMultilevel"/>
    <w:tmpl w:val="D632E8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C7E12A8"/>
    <w:multiLevelType w:val="hybridMultilevel"/>
    <w:tmpl w:val="CB480D5E"/>
    <w:lvl w:ilvl="0" w:tplc="0409000F">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131FF5"/>
    <w:multiLevelType w:val="hybridMultilevel"/>
    <w:tmpl w:val="92B00E0C"/>
    <w:lvl w:ilvl="0" w:tplc="3DF8D532">
      <w:start w:val="3"/>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5855DB3"/>
    <w:multiLevelType w:val="hybridMultilevel"/>
    <w:tmpl w:val="DEAAD8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AC12B29"/>
    <w:multiLevelType w:val="hybridMultilevel"/>
    <w:tmpl w:val="647EAAF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2331B1"/>
    <w:multiLevelType w:val="hybridMultilevel"/>
    <w:tmpl w:val="FB1CFF68"/>
    <w:lvl w:ilvl="0" w:tplc="ADDA13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E58037B"/>
    <w:multiLevelType w:val="hybridMultilevel"/>
    <w:tmpl w:val="D63C63CA"/>
    <w:lvl w:ilvl="0" w:tplc="E0D4E9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F7E7BC2"/>
    <w:multiLevelType w:val="hybridMultilevel"/>
    <w:tmpl w:val="95BE1C2A"/>
    <w:lvl w:ilvl="0" w:tplc="0409000F">
      <w:start w:val="1"/>
      <w:numFmt w:val="decimal"/>
      <w:lvlText w:val="%1."/>
      <w:lvlJc w:val="left"/>
      <w:pPr>
        <w:ind w:left="360" w:hanging="360"/>
      </w:pPr>
      <w:rPr>
        <w:rFonts w:hint="default"/>
      </w:rPr>
    </w:lvl>
    <w:lvl w:ilvl="1" w:tplc="910024A4">
      <w:start w:val="1"/>
      <w:numFmt w:val="lowerLetter"/>
      <w:lvlText w:val="%2."/>
      <w:lvlJc w:val="left"/>
      <w:pPr>
        <w:ind w:left="63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3BF30F7"/>
    <w:multiLevelType w:val="hybridMultilevel"/>
    <w:tmpl w:val="7FB26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16239F"/>
    <w:multiLevelType w:val="hybridMultilevel"/>
    <w:tmpl w:val="FA3C8584"/>
    <w:lvl w:ilvl="0" w:tplc="9B9AEFE8">
      <w:start w:val="1"/>
      <w:numFmt w:val="decimal"/>
      <w:lvlText w:val="%1."/>
      <w:lvlJc w:val="left"/>
      <w:pPr>
        <w:ind w:left="1548" w:hanging="360"/>
      </w:pPr>
      <w:rPr>
        <w:rFonts w:cs="Times New Roman"/>
        <w:sz w:val="24"/>
        <w:szCs w:val="24"/>
      </w:rPr>
    </w:lvl>
    <w:lvl w:ilvl="1" w:tplc="04090019">
      <w:start w:val="1"/>
      <w:numFmt w:val="lowerLetter"/>
      <w:lvlText w:val="%2."/>
      <w:lvlJc w:val="left"/>
      <w:pPr>
        <w:ind w:left="1620" w:hanging="360"/>
      </w:pPr>
      <w:rPr>
        <w:rFonts w:cs="Times New Roman"/>
      </w:rPr>
    </w:lvl>
    <w:lvl w:ilvl="2" w:tplc="0409001B">
      <w:start w:val="1"/>
      <w:numFmt w:val="lowerRoman"/>
      <w:lvlText w:val="%3."/>
      <w:lvlJc w:val="right"/>
      <w:pPr>
        <w:ind w:left="2340" w:hanging="180"/>
      </w:pPr>
      <w:rPr>
        <w:rFonts w:cs="Times New Roman"/>
      </w:rPr>
    </w:lvl>
    <w:lvl w:ilvl="3" w:tplc="0409000F">
      <w:start w:val="1"/>
      <w:numFmt w:val="decimal"/>
      <w:lvlText w:val="%4."/>
      <w:lvlJc w:val="left"/>
      <w:pPr>
        <w:ind w:left="3060" w:hanging="360"/>
      </w:pPr>
      <w:rPr>
        <w:rFonts w:cs="Times New Roman"/>
      </w:rPr>
    </w:lvl>
    <w:lvl w:ilvl="4" w:tplc="04090019">
      <w:start w:val="1"/>
      <w:numFmt w:val="lowerLetter"/>
      <w:lvlText w:val="%5."/>
      <w:lvlJc w:val="left"/>
      <w:pPr>
        <w:ind w:left="3780" w:hanging="360"/>
      </w:pPr>
      <w:rPr>
        <w:rFonts w:cs="Times New Roman"/>
      </w:rPr>
    </w:lvl>
    <w:lvl w:ilvl="5" w:tplc="0409001B">
      <w:start w:val="1"/>
      <w:numFmt w:val="lowerRoman"/>
      <w:lvlText w:val="%6."/>
      <w:lvlJc w:val="right"/>
      <w:pPr>
        <w:ind w:left="4500" w:hanging="180"/>
      </w:pPr>
      <w:rPr>
        <w:rFonts w:cs="Times New Roman"/>
      </w:rPr>
    </w:lvl>
    <w:lvl w:ilvl="6" w:tplc="0409000F">
      <w:start w:val="1"/>
      <w:numFmt w:val="decimal"/>
      <w:lvlText w:val="%7."/>
      <w:lvlJc w:val="left"/>
      <w:pPr>
        <w:ind w:left="5220" w:hanging="360"/>
      </w:pPr>
      <w:rPr>
        <w:rFonts w:cs="Times New Roman"/>
      </w:rPr>
    </w:lvl>
    <w:lvl w:ilvl="7" w:tplc="04090019">
      <w:start w:val="1"/>
      <w:numFmt w:val="lowerLetter"/>
      <w:lvlText w:val="%8."/>
      <w:lvlJc w:val="left"/>
      <w:pPr>
        <w:ind w:left="5940" w:hanging="360"/>
      </w:pPr>
      <w:rPr>
        <w:rFonts w:cs="Times New Roman"/>
      </w:rPr>
    </w:lvl>
    <w:lvl w:ilvl="8" w:tplc="0409001B">
      <w:start w:val="1"/>
      <w:numFmt w:val="lowerRoman"/>
      <w:lvlText w:val="%9."/>
      <w:lvlJc w:val="right"/>
      <w:pPr>
        <w:ind w:left="6660" w:hanging="180"/>
      </w:pPr>
      <w:rPr>
        <w:rFonts w:cs="Times New Roman"/>
      </w:rPr>
    </w:lvl>
  </w:abstractNum>
  <w:abstractNum w:abstractNumId="38" w15:restartNumberingAfterBreak="0">
    <w:nsid w:val="777232FD"/>
    <w:multiLevelType w:val="hybridMultilevel"/>
    <w:tmpl w:val="F698C116"/>
    <w:lvl w:ilvl="0" w:tplc="D8A25A2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9" w15:restartNumberingAfterBreak="0">
    <w:nsid w:val="78547BDC"/>
    <w:multiLevelType w:val="hybridMultilevel"/>
    <w:tmpl w:val="1BD89EDC"/>
    <w:lvl w:ilvl="0" w:tplc="B20A97D4">
      <w:start w:val="3"/>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836A4D"/>
    <w:multiLevelType w:val="hybridMultilevel"/>
    <w:tmpl w:val="CB32E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num>
  <w:num w:numId="4">
    <w:abstractNumId w:val="1"/>
    <w:lvlOverride w:ilvl="0">
      <w:startOverride w:val="1"/>
    </w:lvlOverride>
  </w:num>
  <w:num w:numId="5">
    <w:abstractNumId w:val="0"/>
    <w:lvlOverride w:ilvl="0">
      <w:startOverride w:val="1"/>
    </w:lvlOverride>
  </w:num>
  <w:num w:numId="6">
    <w:abstractNumId w:val="6"/>
    <w:lvlOverride w:ilvl="0">
      <w:startOverride w:val="1"/>
    </w:lvlOverride>
  </w:num>
  <w:num w:numId="7">
    <w:abstractNumId w:val="9"/>
    <w:lvlOverride w:ilvl="0">
      <w:startOverride w:val="1"/>
    </w:lvlOverride>
  </w:num>
  <w:num w:numId="8">
    <w:abstractNumId w:val="4"/>
    <w:lvlOverride w:ilvl="0">
      <w:startOverride w:val="1"/>
    </w:lvlOverride>
  </w:num>
  <w:num w:numId="9">
    <w:abstractNumId w:val="2"/>
    <w:lvlOverride w:ilvl="0">
      <w:startOverride w:val="1"/>
    </w:lvlOverride>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num>
  <w:num w:numId="12">
    <w:abstractNumId w:val="34"/>
  </w:num>
  <w:num w:numId="13">
    <w:abstractNumId w:val="38"/>
  </w:num>
  <w:num w:numId="14">
    <w:abstractNumId w:val="3"/>
  </w:num>
  <w:num w:numId="15">
    <w:abstractNumId w:val="1"/>
  </w:num>
  <w:num w:numId="16">
    <w:abstractNumId w:val="0"/>
  </w:num>
  <w:num w:numId="17">
    <w:abstractNumId w:val="6"/>
  </w:num>
  <w:num w:numId="18">
    <w:abstractNumId w:val="9"/>
  </w:num>
  <w:num w:numId="19">
    <w:abstractNumId w:val="4"/>
  </w:num>
  <w:num w:numId="20">
    <w:abstractNumId w:val="2"/>
  </w:num>
  <w:num w:numId="21">
    <w:abstractNumId w:val="37"/>
  </w:num>
  <w:num w:numId="22">
    <w:abstractNumId w:val="22"/>
  </w:num>
  <w:num w:numId="23">
    <w:abstractNumId w:val="39"/>
  </w:num>
  <w:num w:numId="24">
    <w:abstractNumId w:val="30"/>
  </w:num>
  <w:num w:numId="25">
    <w:abstractNumId w:val="5"/>
  </w:num>
  <w:num w:numId="26">
    <w:abstractNumId w:val="19"/>
  </w:num>
  <w:num w:numId="27">
    <w:abstractNumId w:val="26"/>
  </w:num>
  <w:num w:numId="28">
    <w:abstractNumId w:val="11"/>
  </w:num>
  <w:num w:numId="29">
    <w:abstractNumId w:val="31"/>
  </w:num>
  <w:num w:numId="30">
    <w:abstractNumId w:val="36"/>
  </w:num>
  <w:num w:numId="31">
    <w:abstractNumId w:val="23"/>
  </w:num>
  <w:num w:numId="32">
    <w:abstractNumId w:val="13"/>
  </w:num>
  <w:num w:numId="33">
    <w:abstractNumId w:val="40"/>
  </w:num>
  <w:num w:numId="34">
    <w:abstractNumId w:val="17"/>
  </w:num>
  <w:num w:numId="35">
    <w:abstractNumId w:val="32"/>
  </w:num>
  <w:num w:numId="36">
    <w:abstractNumId w:val="25"/>
  </w:num>
  <w:num w:numId="37">
    <w:abstractNumId w:val="29"/>
  </w:num>
  <w:num w:numId="38">
    <w:abstractNumId w:val="33"/>
  </w:num>
  <w:num w:numId="39">
    <w:abstractNumId w:val="28"/>
  </w:num>
  <w:num w:numId="40">
    <w:abstractNumId w:val="20"/>
  </w:num>
  <w:num w:numId="41">
    <w:abstractNumId w:val="18"/>
  </w:num>
  <w:num w:numId="42">
    <w:abstractNumId w:val="35"/>
  </w:num>
  <w:num w:numId="43">
    <w:abstractNumId w:val="10"/>
  </w:num>
  <w:num w:numId="44">
    <w:abstractNumId w:val="15"/>
  </w:num>
  <w:num w:numId="45">
    <w:abstractNumId w:val="7"/>
  </w:num>
  <w:num w:numId="46">
    <w:abstractNumId w:val="14"/>
  </w:num>
  <w:num w:numId="47">
    <w:abstractNumId w:val="12"/>
  </w:num>
  <w:num w:numId="48">
    <w:abstractNumId w:val="8"/>
  </w:num>
  <w:num w:numId="49">
    <w:abstractNumId w:val="24"/>
  </w:num>
  <w:num w:numId="5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097"/>
    <w:rsid w:val="00003BAF"/>
    <w:rsid w:val="000043FC"/>
    <w:rsid w:val="00006D08"/>
    <w:rsid w:val="0001105F"/>
    <w:rsid w:val="00014750"/>
    <w:rsid w:val="00014BF9"/>
    <w:rsid w:val="00015436"/>
    <w:rsid w:val="000154F6"/>
    <w:rsid w:val="0001579E"/>
    <w:rsid w:val="00020C0C"/>
    <w:rsid w:val="000225B4"/>
    <w:rsid w:val="00026837"/>
    <w:rsid w:val="00026CE9"/>
    <w:rsid w:val="0003243C"/>
    <w:rsid w:val="00034855"/>
    <w:rsid w:val="000373CD"/>
    <w:rsid w:val="000406BC"/>
    <w:rsid w:val="000412A4"/>
    <w:rsid w:val="00041C35"/>
    <w:rsid w:val="00044E15"/>
    <w:rsid w:val="00047A68"/>
    <w:rsid w:val="00053159"/>
    <w:rsid w:val="000536DE"/>
    <w:rsid w:val="00054D3E"/>
    <w:rsid w:val="00055C48"/>
    <w:rsid w:val="0005728D"/>
    <w:rsid w:val="00060FB8"/>
    <w:rsid w:val="00063E7C"/>
    <w:rsid w:val="00064FFA"/>
    <w:rsid w:val="00070231"/>
    <w:rsid w:val="000735BE"/>
    <w:rsid w:val="00073612"/>
    <w:rsid w:val="00080FFF"/>
    <w:rsid w:val="000815D7"/>
    <w:rsid w:val="00082C92"/>
    <w:rsid w:val="00085CFD"/>
    <w:rsid w:val="000915B3"/>
    <w:rsid w:val="00092D1E"/>
    <w:rsid w:val="0009573A"/>
    <w:rsid w:val="00096BFA"/>
    <w:rsid w:val="00097656"/>
    <w:rsid w:val="000A1358"/>
    <w:rsid w:val="000A3000"/>
    <w:rsid w:val="000A4291"/>
    <w:rsid w:val="000A5D82"/>
    <w:rsid w:val="000A7DA9"/>
    <w:rsid w:val="000B3059"/>
    <w:rsid w:val="000B47C5"/>
    <w:rsid w:val="000B6A5B"/>
    <w:rsid w:val="000C0C77"/>
    <w:rsid w:val="000C0DD8"/>
    <w:rsid w:val="000C0EBC"/>
    <w:rsid w:val="000C62EE"/>
    <w:rsid w:val="000C7FA5"/>
    <w:rsid w:val="000D1E22"/>
    <w:rsid w:val="000D20D2"/>
    <w:rsid w:val="000D2B37"/>
    <w:rsid w:val="000D554B"/>
    <w:rsid w:val="000D71E8"/>
    <w:rsid w:val="000E232E"/>
    <w:rsid w:val="000E4D9D"/>
    <w:rsid w:val="000E7778"/>
    <w:rsid w:val="000F06AB"/>
    <w:rsid w:val="000F2A58"/>
    <w:rsid w:val="000F3376"/>
    <w:rsid w:val="000F3DAF"/>
    <w:rsid w:val="00103031"/>
    <w:rsid w:val="001042A1"/>
    <w:rsid w:val="00104963"/>
    <w:rsid w:val="00105FA2"/>
    <w:rsid w:val="00106596"/>
    <w:rsid w:val="00111423"/>
    <w:rsid w:val="00112589"/>
    <w:rsid w:val="00113ADE"/>
    <w:rsid w:val="001160B3"/>
    <w:rsid w:val="001176E4"/>
    <w:rsid w:val="001201E8"/>
    <w:rsid w:val="00121AE4"/>
    <w:rsid w:val="00124EEE"/>
    <w:rsid w:val="0012692D"/>
    <w:rsid w:val="001279EE"/>
    <w:rsid w:val="001340D3"/>
    <w:rsid w:val="001362E6"/>
    <w:rsid w:val="0013683C"/>
    <w:rsid w:val="00136A95"/>
    <w:rsid w:val="001408F8"/>
    <w:rsid w:val="00141969"/>
    <w:rsid w:val="00141F19"/>
    <w:rsid w:val="00142695"/>
    <w:rsid w:val="00143E5A"/>
    <w:rsid w:val="001450BD"/>
    <w:rsid w:val="00147C16"/>
    <w:rsid w:val="00150EFC"/>
    <w:rsid w:val="0015432F"/>
    <w:rsid w:val="001628B9"/>
    <w:rsid w:val="00165785"/>
    <w:rsid w:val="00174907"/>
    <w:rsid w:val="0017705E"/>
    <w:rsid w:val="00181861"/>
    <w:rsid w:val="00182647"/>
    <w:rsid w:val="001852C5"/>
    <w:rsid w:val="00185D52"/>
    <w:rsid w:val="00186B0E"/>
    <w:rsid w:val="001879EE"/>
    <w:rsid w:val="00190BC2"/>
    <w:rsid w:val="001A696D"/>
    <w:rsid w:val="001A70FE"/>
    <w:rsid w:val="001B0B5C"/>
    <w:rsid w:val="001B45BB"/>
    <w:rsid w:val="001B6B11"/>
    <w:rsid w:val="001C79BA"/>
    <w:rsid w:val="001C7DD7"/>
    <w:rsid w:val="001D1994"/>
    <w:rsid w:val="001D471A"/>
    <w:rsid w:val="001D4C35"/>
    <w:rsid w:val="001D7C2D"/>
    <w:rsid w:val="001E09A1"/>
    <w:rsid w:val="001E2C4B"/>
    <w:rsid w:val="001E67D7"/>
    <w:rsid w:val="001E6995"/>
    <w:rsid w:val="001F3104"/>
    <w:rsid w:val="001F3B03"/>
    <w:rsid w:val="001F51D4"/>
    <w:rsid w:val="00202A2C"/>
    <w:rsid w:val="00204658"/>
    <w:rsid w:val="002065F3"/>
    <w:rsid w:val="00206AA5"/>
    <w:rsid w:val="00210C48"/>
    <w:rsid w:val="002143B8"/>
    <w:rsid w:val="00215FC7"/>
    <w:rsid w:val="00216235"/>
    <w:rsid w:val="00220BE1"/>
    <w:rsid w:val="00221E9B"/>
    <w:rsid w:val="00222CE3"/>
    <w:rsid w:val="002250D8"/>
    <w:rsid w:val="0022577B"/>
    <w:rsid w:val="002308F2"/>
    <w:rsid w:val="00232FD4"/>
    <w:rsid w:val="00240A0A"/>
    <w:rsid w:val="00250309"/>
    <w:rsid w:val="0025270B"/>
    <w:rsid w:val="00255AA8"/>
    <w:rsid w:val="002642CA"/>
    <w:rsid w:val="00264A83"/>
    <w:rsid w:val="002651A0"/>
    <w:rsid w:val="002706D9"/>
    <w:rsid w:val="002708F4"/>
    <w:rsid w:val="002723E9"/>
    <w:rsid w:val="0027290F"/>
    <w:rsid w:val="00275D28"/>
    <w:rsid w:val="00276A37"/>
    <w:rsid w:val="00276D98"/>
    <w:rsid w:val="002770B4"/>
    <w:rsid w:val="0028137F"/>
    <w:rsid w:val="00282464"/>
    <w:rsid w:val="00285A73"/>
    <w:rsid w:val="00285AC5"/>
    <w:rsid w:val="0028718B"/>
    <w:rsid w:val="00294D87"/>
    <w:rsid w:val="00296EA9"/>
    <w:rsid w:val="002A02D6"/>
    <w:rsid w:val="002A30F0"/>
    <w:rsid w:val="002A5054"/>
    <w:rsid w:val="002A6F72"/>
    <w:rsid w:val="002B3838"/>
    <w:rsid w:val="002B581F"/>
    <w:rsid w:val="002B629B"/>
    <w:rsid w:val="002B78BB"/>
    <w:rsid w:val="002B7A70"/>
    <w:rsid w:val="002C09E1"/>
    <w:rsid w:val="002C10EF"/>
    <w:rsid w:val="002C4759"/>
    <w:rsid w:val="002C63FB"/>
    <w:rsid w:val="002C6CEB"/>
    <w:rsid w:val="002C7188"/>
    <w:rsid w:val="002C7C02"/>
    <w:rsid w:val="002D13A9"/>
    <w:rsid w:val="002D2228"/>
    <w:rsid w:val="002D3BE3"/>
    <w:rsid w:val="002D3F80"/>
    <w:rsid w:val="002D523B"/>
    <w:rsid w:val="002D742C"/>
    <w:rsid w:val="002D7DB2"/>
    <w:rsid w:val="002E0277"/>
    <w:rsid w:val="002E1E93"/>
    <w:rsid w:val="002E2090"/>
    <w:rsid w:val="002E6D1C"/>
    <w:rsid w:val="002E7589"/>
    <w:rsid w:val="002F1349"/>
    <w:rsid w:val="002F1353"/>
    <w:rsid w:val="002F5125"/>
    <w:rsid w:val="002F5C42"/>
    <w:rsid w:val="002F6552"/>
    <w:rsid w:val="002F668D"/>
    <w:rsid w:val="002F6A71"/>
    <w:rsid w:val="00302295"/>
    <w:rsid w:val="0030338F"/>
    <w:rsid w:val="00304C47"/>
    <w:rsid w:val="00307220"/>
    <w:rsid w:val="00311429"/>
    <w:rsid w:val="00313F38"/>
    <w:rsid w:val="0031596B"/>
    <w:rsid w:val="0031733F"/>
    <w:rsid w:val="00324028"/>
    <w:rsid w:val="00333139"/>
    <w:rsid w:val="00334097"/>
    <w:rsid w:val="0033459A"/>
    <w:rsid w:val="00340086"/>
    <w:rsid w:val="00340CE7"/>
    <w:rsid w:val="00345596"/>
    <w:rsid w:val="00350751"/>
    <w:rsid w:val="00354481"/>
    <w:rsid w:val="00354603"/>
    <w:rsid w:val="00354B5F"/>
    <w:rsid w:val="00362BA5"/>
    <w:rsid w:val="00364C0A"/>
    <w:rsid w:val="00370F4D"/>
    <w:rsid w:val="00374DE6"/>
    <w:rsid w:val="00375A10"/>
    <w:rsid w:val="003804BC"/>
    <w:rsid w:val="0038127C"/>
    <w:rsid w:val="0038268B"/>
    <w:rsid w:val="0038646A"/>
    <w:rsid w:val="00391B4B"/>
    <w:rsid w:val="003928C8"/>
    <w:rsid w:val="003A4DF5"/>
    <w:rsid w:val="003A58E5"/>
    <w:rsid w:val="003A77B0"/>
    <w:rsid w:val="003A7C3A"/>
    <w:rsid w:val="003B190F"/>
    <w:rsid w:val="003B1B7A"/>
    <w:rsid w:val="003B2F55"/>
    <w:rsid w:val="003B4589"/>
    <w:rsid w:val="003B62A3"/>
    <w:rsid w:val="003C1C9D"/>
    <w:rsid w:val="003C1FFE"/>
    <w:rsid w:val="003C7364"/>
    <w:rsid w:val="003D009A"/>
    <w:rsid w:val="003D31F9"/>
    <w:rsid w:val="003D3B9F"/>
    <w:rsid w:val="003D601B"/>
    <w:rsid w:val="003E4A64"/>
    <w:rsid w:val="003F0BB3"/>
    <w:rsid w:val="003F0E5B"/>
    <w:rsid w:val="003F7482"/>
    <w:rsid w:val="003F7AA4"/>
    <w:rsid w:val="003F7B32"/>
    <w:rsid w:val="00402E7B"/>
    <w:rsid w:val="00411321"/>
    <w:rsid w:val="00412107"/>
    <w:rsid w:val="00412D35"/>
    <w:rsid w:val="004138F8"/>
    <w:rsid w:val="004151BA"/>
    <w:rsid w:val="004151C8"/>
    <w:rsid w:val="00416938"/>
    <w:rsid w:val="00420EF7"/>
    <w:rsid w:val="0042337E"/>
    <w:rsid w:val="004237A7"/>
    <w:rsid w:val="00423FE0"/>
    <w:rsid w:val="004265CD"/>
    <w:rsid w:val="004267CA"/>
    <w:rsid w:val="0042708A"/>
    <w:rsid w:val="004338D7"/>
    <w:rsid w:val="00434A82"/>
    <w:rsid w:val="00436481"/>
    <w:rsid w:val="004431E0"/>
    <w:rsid w:val="0044519E"/>
    <w:rsid w:val="00446F61"/>
    <w:rsid w:val="00447AF1"/>
    <w:rsid w:val="004504C4"/>
    <w:rsid w:val="0045114F"/>
    <w:rsid w:val="00452260"/>
    <w:rsid w:val="00454C22"/>
    <w:rsid w:val="00456B19"/>
    <w:rsid w:val="0045755A"/>
    <w:rsid w:val="0046158F"/>
    <w:rsid w:val="004615C4"/>
    <w:rsid w:val="00462A4D"/>
    <w:rsid w:val="004635CF"/>
    <w:rsid w:val="004640E5"/>
    <w:rsid w:val="00464DA6"/>
    <w:rsid w:val="00466A98"/>
    <w:rsid w:val="00467D6A"/>
    <w:rsid w:val="00471E60"/>
    <w:rsid w:val="00473E31"/>
    <w:rsid w:val="0047662A"/>
    <w:rsid w:val="00477729"/>
    <w:rsid w:val="00482DA4"/>
    <w:rsid w:val="0048728C"/>
    <w:rsid w:val="004932AD"/>
    <w:rsid w:val="00493902"/>
    <w:rsid w:val="004940C8"/>
    <w:rsid w:val="00494A7F"/>
    <w:rsid w:val="004957DB"/>
    <w:rsid w:val="00497135"/>
    <w:rsid w:val="004A03CD"/>
    <w:rsid w:val="004A54ED"/>
    <w:rsid w:val="004A686E"/>
    <w:rsid w:val="004B6096"/>
    <w:rsid w:val="004B7064"/>
    <w:rsid w:val="004C3D92"/>
    <w:rsid w:val="004C47F0"/>
    <w:rsid w:val="004C4D37"/>
    <w:rsid w:val="004C55FE"/>
    <w:rsid w:val="004D36CC"/>
    <w:rsid w:val="004D464F"/>
    <w:rsid w:val="004D5204"/>
    <w:rsid w:val="004D5E16"/>
    <w:rsid w:val="004D7ACA"/>
    <w:rsid w:val="004E6E4A"/>
    <w:rsid w:val="004F068C"/>
    <w:rsid w:val="004F0A03"/>
    <w:rsid w:val="004F0A1E"/>
    <w:rsid w:val="0050043C"/>
    <w:rsid w:val="00500A96"/>
    <w:rsid w:val="00500F17"/>
    <w:rsid w:val="00501F2A"/>
    <w:rsid w:val="005061B9"/>
    <w:rsid w:val="005070A7"/>
    <w:rsid w:val="00507C4F"/>
    <w:rsid w:val="00510833"/>
    <w:rsid w:val="00511028"/>
    <w:rsid w:val="00512EC8"/>
    <w:rsid w:val="005138FD"/>
    <w:rsid w:val="005154B9"/>
    <w:rsid w:val="0051787D"/>
    <w:rsid w:val="005214ED"/>
    <w:rsid w:val="00521CD3"/>
    <w:rsid w:val="005260F7"/>
    <w:rsid w:val="0052720E"/>
    <w:rsid w:val="0053112F"/>
    <w:rsid w:val="005332CE"/>
    <w:rsid w:val="0053482C"/>
    <w:rsid w:val="00536C5F"/>
    <w:rsid w:val="0053761B"/>
    <w:rsid w:val="00537DBF"/>
    <w:rsid w:val="005405B4"/>
    <w:rsid w:val="00542C16"/>
    <w:rsid w:val="00542CE1"/>
    <w:rsid w:val="00543852"/>
    <w:rsid w:val="00543EA2"/>
    <w:rsid w:val="005442A1"/>
    <w:rsid w:val="005507C3"/>
    <w:rsid w:val="00562CF4"/>
    <w:rsid w:val="00563174"/>
    <w:rsid w:val="005635A6"/>
    <w:rsid w:val="0056413B"/>
    <w:rsid w:val="00566A85"/>
    <w:rsid w:val="0056713B"/>
    <w:rsid w:val="00567D4B"/>
    <w:rsid w:val="005711B9"/>
    <w:rsid w:val="00571C1D"/>
    <w:rsid w:val="00572B9C"/>
    <w:rsid w:val="005749F2"/>
    <w:rsid w:val="0058003B"/>
    <w:rsid w:val="005819F0"/>
    <w:rsid w:val="00591FCB"/>
    <w:rsid w:val="00592A9C"/>
    <w:rsid w:val="00594C19"/>
    <w:rsid w:val="005974CB"/>
    <w:rsid w:val="005A08E7"/>
    <w:rsid w:val="005A2872"/>
    <w:rsid w:val="005A4016"/>
    <w:rsid w:val="005A6393"/>
    <w:rsid w:val="005A723B"/>
    <w:rsid w:val="005B1E8E"/>
    <w:rsid w:val="005B2CBB"/>
    <w:rsid w:val="005C443D"/>
    <w:rsid w:val="005C7BF4"/>
    <w:rsid w:val="005D1185"/>
    <w:rsid w:val="005D3196"/>
    <w:rsid w:val="005D3B22"/>
    <w:rsid w:val="005D563C"/>
    <w:rsid w:val="005D68CD"/>
    <w:rsid w:val="005D73D6"/>
    <w:rsid w:val="005D78CC"/>
    <w:rsid w:val="005E00DF"/>
    <w:rsid w:val="005E0FD7"/>
    <w:rsid w:val="005E11AF"/>
    <w:rsid w:val="005E1D26"/>
    <w:rsid w:val="005E2FD2"/>
    <w:rsid w:val="005E4078"/>
    <w:rsid w:val="005E4C75"/>
    <w:rsid w:val="005E73CC"/>
    <w:rsid w:val="005E7547"/>
    <w:rsid w:val="00600626"/>
    <w:rsid w:val="00600C2C"/>
    <w:rsid w:val="00603B50"/>
    <w:rsid w:val="00604815"/>
    <w:rsid w:val="00605B9D"/>
    <w:rsid w:val="006063E1"/>
    <w:rsid w:val="006064F0"/>
    <w:rsid w:val="0061411A"/>
    <w:rsid w:val="00620A1A"/>
    <w:rsid w:val="00621C8D"/>
    <w:rsid w:val="0062348A"/>
    <w:rsid w:val="006263AF"/>
    <w:rsid w:val="0063022B"/>
    <w:rsid w:val="00634BC1"/>
    <w:rsid w:val="0063631D"/>
    <w:rsid w:val="006365AC"/>
    <w:rsid w:val="006368FB"/>
    <w:rsid w:val="006403CA"/>
    <w:rsid w:val="0064181F"/>
    <w:rsid w:val="006428BD"/>
    <w:rsid w:val="00643FDF"/>
    <w:rsid w:val="00646858"/>
    <w:rsid w:val="00650302"/>
    <w:rsid w:val="006523F0"/>
    <w:rsid w:val="0065502C"/>
    <w:rsid w:val="00655102"/>
    <w:rsid w:val="00656F31"/>
    <w:rsid w:val="00664E9A"/>
    <w:rsid w:val="00670D52"/>
    <w:rsid w:val="006740C4"/>
    <w:rsid w:val="0068054A"/>
    <w:rsid w:val="006826B3"/>
    <w:rsid w:val="0068274F"/>
    <w:rsid w:val="00683829"/>
    <w:rsid w:val="0068474E"/>
    <w:rsid w:val="00687A71"/>
    <w:rsid w:val="0069170D"/>
    <w:rsid w:val="00691A66"/>
    <w:rsid w:val="00692A0A"/>
    <w:rsid w:val="00693BBF"/>
    <w:rsid w:val="00693C3D"/>
    <w:rsid w:val="0069414D"/>
    <w:rsid w:val="0069505C"/>
    <w:rsid w:val="006977F2"/>
    <w:rsid w:val="006A00CE"/>
    <w:rsid w:val="006A11FF"/>
    <w:rsid w:val="006A3BE6"/>
    <w:rsid w:val="006A43A6"/>
    <w:rsid w:val="006A4670"/>
    <w:rsid w:val="006A5F8A"/>
    <w:rsid w:val="006A66B3"/>
    <w:rsid w:val="006B06AC"/>
    <w:rsid w:val="006C0ECD"/>
    <w:rsid w:val="006C13FA"/>
    <w:rsid w:val="006C5802"/>
    <w:rsid w:val="006D0CF8"/>
    <w:rsid w:val="006D3898"/>
    <w:rsid w:val="006D51DE"/>
    <w:rsid w:val="006E10FB"/>
    <w:rsid w:val="006E2953"/>
    <w:rsid w:val="006E327F"/>
    <w:rsid w:val="006E4462"/>
    <w:rsid w:val="006E47B4"/>
    <w:rsid w:val="006E776E"/>
    <w:rsid w:val="006F22F9"/>
    <w:rsid w:val="006F2D63"/>
    <w:rsid w:val="006F3219"/>
    <w:rsid w:val="006F3AF1"/>
    <w:rsid w:val="006F44F2"/>
    <w:rsid w:val="006F45EE"/>
    <w:rsid w:val="006F5473"/>
    <w:rsid w:val="006F6529"/>
    <w:rsid w:val="006F696E"/>
    <w:rsid w:val="00701239"/>
    <w:rsid w:val="00701A52"/>
    <w:rsid w:val="007034E9"/>
    <w:rsid w:val="00707A6E"/>
    <w:rsid w:val="0071386C"/>
    <w:rsid w:val="00720BE8"/>
    <w:rsid w:val="007217F8"/>
    <w:rsid w:val="007225C3"/>
    <w:rsid w:val="00730286"/>
    <w:rsid w:val="00743C58"/>
    <w:rsid w:val="007444B9"/>
    <w:rsid w:val="00745332"/>
    <w:rsid w:val="00746AD4"/>
    <w:rsid w:val="00751580"/>
    <w:rsid w:val="007575E7"/>
    <w:rsid w:val="007613DA"/>
    <w:rsid w:val="007651D4"/>
    <w:rsid w:val="0077133C"/>
    <w:rsid w:val="007716ED"/>
    <w:rsid w:val="00773154"/>
    <w:rsid w:val="0077345D"/>
    <w:rsid w:val="00774095"/>
    <w:rsid w:val="00774EA0"/>
    <w:rsid w:val="00775AAD"/>
    <w:rsid w:val="00775D03"/>
    <w:rsid w:val="00776925"/>
    <w:rsid w:val="00782B63"/>
    <w:rsid w:val="00782B8E"/>
    <w:rsid w:val="00787125"/>
    <w:rsid w:val="00790444"/>
    <w:rsid w:val="007912E6"/>
    <w:rsid w:val="0079542D"/>
    <w:rsid w:val="007954C8"/>
    <w:rsid w:val="00797206"/>
    <w:rsid w:val="007A04B1"/>
    <w:rsid w:val="007A44F1"/>
    <w:rsid w:val="007A4C0F"/>
    <w:rsid w:val="007A5BE2"/>
    <w:rsid w:val="007B2E8E"/>
    <w:rsid w:val="007B3ACE"/>
    <w:rsid w:val="007B4EE5"/>
    <w:rsid w:val="007B669D"/>
    <w:rsid w:val="007C0028"/>
    <w:rsid w:val="007C284D"/>
    <w:rsid w:val="007C3E54"/>
    <w:rsid w:val="007C3EE8"/>
    <w:rsid w:val="007C47F7"/>
    <w:rsid w:val="007C5496"/>
    <w:rsid w:val="007D4B01"/>
    <w:rsid w:val="007E182E"/>
    <w:rsid w:val="007E321E"/>
    <w:rsid w:val="007E434D"/>
    <w:rsid w:val="007F0595"/>
    <w:rsid w:val="007F3646"/>
    <w:rsid w:val="007F4E7A"/>
    <w:rsid w:val="008005DB"/>
    <w:rsid w:val="008031F0"/>
    <w:rsid w:val="008042FE"/>
    <w:rsid w:val="0080641F"/>
    <w:rsid w:val="00807701"/>
    <w:rsid w:val="00811E00"/>
    <w:rsid w:val="008139B7"/>
    <w:rsid w:val="00814BE1"/>
    <w:rsid w:val="0082054C"/>
    <w:rsid w:val="00822E62"/>
    <w:rsid w:val="0082409D"/>
    <w:rsid w:val="00824CAF"/>
    <w:rsid w:val="00827DB3"/>
    <w:rsid w:val="00837E4A"/>
    <w:rsid w:val="0084229C"/>
    <w:rsid w:val="00844EF3"/>
    <w:rsid w:val="00845F73"/>
    <w:rsid w:val="00852188"/>
    <w:rsid w:val="00857001"/>
    <w:rsid w:val="00863227"/>
    <w:rsid w:val="00864219"/>
    <w:rsid w:val="0087016D"/>
    <w:rsid w:val="00870495"/>
    <w:rsid w:val="00870F42"/>
    <w:rsid w:val="00871CC7"/>
    <w:rsid w:val="008734B1"/>
    <w:rsid w:val="008743CE"/>
    <w:rsid w:val="00875DE4"/>
    <w:rsid w:val="00877964"/>
    <w:rsid w:val="00877D26"/>
    <w:rsid w:val="00880142"/>
    <w:rsid w:val="00880DE3"/>
    <w:rsid w:val="0088176E"/>
    <w:rsid w:val="008870B8"/>
    <w:rsid w:val="0089107E"/>
    <w:rsid w:val="00895077"/>
    <w:rsid w:val="0089573C"/>
    <w:rsid w:val="00895B49"/>
    <w:rsid w:val="00897E30"/>
    <w:rsid w:val="008A18FD"/>
    <w:rsid w:val="008A3128"/>
    <w:rsid w:val="008A33FD"/>
    <w:rsid w:val="008A4762"/>
    <w:rsid w:val="008A5720"/>
    <w:rsid w:val="008B1228"/>
    <w:rsid w:val="008B4160"/>
    <w:rsid w:val="008B5869"/>
    <w:rsid w:val="008B63DA"/>
    <w:rsid w:val="008C0ABC"/>
    <w:rsid w:val="008C1D28"/>
    <w:rsid w:val="008C29C9"/>
    <w:rsid w:val="008C31E6"/>
    <w:rsid w:val="008C544A"/>
    <w:rsid w:val="008C6965"/>
    <w:rsid w:val="008C7305"/>
    <w:rsid w:val="008D1292"/>
    <w:rsid w:val="008D14BF"/>
    <w:rsid w:val="008D46BC"/>
    <w:rsid w:val="008D4BFC"/>
    <w:rsid w:val="008D4CD9"/>
    <w:rsid w:val="008D5BCB"/>
    <w:rsid w:val="008E2E53"/>
    <w:rsid w:val="008E366A"/>
    <w:rsid w:val="008E427B"/>
    <w:rsid w:val="008E604F"/>
    <w:rsid w:val="008F0A16"/>
    <w:rsid w:val="009042F6"/>
    <w:rsid w:val="00906703"/>
    <w:rsid w:val="0091017A"/>
    <w:rsid w:val="00911068"/>
    <w:rsid w:val="009121E2"/>
    <w:rsid w:val="009126AE"/>
    <w:rsid w:val="00922FF6"/>
    <w:rsid w:val="0092305D"/>
    <w:rsid w:val="0092744A"/>
    <w:rsid w:val="0093004F"/>
    <w:rsid w:val="0093473E"/>
    <w:rsid w:val="00934A1B"/>
    <w:rsid w:val="00937138"/>
    <w:rsid w:val="009406A5"/>
    <w:rsid w:val="00944D8C"/>
    <w:rsid w:val="00945287"/>
    <w:rsid w:val="00954525"/>
    <w:rsid w:val="00957A9C"/>
    <w:rsid w:val="00963D6D"/>
    <w:rsid w:val="00964E69"/>
    <w:rsid w:val="00971D10"/>
    <w:rsid w:val="00973CAE"/>
    <w:rsid w:val="00976154"/>
    <w:rsid w:val="0097700C"/>
    <w:rsid w:val="009772F4"/>
    <w:rsid w:val="00980418"/>
    <w:rsid w:val="009835B7"/>
    <w:rsid w:val="00983A30"/>
    <w:rsid w:val="009840AC"/>
    <w:rsid w:val="00984F9E"/>
    <w:rsid w:val="00985EF0"/>
    <w:rsid w:val="00990555"/>
    <w:rsid w:val="009935DD"/>
    <w:rsid w:val="00997022"/>
    <w:rsid w:val="009A7B44"/>
    <w:rsid w:val="009B055B"/>
    <w:rsid w:val="009B1545"/>
    <w:rsid w:val="009B2F6E"/>
    <w:rsid w:val="009B647F"/>
    <w:rsid w:val="009B7803"/>
    <w:rsid w:val="009B7E00"/>
    <w:rsid w:val="009C202E"/>
    <w:rsid w:val="009C376F"/>
    <w:rsid w:val="009C6D79"/>
    <w:rsid w:val="009C7BD9"/>
    <w:rsid w:val="009D0686"/>
    <w:rsid w:val="009D718C"/>
    <w:rsid w:val="009E18FE"/>
    <w:rsid w:val="009F0A80"/>
    <w:rsid w:val="009F0D82"/>
    <w:rsid w:val="009F2A55"/>
    <w:rsid w:val="00A00846"/>
    <w:rsid w:val="00A00A27"/>
    <w:rsid w:val="00A02F98"/>
    <w:rsid w:val="00A06348"/>
    <w:rsid w:val="00A12053"/>
    <w:rsid w:val="00A127A2"/>
    <w:rsid w:val="00A20985"/>
    <w:rsid w:val="00A23CE9"/>
    <w:rsid w:val="00A30192"/>
    <w:rsid w:val="00A31D60"/>
    <w:rsid w:val="00A32FEC"/>
    <w:rsid w:val="00A37DB3"/>
    <w:rsid w:val="00A42387"/>
    <w:rsid w:val="00A44F18"/>
    <w:rsid w:val="00A46C70"/>
    <w:rsid w:val="00A502FB"/>
    <w:rsid w:val="00A50A4E"/>
    <w:rsid w:val="00A5296B"/>
    <w:rsid w:val="00A54757"/>
    <w:rsid w:val="00A54CA6"/>
    <w:rsid w:val="00A57A88"/>
    <w:rsid w:val="00A60003"/>
    <w:rsid w:val="00A617C8"/>
    <w:rsid w:val="00A64DBB"/>
    <w:rsid w:val="00A66FCB"/>
    <w:rsid w:val="00A709A5"/>
    <w:rsid w:val="00A71902"/>
    <w:rsid w:val="00A71C45"/>
    <w:rsid w:val="00A75511"/>
    <w:rsid w:val="00A81682"/>
    <w:rsid w:val="00A82393"/>
    <w:rsid w:val="00A83A76"/>
    <w:rsid w:val="00A859EB"/>
    <w:rsid w:val="00A85F5D"/>
    <w:rsid w:val="00A878F4"/>
    <w:rsid w:val="00AA100E"/>
    <w:rsid w:val="00AA208B"/>
    <w:rsid w:val="00AA20F6"/>
    <w:rsid w:val="00AA26E1"/>
    <w:rsid w:val="00AA3ADD"/>
    <w:rsid w:val="00AA42E4"/>
    <w:rsid w:val="00AA4421"/>
    <w:rsid w:val="00AA60BB"/>
    <w:rsid w:val="00AA6E79"/>
    <w:rsid w:val="00AA75D7"/>
    <w:rsid w:val="00AB3C3B"/>
    <w:rsid w:val="00AC4796"/>
    <w:rsid w:val="00AC492F"/>
    <w:rsid w:val="00AC5811"/>
    <w:rsid w:val="00AC5D1E"/>
    <w:rsid w:val="00AD4D69"/>
    <w:rsid w:val="00AD5AFB"/>
    <w:rsid w:val="00AD7921"/>
    <w:rsid w:val="00AE0B4C"/>
    <w:rsid w:val="00AE40A7"/>
    <w:rsid w:val="00AF3FC7"/>
    <w:rsid w:val="00AF64AF"/>
    <w:rsid w:val="00B02CB1"/>
    <w:rsid w:val="00B04144"/>
    <w:rsid w:val="00B05DFC"/>
    <w:rsid w:val="00B12857"/>
    <w:rsid w:val="00B139D9"/>
    <w:rsid w:val="00B14AB3"/>
    <w:rsid w:val="00B15F16"/>
    <w:rsid w:val="00B1747E"/>
    <w:rsid w:val="00B17E4F"/>
    <w:rsid w:val="00B2021D"/>
    <w:rsid w:val="00B21872"/>
    <w:rsid w:val="00B220B2"/>
    <w:rsid w:val="00B22AD6"/>
    <w:rsid w:val="00B22C25"/>
    <w:rsid w:val="00B23255"/>
    <w:rsid w:val="00B23E1A"/>
    <w:rsid w:val="00B258F7"/>
    <w:rsid w:val="00B267BA"/>
    <w:rsid w:val="00B317BC"/>
    <w:rsid w:val="00B321BA"/>
    <w:rsid w:val="00B40220"/>
    <w:rsid w:val="00B40795"/>
    <w:rsid w:val="00B41F3D"/>
    <w:rsid w:val="00B43316"/>
    <w:rsid w:val="00B4377F"/>
    <w:rsid w:val="00B446E7"/>
    <w:rsid w:val="00B45762"/>
    <w:rsid w:val="00B465C0"/>
    <w:rsid w:val="00B469CD"/>
    <w:rsid w:val="00B46DCC"/>
    <w:rsid w:val="00B4779E"/>
    <w:rsid w:val="00B5051D"/>
    <w:rsid w:val="00B6075C"/>
    <w:rsid w:val="00B625CF"/>
    <w:rsid w:val="00B66C90"/>
    <w:rsid w:val="00B67150"/>
    <w:rsid w:val="00B71221"/>
    <w:rsid w:val="00B74831"/>
    <w:rsid w:val="00B7620D"/>
    <w:rsid w:val="00B82B42"/>
    <w:rsid w:val="00B84AD5"/>
    <w:rsid w:val="00B84C99"/>
    <w:rsid w:val="00B9164B"/>
    <w:rsid w:val="00B965DD"/>
    <w:rsid w:val="00B96B25"/>
    <w:rsid w:val="00BA0E41"/>
    <w:rsid w:val="00BA284F"/>
    <w:rsid w:val="00BA2D74"/>
    <w:rsid w:val="00BA59D9"/>
    <w:rsid w:val="00BA6467"/>
    <w:rsid w:val="00BB0FF0"/>
    <w:rsid w:val="00BB2366"/>
    <w:rsid w:val="00BB38F1"/>
    <w:rsid w:val="00BB45B3"/>
    <w:rsid w:val="00BB4DB0"/>
    <w:rsid w:val="00BB5FE9"/>
    <w:rsid w:val="00BC0128"/>
    <w:rsid w:val="00BC45CD"/>
    <w:rsid w:val="00BC4722"/>
    <w:rsid w:val="00BC60F6"/>
    <w:rsid w:val="00BD00B0"/>
    <w:rsid w:val="00BD6C82"/>
    <w:rsid w:val="00BD7531"/>
    <w:rsid w:val="00BD7637"/>
    <w:rsid w:val="00BD7971"/>
    <w:rsid w:val="00BE197E"/>
    <w:rsid w:val="00BE1CEE"/>
    <w:rsid w:val="00BE5060"/>
    <w:rsid w:val="00BE5873"/>
    <w:rsid w:val="00BF2ABE"/>
    <w:rsid w:val="00BF3FD2"/>
    <w:rsid w:val="00C01303"/>
    <w:rsid w:val="00C0211E"/>
    <w:rsid w:val="00C05391"/>
    <w:rsid w:val="00C075ED"/>
    <w:rsid w:val="00C118D0"/>
    <w:rsid w:val="00C11E11"/>
    <w:rsid w:val="00C1224E"/>
    <w:rsid w:val="00C14DF1"/>
    <w:rsid w:val="00C15FC3"/>
    <w:rsid w:val="00C210DF"/>
    <w:rsid w:val="00C255AB"/>
    <w:rsid w:val="00C264F5"/>
    <w:rsid w:val="00C269CF"/>
    <w:rsid w:val="00C26C84"/>
    <w:rsid w:val="00C26F5D"/>
    <w:rsid w:val="00C27085"/>
    <w:rsid w:val="00C27D89"/>
    <w:rsid w:val="00C3011B"/>
    <w:rsid w:val="00C302B6"/>
    <w:rsid w:val="00C443F7"/>
    <w:rsid w:val="00C50C8A"/>
    <w:rsid w:val="00C53FDA"/>
    <w:rsid w:val="00C542D0"/>
    <w:rsid w:val="00C55F3A"/>
    <w:rsid w:val="00C60E0E"/>
    <w:rsid w:val="00C61F2E"/>
    <w:rsid w:val="00C654BF"/>
    <w:rsid w:val="00C65E93"/>
    <w:rsid w:val="00C67815"/>
    <w:rsid w:val="00C73AF0"/>
    <w:rsid w:val="00C74239"/>
    <w:rsid w:val="00C74D9F"/>
    <w:rsid w:val="00C83C2E"/>
    <w:rsid w:val="00C869FE"/>
    <w:rsid w:val="00C9105A"/>
    <w:rsid w:val="00C92230"/>
    <w:rsid w:val="00C9447B"/>
    <w:rsid w:val="00C958D5"/>
    <w:rsid w:val="00C95C9D"/>
    <w:rsid w:val="00C97F10"/>
    <w:rsid w:val="00CA1097"/>
    <w:rsid w:val="00CA297A"/>
    <w:rsid w:val="00CA4DCA"/>
    <w:rsid w:val="00CA7B1E"/>
    <w:rsid w:val="00CB0C1E"/>
    <w:rsid w:val="00CB4B97"/>
    <w:rsid w:val="00CC6E62"/>
    <w:rsid w:val="00CC75F2"/>
    <w:rsid w:val="00CD07AC"/>
    <w:rsid w:val="00CD1422"/>
    <w:rsid w:val="00CD2DB3"/>
    <w:rsid w:val="00CD3008"/>
    <w:rsid w:val="00CD3FCB"/>
    <w:rsid w:val="00CD42A6"/>
    <w:rsid w:val="00CD4540"/>
    <w:rsid w:val="00CD7BEF"/>
    <w:rsid w:val="00CE0E5A"/>
    <w:rsid w:val="00CE2ECA"/>
    <w:rsid w:val="00CE5164"/>
    <w:rsid w:val="00CE53EF"/>
    <w:rsid w:val="00CE5689"/>
    <w:rsid w:val="00CE685D"/>
    <w:rsid w:val="00CE77FE"/>
    <w:rsid w:val="00CF312F"/>
    <w:rsid w:val="00CF37D7"/>
    <w:rsid w:val="00CF3850"/>
    <w:rsid w:val="00CF55FD"/>
    <w:rsid w:val="00CF6B67"/>
    <w:rsid w:val="00D022D1"/>
    <w:rsid w:val="00D03B30"/>
    <w:rsid w:val="00D0507D"/>
    <w:rsid w:val="00D103DE"/>
    <w:rsid w:val="00D1392C"/>
    <w:rsid w:val="00D146E2"/>
    <w:rsid w:val="00D15B62"/>
    <w:rsid w:val="00D230E3"/>
    <w:rsid w:val="00D24E65"/>
    <w:rsid w:val="00D25F06"/>
    <w:rsid w:val="00D31A46"/>
    <w:rsid w:val="00D32DEB"/>
    <w:rsid w:val="00D34E5B"/>
    <w:rsid w:val="00D410E6"/>
    <w:rsid w:val="00D474C4"/>
    <w:rsid w:val="00D47EBA"/>
    <w:rsid w:val="00D50070"/>
    <w:rsid w:val="00D508A2"/>
    <w:rsid w:val="00D54F95"/>
    <w:rsid w:val="00D5500E"/>
    <w:rsid w:val="00D56587"/>
    <w:rsid w:val="00D6089D"/>
    <w:rsid w:val="00D60992"/>
    <w:rsid w:val="00D616AF"/>
    <w:rsid w:val="00D63246"/>
    <w:rsid w:val="00D63538"/>
    <w:rsid w:val="00D64BFD"/>
    <w:rsid w:val="00D655B4"/>
    <w:rsid w:val="00D67EB4"/>
    <w:rsid w:val="00D7308B"/>
    <w:rsid w:val="00D73C88"/>
    <w:rsid w:val="00D768D7"/>
    <w:rsid w:val="00D80465"/>
    <w:rsid w:val="00D841DF"/>
    <w:rsid w:val="00D930B8"/>
    <w:rsid w:val="00D935CE"/>
    <w:rsid w:val="00D93BE0"/>
    <w:rsid w:val="00D95B2C"/>
    <w:rsid w:val="00DB05DA"/>
    <w:rsid w:val="00DB1E59"/>
    <w:rsid w:val="00DB63D2"/>
    <w:rsid w:val="00DB74E9"/>
    <w:rsid w:val="00DC0323"/>
    <w:rsid w:val="00DC3F10"/>
    <w:rsid w:val="00DC405C"/>
    <w:rsid w:val="00DC7670"/>
    <w:rsid w:val="00DD55B4"/>
    <w:rsid w:val="00DD6044"/>
    <w:rsid w:val="00DD7B4C"/>
    <w:rsid w:val="00DE150E"/>
    <w:rsid w:val="00DE2907"/>
    <w:rsid w:val="00DE394B"/>
    <w:rsid w:val="00DE42B4"/>
    <w:rsid w:val="00DF03C1"/>
    <w:rsid w:val="00DF0570"/>
    <w:rsid w:val="00DF07C0"/>
    <w:rsid w:val="00DF7D04"/>
    <w:rsid w:val="00E123DB"/>
    <w:rsid w:val="00E14CB8"/>
    <w:rsid w:val="00E15ECB"/>
    <w:rsid w:val="00E17EDF"/>
    <w:rsid w:val="00E22CF0"/>
    <w:rsid w:val="00E2455D"/>
    <w:rsid w:val="00E311AE"/>
    <w:rsid w:val="00E31D69"/>
    <w:rsid w:val="00E336F8"/>
    <w:rsid w:val="00E34772"/>
    <w:rsid w:val="00E34D12"/>
    <w:rsid w:val="00E436A3"/>
    <w:rsid w:val="00E45490"/>
    <w:rsid w:val="00E50863"/>
    <w:rsid w:val="00E51359"/>
    <w:rsid w:val="00E51830"/>
    <w:rsid w:val="00E56888"/>
    <w:rsid w:val="00E6598D"/>
    <w:rsid w:val="00E71B69"/>
    <w:rsid w:val="00E7243F"/>
    <w:rsid w:val="00E760C4"/>
    <w:rsid w:val="00E80E82"/>
    <w:rsid w:val="00E838E3"/>
    <w:rsid w:val="00E8402C"/>
    <w:rsid w:val="00E867EE"/>
    <w:rsid w:val="00E900A3"/>
    <w:rsid w:val="00E90D13"/>
    <w:rsid w:val="00E93EE2"/>
    <w:rsid w:val="00E9728F"/>
    <w:rsid w:val="00EA021A"/>
    <w:rsid w:val="00EA0872"/>
    <w:rsid w:val="00EA2707"/>
    <w:rsid w:val="00EA2AF6"/>
    <w:rsid w:val="00EA7FA1"/>
    <w:rsid w:val="00EB1F70"/>
    <w:rsid w:val="00EB4091"/>
    <w:rsid w:val="00EB43A6"/>
    <w:rsid w:val="00EB43C9"/>
    <w:rsid w:val="00EB6C14"/>
    <w:rsid w:val="00EB6F07"/>
    <w:rsid w:val="00EC07E4"/>
    <w:rsid w:val="00EC33FD"/>
    <w:rsid w:val="00EC41C8"/>
    <w:rsid w:val="00EC5B33"/>
    <w:rsid w:val="00EC62F1"/>
    <w:rsid w:val="00ED1717"/>
    <w:rsid w:val="00ED2582"/>
    <w:rsid w:val="00ED3F59"/>
    <w:rsid w:val="00ED749B"/>
    <w:rsid w:val="00ED76ED"/>
    <w:rsid w:val="00EE09A6"/>
    <w:rsid w:val="00EE0FCA"/>
    <w:rsid w:val="00EE204B"/>
    <w:rsid w:val="00EE21C6"/>
    <w:rsid w:val="00EE3CFD"/>
    <w:rsid w:val="00EF2F63"/>
    <w:rsid w:val="00EF769C"/>
    <w:rsid w:val="00F00C4C"/>
    <w:rsid w:val="00F05D78"/>
    <w:rsid w:val="00F0706A"/>
    <w:rsid w:val="00F13305"/>
    <w:rsid w:val="00F1341F"/>
    <w:rsid w:val="00F16F27"/>
    <w:rsid w:val="00F20DCE"/>
    <w:rsid w:val="00F22459"/>
    <w:rsid w:val="00F22CAD"/>
    <w:rsid w:val="00F31540"/>
    <w:rsid w:val="00F33243"/>
    <w:rsid w:val="00F344FD"/>
    <w:rsid w:val="00F4023C"/>
    <w:rsid w:val="00F429D0"/>
    <w:rsid w:val="00F434D1"/>
    <w:rsid w:val="00F45C07"/>
    <w:rsid w:val="00F53CA8"/>
    <w:rsid w:val="00F61E9B"/>
    <w:rsid w:val="00F644A6"/>
    <w:rsid w:val="00F70BAF"/>
    <w:rsid w:val="00F7304F"/>
    <w:rsid w:val="00F7744D"/>
    <w:rsid w:val="00F77CE5"/>
    <w:rsid w:val="00F84A59"/>
    <w:rsid w:val="00F86447"/>
    <w:rsid w:val="00F86810"/>
    <w:rsid w:val="00F931B0"/>
    <w:rsid w:val="00F93D4A"/>
    <w:rsid w:val="00FA00F8"/>
    <w:rsid w:val="00FA08F2"/>
    <w:rsid w:val="00FA2BB9"/>
    <w:rsid w:val="00FA6BFA"/>
    <w:rsid w:val="00FA7527"/>
    <w:rsid w:val="00FB6ED8"/>
    <w:rsid w:val="00FB6EFF"/>
    <w:rsid w:val="00FC168E"/>
    <w:rsid w:val="00FC2D44"/>
    <w:rsid w:val="00FC4DE6"/>
    <w:rsid w:val="00FC6053"/>
    <w:rsid w:val="00FC6BAF"/>
    <w:rsid w:val="00FD30CA"/>
    <w:rsid w:val="00FD5CDA"/>
    <w:rsid w:val="00FD72A7"/>
    <w:rsid w:val="00FD751F"/>
    <w:rsid w:val="00FD759F"/>
    <w:rsid w:val="00FF431D"/>
    <w:rsid w:val="00FF4B84"/>
    <w:rsid w:val="00FF4F51"/>
    <w:rsid w:val="00FF56E3"/>
    <w:rsid w:val="00FF5F98"/>
    <w:rsid w:val="00FF6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docId w15:val="{F924B901-528B-4489-B46B-B3955D153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1303"/>
    <w:pPr>
      <w:jc w:val="both"/>
    </w:pPr>
    <w:rPr>
      <w:rFonts w:ascii="Times New Roman" w:eastAsia="Times New Roman" w:hAnsi="Times New Roman"/>
      <w:sz w:val="24"/>
    </w:rPr>
  </w:style>
  <w:style w:type="paragraph" w:styleId="Heading1">
    <w:name w:val="heading 1"/>
    <w:basedOn w:val="Normal"/>
    <w:link w:val="Heading1Char"/>
    <w:qFormat/>
    <w:rsid w:val="00334097"/>
    <w:pPr>
      <w:keepNext/>
      <w:suppressAutoHyphens/>
      <w:spacing w:after="240"/>
      <w:outlineLvl w:val="0"/>
    </w:pPr>
    <w:rPr>
      <w:snapToGrid w:val="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334097"/>
    <w:pPr>
      <w:jc w:val="both"/>
    </w:pPr>
    <w:rPr>
      <w:sz w:val="22"/>
      <w:szCs w:val="22"/>
    </w:rPr>
  </w:style>
  <w:style w:type="character" w:customStyle="1" w:styleId="Heading1Char">
    <w:name w:val="Heading 1 Char"/>
    <w:link w:val="Heading1"/>
    <w:rsid w:val="00334097"/>
    <w:rPr>
      <w:rFonts w:ascii="Times New Roman" w:eastAsia="Times New Roman" w:hAnsi="Times New Roman" w:cs="Times New Roman"/>
      <w:snapToGrid w:val="0"/>
      <w:sz w:val="24"/>
      <w:szCs w:val="20"/>
    </w:rPr>
  </w:style>
  <w:style w:type="paragraph" w:customStyle="1" w:styleId="DoubleSpaceParagaph">
    <w:name w:val="Double Space Paragaph"/>
    <w:aliases w:val="DS"/>
    <w:basedOn w:val="Normal"/>
    <w:rsid w:val="00334097"/>
    <w:pPr>
      <w:suppressAutoHyphens/>
      <w:spacing w:line="480" w:lineRule="auto"/>
      <w:ind w:firstLine="1440"/>
    </w:pPr>
    <w:rPr>
      <w:rFonts w:eastAsia="Calibri"/>
    </w:rPr>
  </w:style>
  <w:style w:type="paragraph" w:styleId="FootnoteText">
    <w:name w:val="footnote text"/>
    <w:aliases w:val="FT"/>
    <w:basedOn w:val="Normal"/>
    <w:link w:val="FootnoteTextChar"/>
    <w:uiPriority w:val="99"/>
    <w:unhideWhenUsed/>
    <w:rsid w:val="00334097"/>
    <w:rPr>
      <w:sz w:val="20"/>
    </w:rPr>
  </w:style>
  <w:style w:type="character" w:customStyle="1" w:styleId="FootnoteTextChar">
    <w:name w:val="Footnote Text Char"/>
    <w:aliases w:val="FT Char"/>
    <w:link w:val="FootnoteText"/>
    <w:uiPriority w:val="99"/>
    <w:rsid w:val="00334097"/>
    <w:rPr>
      <w:rFonts w:ascii="Times New Roman" w:eastAsia="Times New Roman" w:hAnsi="Times New Roman" w:cs="Times New Roman"/>
      <w:sz w:val="20"/>
      <w:szCs w:val="20"/>
    </w:rPr>
  </w:style>
  <w:style w:type="character" w:styleId="FootnoteReference">
    <w:name w:val="footnote reference"/>
    <w:uiPriority w:val="99"/>
    <w:unhideWhenUsed/>
    <w:rsid w:val="00334097"/>
    <w:rPr>
      <w:vertAlign w:val="superscript"/>
    </w:rPr>
  </w:style>
  <w:style w:type="character" w:customStyle="1" w:styleId="st1">
    <w:name w:val="st1"/>
    <w:basedOn w:val="DefaultParagraphFont"/>
    <w:rsid w:val="006263AF"/>
  </w:style>
  <w:style w:type="paragraph" w:styleId="ListParagraph">
    <w:name w:val="List Paragraph"/>
    <w:basedOn w:val="Normal"/>
    <w:uiPriority w:val="34"/>
    <w:qFormat/>
    <w:rsid w:val="002708F4"/>
    <w:pPr>
      <w:spacing w:after="200" w:line="276" w:lineRule="auto"/>
      <w:ind w:left="720"/>
      <w:contextualSpacing/>
    </w:pPr>
    <w:rPr>
      <w:rFonts w:ascii="Calibri" w:eastAsia="Calibri" w:hAnsi="Calibri"/>
      <w:sz w:val="22"/>
      <w:szCs w:val="22"/>
    </w:rPr>
  </w:style>
  <w:style w:type="character" w:styleId="Hyperlink">
    <w:name w:val="Hyperlink"/>
    <w:uiPriority w:val="99"/>
    <w:unhideWhenUsed/>
    <w:rsid w:val="008C31E6"/>
    <w:rPr>
      <w:color w:val="0000FF"/>
      <w:u w:val="single"/>
    </w:rPr>
  </w:style>
  <w:style w:type="paragraph" w:styleId="Header">
    <w:name w:val="header"/>
    <w:basedOn w:val="Normal"/>
    <w:link w:val="HeaderChar"/>
    <w:uiPriority w:val="99"/>
    <w:unhideWhenUsed/>
    <w:rsid w:val="008D4BFC"/>
    <w:pPr>
      <w:tabs>
        <w:tab w:val="center" w:pos="4680"/>
        <w:tab w:val="right" w:pos="9360"/>
      </w:tabs>
    </w:pPr>
  </w:style>
  <w:style w:type="character" w:customStyle="1" w:styleId="HeaderChar">
    <w:name w:val="Header Char"/>
    <w:link w:val="Header"/>
    <w:uiPriority w:val="99"/>
    <w:rsid w:val="008D4BFC"/>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8D4BFC"/>
    <w:pPr>
      <w:tabs>
        <w:tab w:val="center" w:pos="4680"/>
        <w:tab w:val="right" w:pos="9360"/>
      </w:tabs>
    </w:pPr>
  </w:style>
  <w:style w:type="character" w:customStyle="1" w:styleId="FooterChar">
    <w:name w:val="Footer Char"/>
    <w:link w:val="Footer"/>
    <w:uiPriority w:val="99"/>
    <w:rsid w:val="008D4BFC"/>
    <w:rPr>
      <w:rFonts w:ascii="Times New Roman" w:eastAsia="Times New Roman" w:hAnsi="Times New Roman" w:cs="Times New Roman"/>
      <w:sz w:val="24"/>
      <w:szCs w:val="20"/>
    </w:rPr>
  </w:style>
  <w:style w:type="paragraph" w:customStyle="1" w:styleId="Default">
    <w:name w:val="Default"/>
    <w:rsid w:val="000D71E8"/>
    <w:pPr>
      <w:autoSpaceDE w:val="0"/>
      <w:autoSpaceDN w:val="0"/>
      <w:adjustRightInd w:val="0"/>
      <w:jc w:val="both"/>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0D71E8"/>
    <w:rPr>
      <w:rFonts w:ascii="Tahoma" w:hAnsi="Tahoma" w:cs="Tahoma"/>
      <w:sz w:val="16"/>
      <w:szCs w:val="16"/>
    </w:rPr>
  </w:style>
  <w:style w:type="character" w:customStyle="1" w:styleId="BalloonTextChar">
    <w:name w:val="Balloon Text Char"/>
    <w:link w:val="BalloonText"/>
    <w:uiPriority w:val="99"/>
    <w:semiHidden/>
    <w:rsid w:val="000D71E8"/>
    <w:rPr>
      <w:rFonts w:ascii="Tahoma" w:eastAsia="Times New Roman" w:hAnsi="Tahoma" w:cs="Tahoma"/>
      <w:sz w:val="16"/>
      <w:szCs w:val="16"/>
    </w:rPr>
  </w:style>
  <w:style w:type="character" w:styleId="CommentReference">
    <w:name w:val="annotation reference"/>
    <w:uiPriority w:val="99"/>
    <w:semiHidden/>
    <w:unhideWhenUsed/>
    <w:rsid w:val="004138F8"/>
    <w:rPr>
      <w:sz w:val="16"/>
      <w:szCs w:val="16"/>
    </w:rPr>
  </w:style>
  <w:style w:type="paragraph" w:styleId="CommentText">
    <w:name w:val="annotation text"/>
    <w:basedOn w:val="Normal"/>
    <w:link w:val="CommentTextChar"/>
    <w:uiPriority w:val="99"/>
    <w:semiHidden/>
    <w:unhideWhenUsed/>
    <w:rsid w:val="004138F8"/>
    <w:rPr>
      <w:sz w:val="20"/>
    </w:rPr>
  </w:style>
  <w:style w:type="character" w:customStyle="1" w:styleId="CommentTextChar">
    <w:name w:val="Comment Text Char"/>
    <w:link w:val="CommentText"/>
    <w:uiPriority w:val="99"/>
    <w:semiHidden/>
    <w:rsid w:val="004138F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138F8"/>
    <w:rPr>
      <w:b/>
      <w:bCs/>
    </w:rPr>
  </w:style>
  <w:style w:type="character" w:customStyle="1" w:styleId="CommentSubjectChar">
    <w:name w:val="Comment Subject Char"/>
    <w:link w:val="CommentSubject"/>
    <w:uiPriority w:val="99"/>
    <w:semiHidden/>
    <w:rsid w:val="004138F8"/>
    <w:rPr>
      <w:rFonts w:ascii="Times New Roman" w:eastAsia="Times New Roman" w:hAnsi="Times New Roman" w:cs="Times New Roman"/>
      <w:b/>
      <w:bCs/>
      <w:sz w:val="20"/>
      <w:szCs w:val="20"/>
    </w:rPr>
  </w:style>
  <w:style w:type="paragraph" w:styleId="BodyText">
    <w:name w:val="Body Text"/>
    <w:basedOn w:val="Normal"/>
    <w:link w:val="BodyTextChar"/>
    <w:uiPriority w:val="99"/>
    <w:rsid w:val="00543EA2"/>
    <w:pPr>
      <w:spacing w:line="480" w:lineRule="auto"/>
      <w:ind w:firstLine="720"/>
    </w:pPr>
    <w:rPr>
      <w:szCs w:val="24"/>
    </w:rPr>
  </w:style>
  <w:style w:type="character" w:customStyle="1" w:styleId="BodyTextChar">
    <w:name w:val="Body Text Char"/>
    <w:link w:val="BodyText"/>
    <w:uiPriority w:val="99"/>
    <w:rsid w:val="00543EA2"/>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A20985"/>
    <w:pPr>
      <w:spacing w:after="120" w:line="480" w:lineRule="auto"/>
      <w:ind w:left="360"/>
    </w:pPr>
  </w:style>
  <w:style w:type="character" w:customStyle="1" w:styleId="BodyTextIndent2Char">
    <w:name w:val="Body Text Indent 2 Char"/>
    <w:link w:val="BodyTextIndent2"/>
    <w:uiPriority w:val="99"/>
    <w:semiHidden/>
    <w:rsid w:val="00A20985"/>
    <w:rPr>
      <w:rFonts w:ascii="Times New Roman" w:eastAsia="Times New Roman" w:hAnsi="Times New Roman" w:cs="Times New Roman"/>
      <w:sz w:val="24"/>
      <w:szCs w:val="20"/>
    </w:rPr>
  </w:style>
  <w:style w:type="paragraph" w:styleId="BodyTextIndent3">
    <w:name w:val="Body Text Indent 3"/>
    <w:basedOn w:val="Normal"/>
    <w:link w:val="BodyTextIndent3Char"/>
    <w:uiPriority w:val="99"/>
    <w:unhideWhenUsed/>
    <w:rsid w:val="00A20985"/>
    <w:pPr>
      <w:spacing w:after="120"/>
      <w:ind w:left="360"/>
    </w:pPr>
    <w:rPr>
      <w:sz w:val="16"/>
      <w:szCs w:val="16"/>
    </w:rPr>
  </w:style>
  <w:style w:type="character" w:customStyle="1" w:styleId="BodyTextIndent3Char">
    <w:name w:val="Body Text Indent 3 Char"/>
    <w:link w:val="BodyTextIndent3"/>
    <w:uiPriority w:val="99"/>
    <w:rsid w:val="00A20985"/>
    <w:rPr>
      <w:rFonts w:ascii="Times New Roman" w:eastAsia="Times New Roman" w:hAnsi="Times New Roman" w:cs="Times New Roman"/>
      <w:sz w:val="16"/>
      <w:szCs w:val="16"/>
    </w:rPr>
  </w:style>
  <w:style w:type="paragraph" w:styleId="Title">
    <w:name w:val="Title"/>
    <w:basedOn w:val="Normal"/>
    <w:link w:val="TitleChar"/>
    <w:qFormat/>
    <w:rsid w:val="00A20985"/>
    <w:pPr>
      <w:spacing w:after="240"/>
      <w:jc w:val="center"/>
      <w:outlineLvl w:val="0"/>
    </w:pPr>
    <w:rPr>
      <w:rFonts w:ascii="Times New Roman Bold" w:hAnsi="Times New Roman Bold"/>
      <w:b/>
      <w:bCs/>
      <w:kern w:val="28"/>
      <w:szCs w:val="24"/>
    </w:rPr>
  </w:style>
  <w:style w:type="character" w:customStyle="1" w:styleId="TitleChar">
    <w:name w:val="Title Char"/>
    <w:link w:val="Title"/>
    <w:rsid w:val="00A20985"/>
    <w:rPr>
      <w:rFonts w:ascii="Times New Roman Bold" w:eastAsia="Times New Roman" w:hAnsi="Times New Roman Bold" w:cs="Times New Roman"/>
      <w:b/>
      <w:bCs/>
      <w:kern w:val="28"/>
      <w:sz w:val="24"/>
      <w:szCs w:val="24"/>
    </w:rPr>
  </w:style>
  <w:style w:type="character" w:styleId="PageNumber">
    <w:name w:val="page number"/>
    <w:basedOn w:val="DefaultParagraphFont"/>
    <w:uiPriority w:val="99"/>
    <w:rsid w:val="00A20985"/>
  </w:style>
  <w:style w:type="character" w:customStyle="1" w:styleId="apple-converted-space">
    <w:name w:val="apple-converted-space"/>
    <w:basedOn w:val="DefaultParagraphFont"/>
    <w:rsid w:val="00CE77FE"/>
  </w:style>
  <w:style w:type="paragraph" w:styleId="NormalWeb">
    <w:name w:val="Normal (Web)"/>
    <w:basedOn w:val="Normal"/>
    <w:uiPriority w:val="99"/>
    <w:unhideWhenUsed/>
    <w:rsid w:val="00B02CB1"/>
    <w:pPr>
      <w:spacing w:before="100" w:beforeAutospacing="1" w:after="100" w:afterAutospacing="1"/>
    </w:pPr>
    <w:rPr>
      <w:szCs w:val="24"/>
    </w:rPr>
  </w:style>
  <w:style w:type="paragraph" w:styleId="HTMLPreformatted">
    <w:name w:val="HTML Preformatted"/>
    <w:basedOn w:val="Normal"/>
    <w:link w:val="HTMLPreformattedChar"/>
    <w:uiPriority w:val="99"/>
    <w:semiHidden/>
    <w:unhideWhenUsed/>
    <w:rsid w:val="00B02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semiHidden/>
    <w:rsid w:val="00B02CB1"/>
    <w:rPr>
      <w:rFonts w:ascii="Courier New" w:eastAsia="Times New Roman" w:hAnsi="Courier New" w:cs="Courier New"/>
      <w:sz w:val="20"/>
      <w:szCs w:val="20"/>
    </w:rPr>
  </w:style>
  <w:style w:type="character" w:styleId="LineNumber">
    <w:name w:val="line number"/>
    <w:basedOn w:val="DefaultParagraphFont"/>
    <w:uiPriority w:val="99"/>
    <w:semiHidden/>
    <w:unhideWhenUsed/>
    <w:rsid w:val="00C95C9D"/>
  </w:style>
  <w:style w:type="paragraph" w:customStyle="1" w:styleId="BlockNarrow">
    <w:name w:val="Block Narrow"/>
    <w:aliases w:val="BN"/>
    <w:basedOn w:val="Normal"/>
    <w:next w:val="Normal"/>
    <w:rsid w:val="00080FFF"/>
    <w:pPr>
      <w:suppressAutoHyphens/>
      <w:spacing w:after="240"/>
      <w:ind w:left="2160" w:right="2160"/>
      <w:outlineLvl w:val="2"/>
    </w:pPr>
  </w:style>
  <w:style w:type="paragraph" w:customStyle="1" w:styleId="SingleSpaceHanging1">
    <w:name w:val="Single Space Hanging 1&quot;"/>
    <w:aliases w:val="SSH1"/>
    <w:basedOn w:val="Normal"/>
    <w:rsid w:val="00080FFF"/>
    <w:pPr>
      <w:suppressAutoHyphens/>
      <w:spacing w:after="240"/>
      <w:ind w:left="2160" w:hanging="720"/>
    </w:pPr>
  </w:style>
  <w:style w:type="character" w:styleId="FollowedHyperlink">
    <w:name w:val="FollowedHyperlink"/>
    <w:uiPriority w:val="99"/>
    <w:semiHidden/>
    <w:unhideWhenUsed/>
    <w:rsid w:val="00814BE1"/>
    <w:rPr>
      <w:color w:val="954F72"/>
      <w:u w:val="single"/>
    </w:rPr>
  </w:style>
  <w:style w:type="paragraph" w:customStyle="1" w:styleId="Body">
    <w:name w:val="Body"/>
    <w:rsid w:val="00C26C84"/>
    <w:pPr>
      <w:pBdr>
        <w:top w:val="nil"/>
        <w:left w:val="nil"/>
        <w:bottom w:val="nil"/>
        <w:right w:val="nil"/>
        <w:between w:val="nil"/>
        <w:bar w:val="nil"/>
      </w:pBdr>
      <w:spacing w:after="200" w:line="276" w:lineRule="auto"/>
    </w:pPr>
    <w:rPr>
      <w:rFonts w:cs="Calibri"/>
      <w:color w:val="000000"/>
      <w:sz w:val="22"/>
      <w:szCs w:val="22"/>
      <w:u w:color="000000"/>
      <w:bdr w:val="nil"/>
    </w:rPr>
  </w:style>
  <w:style w:type="character" w:styleId="Emphasis">
    <w:name w:val="Emphasis"/>
    <w:uiPriority w:val="20"/>
    <w:qFormat/>
    <w:rsid w:val="00AA4421"/>
    <w:rPr>
      <w:i/>
      <w:iCs/>
    </w:rPr>
  </w:style>
  <w:style w:type="paragraph" w:styleId="Subtitle">
    <w:name w:val="Subtitle"/>
    <w:basedOn w:val="Normal"/>
    <w:next w:val="Normal"/>
    <w:link w:val="SubtitleChar"/>
    <w:uiPriority w:val="11"/>
    <w:qFormat/>
    <w:rsid w:val="009C202E"/>
    <w:pPr>
      <w:numPr>
        <w:ilvl w:val="1"/>
      </w:numPr>
      <w:spacing w:after="160" w:line="276" w:lineRule="auto"/>
      <w:jc w:val="left"/>
    </w:pPr>
    <w:rPr>
      <w:rFonts w:ascii="Calibri" w:hAnsi="Calibri"/>
      <w:color w:val="5A5A5A"/>
      <w:spacing w:val="15"/>
      <w:sz w:val="22"/>
      <w:szCs w:val="22"/>
    </w:rPr>
  </w:style>
  <w:style w:type="character" w:customStyle="1" w:styleId="SubtitleChar">
    <w:name w:val="Subtitle Char"/>
    <w:link w:val="Subtitle"/>
    <w:uiPriority w:val="11"/>
    <w:rsid w:val="009C202E"/>
    <w:rPr>
      <w:rFonts w:eastAsia="Times New Roman"/>
      <w:color w:val="5A5A5A"/>
      <w:spacing w:val="15"/>
      <w:sz w:val="22"/>
      <w:szCs w:val="22"/>
    </w:rPr>
  </w:style>
  <w:style w:type="paragraph" w:styleId="Revision">
    <w:name w:val="Revision"/>
    <w:hidden/>
    <w:uiPriority w:val="99"/>
    <w:semiHidden/>
    <w:rsid w:val="00BA284F"/>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77729">
      <w:bodyDiv w:val="1"/>
      <w:marLeft w:val="0"/>
      <w:marRight w:val="0"/>
      <w:marTop w:val="0"/>
      <w:marBottom w:val="0"/>
      <w:divBdr>
        <w:top w:val="none" w:sz="0" w:space="0" w:color="auto"/>
        <w:left w:val="none" w:sz="0" w:space="0" w:color="auto"/>
        <w:bottom w:val="none" w:sz="0" w:space="0" w:color="auto"/>
        <w:right w:val="none" w:sz="0" w:space="0" w:color="auto"/>
      </w:divBdr>
    </w:div>
    <w:div w:id="104928904">
      <w:bodyDiv w:val="1"/>
      <w:marLeft w:val="0"/>
      <w:marRight w:val="0"/>
      <w:marTop w:val="0"/>
      <w:marBottom w:val="0"/>
      <w:divBdr>
        <w:top w:val="none" w:sz="0" w:space="0" w:color="auto"/>
        <w:left w:val="none" w:sz="0" w:space="0" w:color="auto"/>
        <w:bottom w:val="none" w:sz="0" w:space="0" w:color="auto"/>
        <w:right w:val="none" w:sz="0" w:space="0" w:color="auto"/>
      </w:divBdr>
    </w:div>
    <w:div w:id="120340815">
      <w:bodyDiv w:val="1"/>
      <w:marLeft w:val="0"/>
      <w:marRight w:val="0"/>
      <w:marTop w:val="0"/>
      <w:marBottom w:val="0"/>
      <w:divBdr>
        <w:top w:val="none" w:sz="0" w:space="0" w:color="auto"/>
        <w:left w:val="none" w:sz="0" w:space="0" w:color="auto"/>
        <w:bottom w:val="none" w:sz="0" w:space="0" w:color="auto"/>
        <w:right w:val="none" w:sz="0" w:space="0" w:color="auto"/>
      </w:divBdr>
    </w:div>
    <w:div w:id="128983861">
      <w:bodyDiv w:val="1"/>
      <w:marLeft w:val="0"/>
      <w:marRight w:val="0"/>
      <w:marTop w:val="0"/>
      <w:marBottom w:val="0"/>
      <w:divBdr>
        <w:top w:val="none" w:sz="0" w:space="0" w:color="auto"/>
        <w:left w:val="none" w:sz="0" w:space="0" w:color="auto"/>
        <w:bottom w:val="none" w:sz="0" w:space="0" w:color="auto"/>
        <w:right w:val="none" w:sz="0" w:space="0" w:color="auto"/>
      </w:divBdr>
    </w:div>
    <w:div w:id="137773080">
      <w:bodyDiv w:val="1"/>
      <w:marLeft w:val="0"/>
      <w:marRight w:val="0"/>
      <w:marTop w:val="0"/>
      <w:marBottom w:val="0"/>
      <w:divBdr>
        <w:top w:val="none" w:sz="0" w:space="0" w:color="auto"/>
        <w:left w:val="none" w:sz="0" w:space="0" w:color="auto"/>
        <w:bottom w:val="none" w:sz="0" w:space="0" w:color="auto"/>
        <w:right w:val="none" w:sz="0" w:space="0" w:color="auto"/>
      </w:divBdr>
    </w:div>
    <w:div w:id="175772263">
      <w:bodyDiv w:val="1"/>
      <w:marLeft w:val="0"/>
      <w:marRight w:val="0"/>
      <w:marTop w:val="0"/>
      <w:marBottom w:val="0"/>
      <w:divBdr>
        <w:top w:val="none" w:sz="0" w:space="0" w:color="auto"/>
        <w:left w:val="none" w:sz="0" w:space="0" w:color="auto"/>
        <w:bottom w:val="none" w:sz="0" w:space="0" w:color="auto"/>
        <w:right w:val="none" w:sz="0" w:space="0" w:color="auto"/>
      </w:divBdr>
    </w:div>
    <w:div w:id="228538128">
      <w:bodyDiv w:val="1"/>
      <w:marLeft w:val="0"/>
      <w:marRight w:val="0"/>
      <w:marTop w:val="0"/>
      <w:marBottom w:val="0"/>
      <w:divBdr>
        <w:top w:val="none" w:sz="0" w:space="0" w:color="auto"/>
        <w:left w:val="none" w:sz="0" w:space="0" w:color="auto"/>
        <w:bottom w:val="none" w:sz="0" w:space="0" w:color="auto"/>
        <w:right w:val="none" w:sz="0" w:space="0" w:color="auto"/>
      </w:divBdr>
    </w:div>
    <w:div w:id="238028651">
      <w:bodyDiv w:val="1"/>
      <w:marLeft w:val="0"/>
      <w:marRight w:val="0"/>
      <w:marTop w:val="0"/>
      <w:marBottom w:val="0"/>
      <w:divBdr>
        <w:top w:val="none" w:sz="0" w:space="0" w:color="auto"/>
        <w:left w:val="none" w:sz="0" w:space="0" w:color="auto"/>
        <w:bottom w:val="none" w:sz="0" w:space="0" w:color="auto"/>
        <w:right w:val="none" w:sz="0" w:space="0" w:color="auto"/>
      </w:divBdr>
    </w:div>
    <w:div w:id="245459295">
      <w:bodyDiv w:val="1"/>
      <w:marLeft w:val="0"/>
      <w:marRight w:val="0"/>
      <w:marTop w:val="0"/>
      <w:marBottom w:val="0"/>
      <w:divBdr>
        <w:top w:val="none" w:sz="0" w:space="0" w:color="auto"/>
        <w:left w:val="none" w:sz="0" w:space="0" w:color="auto"/>
        <w:bottom w:val="none" w:sz="0" w:space="0" w:color="auto"/>
        <w:right w:val="none" w:sz="0" w:space="0" w:color="auto"/>
      </w:divBdr>
    </w:div>
    <w:div w:id="264190846">
      <w:bodyDiv w:val="1"/>
      <w:marLeft w:val="0"/>
      <w:marRight w:val="0"/>
      <w:marTop w:val="0"/>
      <w:marBottom w:val="0"/>
      <w:divBdr>
        <w:top w:val="none" w:sz="0" w:space="0" w:color="auto"/>
        <w:left w:val="none" w:sz="0" w:space="0" w:color="auto"/>
        <w:bottom w:val="none" w:sz="0" w:space="0" w:color="auto"/>
        <w:right w:val="none" w:sz="0" w:space="0" w:color="auto"/>
      </w:divBdr>
    </w:div>
    <w:div w:id="264770003">
      <w:bodyDiv w:val="1"/>
      <w:marLeft w:val="0"/>
      <w:marRight w:val="0"/>
      <w:marTop w:val="0"/>
      <w:marBottom w:val="0"/>
      <w:divBdr>
        <w:top w:val="none" w:sz="0" w:space="0" w:color="auto"/>
        <w:left w:val="none" w:sz="0" w:space="0" w:color="auto"/>
        <w:bottom w:val="none" w:sz="0" w:space="0" w:color="auto"/>
        <w:right w:val="none" w:sz="0" w:space="0" w:color="auto"/>
      </w:divBdr>
    </w:div>
    <w:div w:id="279773695">
      <w:bodyDiv w:val="1"/>
      <w:marLeft w:val="0"/>
      <w:marRight w:val="0"/>
      <w:marTop w:val="0"/>
      <w:marBottom w:val="0"/>
      <w:divBdr>
        <w:top w:val="none" w:sz="0" w:space="0" w:color="auto"/>
        <w:left w:val="none" w:sz="0" w:space="0" w:color="auto"/>
        <w:bottom w:val="none" w:sz="0" w:space="0" w:color="auto"/>
        <w:right w:val="none" w:sz="0" w:space="0" w:color="auto"/>
      </w:divBdr>
    </w:div>
    <w:div w:id="300698586">
      <w:bodyDiv w:val="1"/>
      <w:marLeft w:val="0"/>
      <w:marRight w:val="0"/>
      <w:marTop w:val="0"/>
      <w:marBottom w:val="0"/>
      <w:divBdr>
        <w:top w:val="none" w:sz="0" w:space="0" w:color="auto"/>
        <w:left w:val="none" w:sz="0" w:space="0" w:color="auto"/>
        <w:bottom w:val="none" w:sz="0" w:space="0" w:color="auto"/>
        <w:right w:val="none" w:sz="0" w:space="0" w:color="auto"/>
      </w:divBdr>
    </w:div>
    <w:div w:id="354774368">
      <w:bodyDiv w:val="1"/>
      <w:marLeft w:val="0"/>
      <w:marRight w:val="0"/>
      <w:marTop w:val="0"/>
      <w:marBottom w:val="0"/>
      <w:divBdr>
        <w:top w:val="none" w:sz="0" w:space="0" w:color="auto"/>
        <w:left w:val="none" w:sz="0" w:space="0" w:color="auto"/>
        <w:bottom w:val="none" w:sz="0" w:space="0" w:color="auto"/>
        <w:right w:val="none" w:sz="0" w:space="0" w:color="auto"/>
      </w:divBdr>
    </w:div>
    <w:div w:id="366684767">
      <w:bodyDiv w:val="1"/>
      <w:marLeft w:val="0"/>
      <w:marRight w:val="0"/>
      <w:marTop w:val="0"/>
      <w:marBottom w:val="0"/>
      <w:divBdr>
        <w:top w:val="none" w:sz="0" w:space="0" w:color="auto"/>
        <w:left w:val="none" w:sz="0" w:space="0" w:color="auto"/>
        <w:bottom w:val="none" w:sz="0" w:space="0" w:color="auto"/>
        <w:right w:val="none" w:sz="0" w:space="0" w:color="auto"/>
      </w:divBdr>
    </w:div>
    <w:div w:id="377554986">
      <w:bodyDiv w:val="1"/>
      <w:marLeft w:val="0"/>
      <w:marRight w:val="0"/>
      <w:marTop w:val="0"/>
      <w:marBottom w:val="0"/>
      <w:divBdr>
        <w:top w:val="none" w:sz="0" w:space="0" w:color="auto"/>
        <w:left w:val="none" w:sz="0" w:space="0" w:color="auto"/>
        <w:bottom w:val="none" w:sz="0" w:space="0" w:color="auto"/>
        <w:right w:val="none" w:sz="0" w:space="0" w:color="auto"/>
      </w:divBdr>
    </w:div>
    <w:div w:id="381714361">
      <w:bodyDiv w:val="1"/>
      <w:marLeft w:val="0"/>
      <w:marRight w:val="0"/>
      <w:marTop w:val="0"/>
      <w:marBottom w:val="0"/>
      <w:divBdr>
        <w:top w:val="none" w:sz="0" w:space="0" w:color="auto"/>
        <w:left w:val="none" w:sz="0" w:space="0" w:color="auto"/>
        <w:bottom w:val="none" w:sz="0" w:space="0" w:color="auto"/>
        <w:right w:val="none" w:sz="0" w:space="0" w:color="auto"/>
      </w:divBdr>
    </w:div>
    <w:div w:id="424228135">
      <w:bodyDiv w:val="1"/>
      <w:marLeft w:val="0"/>
      <w:marRight w:val="0"/>
      <w:marTop w:val="0"/>
      <w:marBottom w:val="0"/>
      <w:divBdr>
        <w:top w:val="none" w:sz="0" w:space="0" w:color="auto"/>
        <w:left w:val="none" w:sz="0" w:space="0" w:color="auto"/>
        <w:bottom w:val="none" w:sz="0" w:space="0" w:color="auto"/>
        <w:right w:val="none" w:sz="0" w:space="0" w:color="auto"/>
      </w:divBdr>
    </w:div>
    <w:div w:id="463430681">
      <w:bodyDiv w:val="1"/>
      <w:marLeft w:val="0"/>
      <w:marRight w:val="0"/>
      <w:marTop w:val="0"/>
      <w:marBottom w:val="0"/>
      <w:divBdr>
        <w:top w:val="none" w:sz="0" w:space="0" w:color="auto"/>
        <w:left w:val="none" w:sz="0" w:space="0" w:color="auto"/>
        <w:bottom w:val="none" w:sz="0" w:space="0" w:color="auto"/>
        <w:right w:val="none" w:sz="0" w:space="0" w:color="auto"/>
      </w:divBdr>
    </w:div>
    <w:div w:id="491410964">
      <w:bodyDiv w:val="1"/>
      <w:marLeft w:val="0"/>
      <w:marRight w:val="0"/>
      <w:marTop w:val="0"/>
      <w:marBottom w:val="0"/>
      <w:divBdr>
        <w:top w:val="none" w:sz="0" w:space="0" w:color="auto"/>
        <w:left w:val="none" w:sz="0" w:space="0" w:color="auto"/>
        <w:bottom w:val="none" w:sz="0" w:space="0" w:color="auto"/>
        <w:right w:val="none" w:sz="0" w:space="0" w:color="auto"/>
      </w:divBdr>
    </w:div>
    <w:div w:id="549997490">
      <w:bodyDiv w:val="1"/>
      <w:marLeft w:val="0"/>
      <w:marRight w:val="0"/>
      <w:marTop w:val="0"/>
      <w:marBottom w:val="0"/>
      <w:divBdr>
        <w:top w:val="none" w:sz="0" w:space="0" w:color="auto"/>
        <w:left w:val="none" w:sz="0" w:space="0" w:color="auto"/>
        <w:bottom w:val="none" w:sz="0" w:space="0" w:color="auto"/>
        <w:right w:val="none" w:sz="0" w:space="0" w:color="auto"/>
      </w:divBdr>
    </w:div>
    <w:div w:id="570887707">
      <w:bodyDiv w:val="1"/>
      <w:marLeft w:val="0"/>
      <w:marRight w:val="0"/>
      <w:marTop w:val="0"/>
      <w:marBottom w:val="0"/>
      <w:divBdr>
        <w:top w:val="none" w:sz="0" w:space="0" w:color="auto"/>
        <w:left w:val="none" w:sz="0" w:space="0" w:color="auto"/>
        <w:bottom w:val="none" w:sz="0" w:space="0" w:color="auto"/>
        <w:right w:val="none" w:sz="0" w:space="0" w:color="auto"/>
      </w:divBdr>
    </w:div>
    <w:div w:id="602029578">
      <w:bodyDiv w:val="1"/>
      <w:marLeft w:val="0"/>
      <w:marRight w:val="0"/>
      <w:marTop w:val="0"/>
      <w:marBottom w:val="0"/>
      <w:divBdr>
        <w:top w:val="none" w:sz="0" w:space="0" w:color="auto"/>
        <w:left w:val="none" w:sz="0" w:space="0" w:color="auto"/>
        <w:bottom w:val="none" w:sz="0" w:space="0" w:color="auto"/>
        <w:right w:val="none" w:sz="0" w:space="0" w:color="auto"/>
      </w:divBdr>
    </w:div>
    <w:div w:id="630018852">
      <w:bodyDiv w:val="1"/>
      <w:marLeft w:val="0"/>
      <w:marRight w:val="0"/>
      <w:marTop w:val="0"/>
      <w:marBottom w:val="0"/>
      <w:divBdr>
        <w:top w:val="none" w:sz="0" w:space="0" w:color="auto"/>
        <w:left w:val="none" w:sz="0" w:space="0" w:color="auto"/>
        <w:bottom w:val="none" w:sz="0" w:space="0" w:color="auto"/>
        <w:right w:val="none" w:sz="0" w:space="0" w:color="auto"/>
      </w:divBdr>
    </w:div>
    <w:div w:id="647247868">
      <w:bodyDiv w:val="1"/>
      <w:marLeft w:val="0"/>
      <w:marRight w:val="0"/>
      <w:marTop w:val="0"/>
      <w:marBottom w:val="0"/>
      <w:divBdr>
        <w:top w:val="none" w:sz="0" w:space="0" w:color="auto"/>
        <w:left w:val="none" w:sz="0" w:space="0" w:color="auto"/>
        <w:bottom w:val="none" w:sz="0" w:space="0" w:color="auto"/>
        <w:right w:val="none" w:sz="0" w:space="0" w:color="auto"/>
      </w:divBdr>
    </w:div>
    <w:div w:id="647903918">
      <w:bodyDiv w:val="1"/>
      <w:marLeft w:val="0"/>
      <w:marRight w:val="0"/>
      <w:marTop w:val="0"/>
      <w:marBottom w:val="0"/>
      <w:divBdr>
        <w:top w:val="none" w:sz="0" w:space="0" w:color="auto"/>
        <w:left w:val="none" w:sz="0" w:space="0" w:color="auto"/>
        <w:bottom w:val="none" w:sz="0" w:space="0" w:color="auto"/>
        <w:right w:val="none" w:sz="0" w:space="0" w:color="auto"/>
      </w:divBdr>
    </w:div>
    <w:div w:id="670138223">
      <w:bodyDiv w:val="1"/>
      <w:marLeft w:val="0"/>
      <w:marRight w:val="0"/>
      <w:marTop w:val="0"/>
      <w:marBottom w:val="0"/>
      <w:divBdr>
        <w:top w:val="none" w:sz="0" w:space="0" w:color="auto"/>
        <w:left w:val="none" w:sz="0" w:space="0" w:color="auto"/>
        <w:bottom w:val="none" w:sz="0" w:space="0" w:color="auto"/>
        <w:right w:val="none" w:sz="0" w:space="0" w:color="auto"/>
      </w:divBdr>
    </w:div>
    <w:div w:id="680742054">
      <w:bodyDiv w:val="1"/>
      <w:marLeft w:val="0"/>
      <w:marRight w:val="0"/>
      <w:marTop w:val="0"/>
      <w:marBottom w:val="0"/>
      <w:divBdr>
        <w:top w:val="none" w:sz="0" w:space="0" w:color="auto"/>
        <w:left w:val="none" w:sz="0" w:space="0" w:color="auto"/>
        <w:bottom w:val="none" w:sz="0" w:space="0" w:color="auto"/>
        <w:right w:val="none" w:sz="0" w:space="0" w:color="auto"/>
      </w:divBdr>
    </w:div>
    <w:div w:id="692920763">
      <w:bodyDiv w:val="1"/>
      <w:marLeft w:val="0"/>
      <w:marRight w:val="0"/>
      <w:marTop w:val="0"/>
      <w:marBottom w:val="0"/>
      <w:divBdr>
        <w:top w:val="none" w:sz="0" w:space="0" w:color="auto"/>
        <w:left w:val="none" w:sz="0" w:space="0" w:color="auto"/>
        <w:bottom w:val="none" w:sz="0" w:space="0" w:color="auto"/>
        <w:right w:val="none" w:sz="0" w:space="0" w:color="auto"/>
      </w:divBdr>
    </w:div>
    <w:div w:id="718742724">
      <w:bodyDiv w:val="1"/>
      <w:marLeft w:val="0"/>
      <w:marRight w:val="0"/>
      <w:marTop w:val="0"/>
      <w:marBottom w:val="0"/>
      <w:divBdr>
        <w:top w:val="none" w:sz="0" w:space="0" w:color="auto"/>
        <w:left w:val="none" w:sz="0" w:space="0" w:color="auto"/>
        <w:bottom w:val="none" w:sz="0" w:space="0" w:color="auto"/>
        <w:right w:val="none" w:sz="0" w:space="0" w:color="auto"/>
      </w:divBdr>
    </w:div>
    <w:div w:id="719137441">
      <w:bodyDiv w:val="1"/>
      <w:marLeft w:val="0"/>
      <w:marRight w:val="0"/>
      <w:marTop w:val="0"/>
      <w:marBottom w:val="0"/>
      <w:divBdr>
        <w:top w:val="none" w:sz="0" w:space="0" w:color="auto"/>
        <w:left w:val="none" w:sz="0" w:space="0" w:color="auto"/>
        <w:bottom w:val="none" w:sz="0" w:space="0" w:color="auto"/>
        <w:right w:val="none" w:sz="0" w:space="0" w:color="auto"/>
      </w:divBdr>
    </w:div>
    <w:div w:id="725761166">
      <w:bodyDiv w:val="1"/>
      <w:marLeft w:val="0"/>
      <w:marRight w:val="0"/>
      <w:marTop w:val="0"/>
      <w:marBottom w:val="0"/>
      <w:divBdr>
        <w:top w:val="none" w:sz="0" w:space="0" w:color="auto"/>
        <w:left w:val="none" w:sz="0" w:space="0" w:color="auto"/>
        <w:bottom w:val="none" w:sz="0" w:space="0" w:color="auto"/>
        <w:right w:val="none" w:sz="0" w:space="0" w:color="auto"/>
      </w:divBdr>
    </w:div>
    <w:div w:id="875116693">
      <w:bodyDiv w:val="1"/>
      <w:marLeft w:val="0"/>
      <w:marRight w:val="0"/>
      <w:marTop w:val="0"/>
      <w:marBottom w:val="0"/>
      <w:divBdr>
        <w:top w:val="none" w:sz="0" w:space="0" w:color="auto"/>
        <w:left w:val="none" w:sz="0" w:space="0" w:color="auto"/>
        <w:bottom w:val="none" w:sz="0" w:space="0" w:color="auto"/>
        <w:right w:val="none" w:sz="0" w:space="0" w:color="auto"/>
      </w:divBdr>
    </w:div>
    <w:div w:id="953706715">
      <w:bodyDiv w:val="1"/>
      <w:marLeft w:val="0"/>
      <w:marRight w:val="0"/>
      <w:marTop w:val="0"/>
      <w:marBottom w:val="0"/>
      <w:divBdr>
        <w:top w:val="none" w:sz="0" w:space="0" w:color="auto"/>
        <w:left w:val="none" w:sz="0" w:space="0" w:color="auto"/>
        <w:bottom w:val="none" w:sz="0" w:space="0" w:color="auto"/>
        <w:right w:val="none" w:sz="0" w:space="0" w:color="auto"/>
      </w:divBdr>
    </w:div>
    <w:div w:id="954141544">
      <w:bodyDiv w:val="1"/>
      <w:marLeft w:val="0"/>
      <w:marRight w:val="0"/>
      <w:marTop w:val="0"/>
      <w:marBottom w:val="0"/>
      <w:divBdr>
        <w:top w:val="none" w:sz="0" w:space="0" w:color="auto"/>
        <w:left w:val="none" w:sz="0" w:space="0" w:color="auto"/>
        <w:bottom w:val="none" w:sz="0" w:space="0" w:color="auto"/>
        <w:right w:val="none" w:sz="0" w:space="0" w:color="auto"/>
      </w:divBdr>
    </w:div>
    <w:div w:id="991954712">
      <w:bodyDiv w:val="1"/>
      <w:marLeft w:val="0"/>
      <w:marRight w:val="0"/>
      <w:marTop w:val="0"/>
      <w:marBottom w:val="0"/>
      <w:divBdr>
        <w:top w:val="none" w:sz="0" w:space="0" w:color="auto"/>
        <w:left w:val="none" w:sz="0" w:space="0" w:color="auto"/>
        <w:bottom w:val="none" w:sz="0" w:space="0" w:color="auto"/>
        <w:right w:val="none" w:sz="0" w:space="0" w:color="auto"/>
      </w:divBdr>
    </w:div>
    <w:div w:id="1015307187">
      <w:bodyDiv w:val="1"/>
      <w:marLeft w:val="0"/>
      <w:marRight w:val="0"/>
      <w:marTop w:val="0"/>
      <w:marBottom w:val="0"/>
      <w:divBdr>
        <w:top w:val="none" w:sz="0" w:space="0" w:color="auto"/>
        <w:left w:val="none" w:sz="0" w:space="0" w:color="auto"/>
        <w:bottom w:val="none" w:sz="0" w:space="0" w:color="auto"/>
        <w:right w:val="none" w:sz="0" w:space="0" w:color="auto"/>
      </w:divBdr>
    </w:div>
    <w:div w:id="1075859411">
      <w:bodyDiv w:val="1"/>
      <w:marLeft w:val="0"/>
      <w:marRight w:val="0"/>
      <w:marTop w:val="0"/>
      <w:marBottom w:val="0"/>
      <w:divBdr>
        <w:top w:val="none" w:sz="0" w:space="0" w:color="auto"/>
        <w:left w:val="none" w:sz="0" w:space="0" w:color="auto"/>
        <w:bottom w:val="none" w:sz="0" w:space="0" w:color="auto"/>
        <w:right w:val="none" w:sz="0" w:space="0" w:color="auto"/>
      </w:divBdr>
    </w:div>
    <w:div w:id="1098062432">
      <w:bodyDiv w:val="1"/>
      <w:marLeft w:val="0"/>
      <w:marRight w:val="0"/>
      <w:marTop w:val="0"/>
      <w:marBottom w:val="0"/>
      <w:divBdr>
        <w:top w:val="none" w:sz="0" w:space="0" w:color="auto"/>
        <w:left w:val="none" w:sz="0" w:space="0" w:color="auto"/>
        <w:bottom w:val="none" w:sz="0" w:space="0" w:color="auto"/>
        <w:right w:val="none" w:sz="0" w:space="0" w:color="auto"/>
      </w:divBdr>
    </w:div>
    <w:div w:id="1160926005">
      <w:bodyDiv w:val="1"/>
      <w:marLeft w:val="0"/>
      <w:marRight w:val="0"/>
      <w:marTop w:val="0"/>
      <w:marBottom w:val="0"/>
      <w:divBdr>
        <w:top w:val="none" w:sz="0" w:space="0" w:color="auto"/>
        <w:left w:val="none" w:sz="0" w:space="0" w:color="auto"/>
        <w:bottom w:val="none" w:sz="0" w:space="0" w:color="auto"/>
        <w:right w:val="none" w:sz="0" w:space="0" w:color="auto"/>
      </w:divBdr>
    </w:div>
    <w:div w:id="1197499934">
      <w:bodyDiv w:val="1"/>
      <w:marLeft w:val="0"/>
      <w:marRight w:val="0"/>
      <w:marTop w:val="0"/>
      <w:marBottom w:val="0"/>
      <w:divBdr>
        <w:top w:val="none" w:sz="0" w:space="0" w:color="auto"/>
        <w:left w:val="none" w:sz="0" w:space="0" w:color="auto"/>
        <w:bottom w:val="none" w:sz="0" w:space="0" w:color="auto"/>
        <w:right w:val="none" w:sz="0" w:space="0" w:color="auto"/>
      </w:divBdr>
    </w:div>
    <w:div w:id="1241020969">
      <w:bodyDiv w:val="1"/>
      <w:marLeft w:val="0"/>
      <w:marRight w:val="0"/>
      <w:marTop w:val="0"/>
      <w:marBottom w:val="0"/>
      <w:divBdr>
        <w:top w:val="none" w:sz="0" w:space="0" w:color="auto"/>
        <w:left w:val="none" w:sz="0" w:space="0" w:color="auto"/>
        <w:bottom w:val="none" w:sz="0" w:space="0" w:color="auto"/>
        <w:right w:val="none" w:sz="0" w:space="0" w:color="auto"/>
      </w:divBdr>
    </w:div>
    <w:div w:id="1272783471">
      <w:bodyDiv w:val="1"/>
      <w:marLeft w:val="0"/>
      <w:marRight w:val="0"/>
      <w:marTop w:val="0"/>
      <w:marBottom w:val="0"/>
      <w:divBdr>
        <w:top w:val="none" w:sz="0" w:space="0" w:color="auto"/>
        <w:left w:val="none" w:sz="0" w:space="0" w:color="auto"/>
        <w:bottom w:val="none" w:sz="0" w:space="0" w:color="auto"/>
        <w:right w:val="none" w:sz="0" w:space="0" w:color="auto"/>
      </w:divBdr>
    </w:div>
    <w:div w:id="1302807584">
      <w:bodyDiv w:val="1"/>
      <w:marLeft w:val="0"/>
      <w:marRight w:val="0"/>
      <w:marTop w:val="0"/>
      <w:marBottom w:val="0"/>
      <w:divBdr>
        <w:top w:val="none" w:sz="0" w:space="0" w:color="auto"/>
        <w:left w:val="none" w:sz="0" w:space="0" w:color="auto"/>
        <w:bottom w:val="none" w:sz="0" w:space="0" w:color="auto"/>
        <w:right w:val="none" w:sz="0" w:space="0" w:color="auto"/>
      </w:divBdr>
      <w:divsChild>
        <w:div w:id="979576105">
          <w:marLeft w:val="0"/>
          <w:marRight w:val="0"/>
          <w:marTop w:val="0"/>
          <w:marBottom w:val="0"/>
          <w:divBdr>
            <w:top w:val="none" w:sz="0" w:space="0" w:color="auto"/>
            <w:left w:val="none" w:sz="0" w:space="0" w:color="auto"/>
            <w:bottom w:val="none" w:sz="0" w:space="0" w:color="auto"/>
            <w:right w:val="none" w:sz="0" w:space="0" w:color="auto"/>
          </w:divBdr>
          <w:divsChild>
            <w:div w:id="1196960706">
              <w:marLeft w:val="0"/>
              <w:marRight w:val="0"/>
              <w:marTop w:val="0"/>
              <w:marBottom w:val="0"/>
              <w:divBdr>
                <w:top w:val="none" w:sz="0" w:space="0" w:color="C0C0C0"/>
                <w:left w:val="none" w:sz="0" w:space="0" w:color="C0C0C0"/>
                <w:bottom w:val="none" w:sz="0" w:space="0" w:color="C0C0C0"/>
                <w:right w:val="none" w:sz="0" w:space="0" w:color="C0C0C0"/>
              </w:divBdr>
              <w:divsChild>
                <w:div w:id="347298117">
                  <w:marLeft w:val="0"/>
                  <w:marRight w:val="0"/>
                  <w:marTop w:val="0"/>
                  <w:marBottom w:val="0"/>
                  <w:divBdr>
                    <w:top w:val="none" w:sz="0" w:space="0" w:color="auto"/>
                    <w:left w:val="none" w:sz="0" w:space="0" w:color="auto"/>
                    <w:bottom w:val="none" w:sz="0" w:space="0" w:color="auto"/>
                    <w:right w:val="none" w:sz="0" w:space="0" w:color="auto"/>
                  </w:divBdr>
                  <w:divsChild>
                    <w:div w:id="949312435">
                      <w:marLeft w:val="0"/>
                      <w:marRight w:val="0"/>
                      <w:marTop w:val="0"/>
                      <w:marBottom w:val="0"/>
                      <w:divBdr>
                        <w:top w:val="none" w:sz="0" w:space="0" w:color="auto"/>
                        <w:left w:val="none" w:sz="0" w:space="0" w:color="auto"/>
                        <w:bottom w:val="none" w:sz="0" w:space="0" w:color="auto"/>
                        <w:right w:val="none" w:sz="0" w:space="0" w:color="auto"/>
                      </w:divBdr>
                      <w:divsChild>
                        <w:div w:id="1438528724">
                          <w:marLeft w:val="150"/>
                          <w:marRight w:val="150"/>
                          <w:marTop w:val="150"/>
                          <w:marBottom w:val="150"/>
                          <w:divBdr>
                            <w:top w:val="none" w:sz="0" w:space="0" w:color="auto"/>
                            <w:left w:val="none" w:sz="0" w:space="0" w:color="auto"/>
                            <w:bottom w:val="none" w:sz="0" w:space="0" w:color="auto"/>
                            <w:right w:val="none" w:sz="0" w:space="0" w:color="auto"/>
                          </w:divBdr>
                          <w:divsChild>
                            <w:div w:id="1386566320">
                              <w:marLeft w:val="0"/>
                              <w:marRight w:val="0"/>
                              <w:marTop w:val="0"/>
                              <w:marBottom w:val="0"/>
                              <w:divBdr>
                                <w:top w:val="none" w:sz="0" w:space="0" w:color="auto"/>
                                <w:left w:val="none" w:sz="0" w:space="0" w:color="auto"/>
                                <w:bottom w:val="none" w:sz="0" w:space="0" w:color="auto"/>
                                <w:right w:val="none" w:sz="0" w:space="0" w:color="auto"/>
                              </w:divBdr>
                              <w:divsChild>
                                <w:div w:id="187256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8785736">
      <w:bodyDiv w:val="1"/>
      <w:marLeft w:val="0"/>
      <w:marRight w:val="0"/>
      <w:marTop w:val="0"/>
      <w:marBottom w:val="0"/>
      <w:divBdr>
        <w:top w:val="none" w:sz="0" w:space="0" w:color="auto"/>
        <w:left w:val="none" w:sz="0" w:space="0" w:color="auto"/>
        <w:bottom w:val="none" w:sz="0" w:space="0" w:color="auto"/>
        <w:right w:val="none" w:sz="0" w:space="0" w:color="auto"/>
      </w:divBdr>
    </w:div>
    <w:div w:id="1530802670">
      <w:bodyDiv w:val="1"/>
      <w:marLeft w:val="0"/>
      <w:marRight w:val="0"/>
      <w:marTop w:val="0"/>
      <w:marBottom w:val="0"/>
      <w:divBdr>
        <w:top w:val="none" w:sz="0" w:space="0" w:color="auto"/>
        <w:left w:val="none" w:sz="0" w:space="0" w:color="auto"/>
        <w:bottom w:val="none" w:sz="0" w:space="0" w:color="auto"/>
        <w:right w:val="none" w:sz="0" w:space="0" w:color="auto"/>
      </w:divBdr>
    </w:div>
    <w:div w:id="1644039317">
      <w:bodyDiv w:val="1"/>
      <w:marLeft w:val="0"/>
      <w:marRight w:val="0"/>
      <w:marTop w:val="0"/>
      <w:marBottom w:val="0"/>
      <w:divBdr>
        <w:top w:val="none" w:sz="0" w:space="0" w:color="auto"/>
        <w:left w:val="none" w:sz="0" w:space="0" w:color="auto"/>
        <w:bottom w:val="none" w:sz="0" w:space="0" w:color="auto"/>
        <w:right w:val="none" w:sz="0" w:space="0" w:color="auto"/>
      </w:divBdr>
    </w:div>
    <w:div w:id="1692729699">
      <w:bodyDiv w:val="1"/>
      <w:marLeft w:val="0"/>
      <w:marRight w:val="0"/>
      <w:marTop w:val="0"/>
      <w:marBottom w:val="0"/>
      <w:divBdr>
        <w:top w:val="none" w:sz="0" w:space="0" w:color="auto"/>
        <w:left w:val="none" w:sz="0" w:space="0" w:color="auto"/>
        <w:bottom w:val="none" w:sz="0" w:space="0" w:color="auto"/>
        <w:right w:val="none" w:sz="0" w:space="0" w:color="auto"/>
      </w:divBdr>
    </w:div>
    <w:div w:id="1731883388">
      <w:bodyDiv w:val="1"/>
      <w:marLeft w:val="0"/>
      <w:marRight w:val="0"/>
      <w:marTop w:val="0"/>
      <w:marBottom w:val="0"/>
      <w:divBdr>
        <w:top w:val="none" w:sz="0" w:space="0" w:color="auto"/>
        <w:left w:val="none" w:sz="0" w:space="0" w:color="auto"/>
        <w:bottom w:val="none" w:sz="0" w:space="0" w:color="auto"/>
        <w:right w:val="none" w:sz="0" w:space="0" w:color="auto"/>
      </w:divBdr>
    </w:div>
    <w:div w:id="1736975354">
      <w:bodyDiv w:val="1"/>
      <w:marLeft w:val="0"/>
      <w:marRight w:val="0"/>
      <w:marTop w:val="0"/>
      <w:marBottom w:val="0"/>
      <w:divBdr>
        <w:top w:val="none" w:sz="0" w:space="0" w:color="auto"/>
        <w:left w:val="none" w:sz="0" w:space="0" w:color="auto"/>
        <w:bottom w:val="none" w:sz="0" w:space="0" w:color="auto"/>
        <w:right w:val="none" w:sz="0" w:space="0" w:color="auto"/>
      </w:divBdr>
    </w:div>
    <w:div w:id="1787115800">
      <w:bodyDiv w:val="1"/>
      <w:marLeft w:val="0"/>
      <w:marRight w:val="0"/>
      <w:marTop w:val="0"/>
      <w:marBottom w:val="0"/>
      <w:divBdr>
        <w:top w:val="none" w:sz="0" w:space="0" w:color="auto"/>
        <w:left w:val="none" w:sz="0" w:space="0" w:color="auto"/>
        <w:bottom w:val="none" w:sz="0" w:space="0" w:color="auto"/>
        <w:right w:val="none" w:sz="0" w:space="0" w:color="auto"/>
      </w:divBdr>
    </w:div>
    <w:div w:id="1790926060">
      <w:bodyDiv w:val="1"/>
      <w:marLeft w:val="0"/>
      <w:marRight w:val="0"/>
      <w:marTop w:val="0"/>
      <w:marBottom w:val="0"/>
      <w:divBdr>
        <w:top w:val="none" w:sz="0" w:space="0" w:color="auto"/>
        <w:left w:val="none" w:sz="0" w:space="0" w:color="auto"/>
        <w:bottom w:val="none" w:sz="0" w:space="0" w:color="auto"/>
        <w:right w:val="none" w:sz="0" w:space="0" w:color="auto"/>
      </w:divBdr>
    </w:div>
    <w:div w:id="1842698383">
      <w:bodyDiv w:val="1"/>
      <w:marLeft w:val="0"/>
      <w:marRight w:val="0"/>
      <w:marTop w:val="0"/>
      <w:marBottom w:val="0"/>
      <w:divBdr>
        <w:top w:val="none" w:sz="0" w:space="0" w:color="auto"/>
        <w:left w:val="none" w:sz="0" w:space="0" w:color="auto"/>
        <w:bottom w:val="none" w:sz="0" w:space="0" w:color="auto"/>
        <w:right w:val="none" w:sz="0" w:space="0" w:color="auto"/>
      </w:divBdr>
    </w:div>
    <w:div w:id="1965962687">
      <w:bodyDiv w:val="1"/>
      <w:marLeft w:val="0"/>
      <w:marRight w:val="0"/>
      <w:marTop w:val="0"/>
      <w:marBottom w:val="0"/>
      <w:divBdr>
        <w:top w:val="none" w:sz="0" w:space="0" w:color="auto"/>
        <w:left w:val="none" w:sz="0" w:space="0" w:color="auto"/>
        <w:bottom w:val="none" w:sz="0" w:space="0" w:color="auto"/>
        <w:right w:val="none" w:sz="0" w:space="0" w:color="auto"/>
      </w:divBdr>
    </w:div>
    <w:div w:id="1966883110">
      <w:bodyDiv w:val="1"/>
      <w:marLeft w:val="0"/>
      <w:marRight w:val="0"/>
      <w:marTop w:val="0"/>
      <w:marBottom w:val="0"/>
      <w:divBdr>
        <w:top w:val="none" w:sz="0" w:space="0" w:color="auto"/>
        <w:left w:val="none" w:sz="0" w:space="0" w:color="auto"/>
        <w:bottom w:val="none" w:sz="0" w:space="0" w:color="auto"/>
        <w:right w:val="none" w:sz="0" w:space="0" w:color="auto"/>
      </w:divBdr>
    </w:div>
    <w:div w:id="1985306061">
      <w:bodyDiv w:val="1"/>
      <w:marLeft w:val="0"/>
      <w:marRight w:val="0"/>
      <w:marTop w:val="0"/>
      <w:marBottom w:val="0"/>
      <w:divBdr>
        <w:top w:val="none" w:sz="0" w:space="0" w:color="auto"/>
        <w:left w:val="none" w:sz="0" w:space="0" w:color="auto"/>
        <w:bottom w:val="none" w:sz="0" w:space="0" w:color="auto"/>
        <w:right w:val="none" w:sz="0" w:space="0" w:color="auto"/>
      </w:divBdr>
    </w:div>
    <w:div w:id="2004238655">
      <w:bodyDiv w:val="1"/>
      <w:marLeft w:val="0"/>
      <w:marRight w:val="0"/>
      <w:marTop w:val="0"/>
      <w:marBottom w:val="0"/>
      <w:divBdr>
        <w:top w:val="none" w:sz="0" w:space="0" w:color="auto"/>
        <w:left w:val="none" w:sz="0" w:space="0" w:color="auto"/>
        <w:bottom w:val="none" w:sz="0" w:space="0" w:color="auto"/>
        <w:right w:val="none" w:sz="0" w:space="0" w:color="auto"/>
      </w:divBdr>
    </w:div>
    <w:div w:id="2021546299">
      <w:bodyDiv w:val="1"/>
      <w:marLeft w:val="0"/>
      <w:marRight w:val="0"/>
      <w:marTop w:val="0"/>
      <w:marBottom w:val="0"/>
      <w:divBdr>
        <w:top w:val="none" w:sz="0" w:space="0" w:color="auto"/>
        <w:left w:val="none" w:sz="0" w:space="0" w:color="auto"/>
        <w:bottom w:val="none" w:sz="0" w:space="0" w:color="auto"/>
        <w:right w:val="none" w:sz="0" w:space="0" w:color="auto"/>
      </w:divBdr>
    </w:div>
    <w:div w:id="2039230535">
      <w:bodyDiv w:val="1"/>
      <w:marLeft w:val="0"/>
      <w:marRight w:val="0"/>
      <w:marTop w:val="0"/>
      <w:marBottom w:val="0"/>
      <w:divBdr>
        <w:top w:val="none" w:sz="0" w:space="0" w:color="auto"/>
        <w:left w:val="none" w:sz="0" w:space="0" w:color="auto"/>
        <w:bottom w:val="none" w:sz="0" w:space="0" w:color="auto"/>
        <w:right w:val="none" w:sz="0" w:space="0" w:color="auto"/>
      </w:divBdr>
    </w:div>
    <w:div w:id="2063283329">
      <w:bodyDiv w:val="1"/>
      <w:marLeft w:val="0"/>
      <w:marRight w:val="0"/>
      <w:marTop w:val="0"/>
      <w:marBottom w:val="0"/>
      <w:divBdr>
        <w:top w:val="none" w:sz="0" w:space="0" w:color="auto"/>
        <w:left w:val="none" w:sz="0" w:space="0" w:color="auto"/>
        <w:bottom w:val="none" w:sz="0" w:space="0" w:color="auto"/>
        <w:right w:val="none" w:sz="0" w:space="0" w:color="auto"/>
      </w:divBdr>
    </w:div>
    <w:div w:id="2107725906">
      <w:bodyDiv w:val="1"/>
      <w:marLeft w:val="0"/>
      <w:marRight w:val="0"/>
      <w:marTop w:val="0"/>
      <w:marBottom w:val="0"/>
      <w:divBdr>
        <w:top w:val="none" w:sz="0" w:space="0" w:color="auto"/>
        <w:left w:val="none" w:sz="0" w:space="0" w:color="auto"/>
        <w:bottom w:val="none" w:sz="0" w:space="0" w:color="auto"/>
        <w:right w:val="none" w:sz="0" w:space="0" w:color="auto"/>
      </w:divBdr>
    </w:div>
    <w:div w:id="2114397549">
      <w:bodyDiv w:val="1"/>
      <w:marLeft w:val="0"/>
      <w:marRight w:val="0"/>
      <w:marTop w:val="0"/>
      <w:marBottom w:val="0"/>
      <w:divBdr>
        <w:top w:val="none" w:sz="0" w:space="0" w:color="auto"/>
        <w:left w:val="none" w:sz="0" w:space="0" w:color="auto"/>
        <w:bottom w:val="none" w:sz="0" w:space="0" w:color="auto"/>
        <w:right w:val="none" w:sz="0" w:space="0" w:color="auto"/>
      </w:divBdr>
    </w:div>
    <w:div w:id="2114740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13" Type="http://schemas.openxmlformats.org/officeDocument/2006/relationships/hyperlink" Target="https://www1.nyc.gov/assets/hpd/downloads/pdf/about/hny-2.pdf" TargetMode="External"/><Relationship Id="rId18" Type="http://schemas.openxmlformats.org/officeDocument/2006/relationships/hyperlink" Target="https://furmancenter.org/coredata/directory/entry/senior-citizen-rent-increase-exemption-program" TargetMode="External"/><Relationship Id="rId26" Type="http://schemas.openxmlformats.org/officeDocument/2006/relationships/hyperlink" Target="https://furmancenter.org/coredata/directory/entry/section-202-supportive-housing-for-the-elderly" TargetMode="External"/><Relationship Id="rId39" Type="http://schemas.openxmlformats.org/officeDocument/2006/relationships/hyperlink" Target="https://citylimits.org/author/lorraine-cortes-vazquez/" TargetMode="External"/><Relationship Id="rId21" Type="http://schemas.openxmlformats.org/officeDocument/2006/relationships/hyperlink" Target="https://www1.nyc.gov/site/hpd/developers/development-programs/senior-affordable-rental-apartments-program.page" TargetMode="External"/><Relationship Id="rId34" Type="http://schemas.openxmlformats.org/officeDocument/2006/relationships/hyperlink" Target="https://www1.nyc.gov/assets/hpd/downloads/pdf/developers/term-sheets/snh-sara-term-sheet.pdf" TargetMode="External"/><Relationship Id="rId42" Type="http://schemas.openxmlformats.org/officeDocument/2006/relationships/hyperlink" Target="https://www1.nyc.gov/site/dfta/services/legal-help.page" TargetMode="External"/><Relationship Id="rId7" Type="http://schemas.openxmlformats.org/officeDocument/2006/relationships/hyperlink" Target="https://www1.nyc.gov/site/hpd/renters/area-median-income.page" TargetMode="External"/><Relationship Id="rId2" Type="http://schemas.openxmlformats.org/officeDocument/2006/relationships/hyperlink" Target="https://www1.nyc.gov/assets/dfta/downloads/pdf/reports/DFTAAnnualPlanSummary2017.pdf" TargetMode="External"/><Relationship Id="rId16" Type="http://schemas.openxmlformats.org/officeDocument/2006/relationships/hyperlink" Target="https://furmancenter.org/coredata/directory/entry/senior-citizen-rent-increase-exemption-program" TargetMode="External"/><Relationship Id="rId20" Type="http://schemas.openxmlformats.org/officeDocument/2006/relationships/hyperlink" Target="https://www1.nyc.gov/site/finance/benefits/landlords-sche.page" TargetMode="External"/><Relationship Id="rId29" Type="http://schemas.openxmlformats.org/officeDocument/2006/relationships/hyperlink" Target="http://portal.hud.gov/hudportal/HUD?src=/topics/housing_choice_voucher_program_section_8" TargetMode="External"/><Relationship Id="rId41" Type="http://schemas.openxmlformats.org/officeDocument/2006/relationships/hyperlink" Target="https://council.nyc.gov/budget/wp-content/uploads/sites/54/2019/03/125-DFTA1.pdf" TargetMode="External"/><Relationship Id="rId1" Type="http://schemas.openxmlformats.org/officeDocument/2006/relationships/hyperlink" Target="https://www.census.gov/newsroom/press-releases/2017/cb17-100.html" TargetMode="External"/><Relationship Id="rId6" Type="http://schemas.openxmlformats.org/officeDocument/2006/relationships/hyperlink" Target="https://www.huduser.gov/portal/datasets/il/il2019/2019MedCalc.odn" TargetMode="External"/><Relationship Id="rId11" Type="http://schemas.openxmlformats.org/officeDocument/2006/relationships/hyperlink" Target="https://observer.com/2018/04/new-york-faces-affordable-housing-crisis-for-the-elderly/" TargetMode="External"/><Relationship Id="rId24" Type="http://schemas.openxmlformats.org/officeDocument/2006/relationships/hyperlink" Target="http://portal.hud.gov/hudportal/HUD?src=/program_offices/housing/mfh/progdesc/eld202" TargetMode="External"/><Relationship Id="rId32" Type="http://schemas.openxmlformats.org/officeDocument/2006/relationships/hyperlink" Target="https://www1.nyc.gov/site/hpd/section-8/about-section-8.page" TargetMode="External"/><Relationship Id="rId37" Type="http://schemas.openxmlformats.org/officeDocument/2006/relationships/hyperlink" Target="https://www1.nyc.gov/site/dfta/about/pr-NYFC-and-DFTA-hold-pr-for-homesharing-program.page" TargetMode="External"/><Relationship Id="rId40" Type="http://schemas.openxmlformats.org/officeDocument/2006/relationships/hyperlink" Target="https://citylimits.org/2019/04/23/opinion-citys-commitment-to-diverse-seniors-is-unprecedented/" TargetMode="External"/><Relationship Id="rId5" Type="http://schemas.openxmlformats.org/officeDocument/2006/relationships/hyperlink" Target="https://www1.nyc.gov/site/hpd/renters/area-median-income.page" TargetMode="External"/><Relationship Id="rId15" Type="http://schemas.openxmlformats.org/officeDocument/2006/relationships/hyperlink" Target="https://citylimits.org/2019/04/24/the-distressing-math-of-nycs-future-senior-housing-need/" TargetMode="External"/><Relationship Id="rId23" Type="http://schemas.openxmlformats.org/officeDocument/2006/relationships/hyperlink" Target="https://www1.nyc.gov/site/hpd/developers/aging-in-place.page" TargetMode="External"/><Relationship Id="rId28" Type="http://schemas.openxmlformats.org/officeDocument/2006/relationships/hyperlink" Target="http://portal.hud.gov/hudportal/HUD?src=/program_offices/housing/mfh/progdesc/eld202" TargetMode="External"/><Relationship Id="rId36" Type="http://schemas.openxmlformats.org/officeDocument/2006/relationships/hyperlink" Target="https://www1.nyc.gov/assets/dfta/downloads/pdf/publications/HousingManhattan2017.pdf" TargetMode="External"/><Relationship Id="rId10" Type="http://schemas.openxmlformats.org/officeDocument/2006/relationships/hyperlink" Target="https://citylimits.org/2019/04/24/the-distressing-math-of-nycs-future-senior-housing-need/" TargetMode="External"/><Relationship Id="rId19" Type="http://schemas.openxmlformats.org/officeDocument/2006/relationships/hyperlink" Target="https://www.tax.ny.gov/pit/property/exemption/seniorexempt.htm" TargetMode="External"/><Relationship Id="rId31" Type="http://schemas.openxmlformats.org/officeDocument/2006/relationships/hyperlink" Target="https://www1.nyc.gov/assets/hpd/downloads/pdf/hpd-section-8-program-statistics.pdf" TargetMode="External"/><Relationship Id="rId4" Type="http://schemas.openxmlformats.org/officeDocument/2006/relationships/hyperlink" Target="https://citylimits.org/2019/04/24/the-distressing-math-of-nycs-future-senior-housing-need/" TargetMode="External"/><Relationship Id="rId9" Type="http://schemas.openxmlformats.org/officeDocument/2006/relationships/hyperlink" Target="https://comptroller.nyc.gov/reports/aging-with-dignity-a-blueprint-for-serving-nycs-growing-senior-population/" TargetMode="External"/><Relationship Id="rId14" Type="http://schemas.openxmlformats.org/officeDocument/2006/relationships/hyperlink" Target="https://www1.nyc.gov/site/hpd/about/housing-new-york-2-0.page" TargetMode="External"/><Relationship Id="rId22" Type="http://schemas.openxmlformats.org/officeDocument/2006/relationships/hyperlink" Target="https://www1.nyc.gov/site/hpd/about/press-releases/2019/03/hpd-and-nycha-announce-development-teams-for-senior-affordable-housing.page" TargetMode="External"/><Relationship Id="rId27" Type="http://schemas.openxmlformats.org/officeDocument/2006/relationships/hyperlink" Target="https://www.hud.gov/sites/dfiles/SPM/documents/FY2018-Section202-NOFA.pdf" TargetMode="External"/><Relationship Id="rId30" Type="http://schemas.openxmlformats.org/officeDocument/2006/relationships/hyperlink" Target="https://www1.nyc.gov/assets/dfta/downloads/pdf/publications/HousingBrooklyn2017v2.pdf" TargetMode="External"/><Relationship Id="rId35" Type="http://schemas.openxmlformats.org/officeDocument/2006/relationships/hyperlink" Target="https://www1.nyc.gov/site/dfta/about/pr-NYFC-and-DFTA-hold-pr-for-homesharing-program.page" TargetMode="External"/><Relationship Id="rId43" Type="http://schemas.openxmlformats.org/officeDocument/2006/relationships/hyperlink" Target="http://ww2.nycourts.gov/ip/nya2j/diverseneeds/assignedcounsel.shtml" TargetMode="External"/><Relationship Id="rId8" Type="http://schemas.openxmlformats.org/officeDocument/2006/relationships/hyperlink" Target="https://www.hud.gov/program_offices/comm_planning/affordablehousing/" TargetMode="External"/><Relationship Id="rId3" Type="http://schemas.openxmlformats.org/officeDocument/2006/relationships/hyperlink" Target="https://brooklyneagle.com/articles/2019/11/08/nycs-housing-supply-cant-keep-up-with-its-job-growth-report/" TargetMode="External"/><Relationship Id="rId12" Type="http://schemas.openxmlformats.org/officeDocument/2006/relationships/hyperlink" Target="https://www.politico.com/states/new-york/city-hall/story/2016/02/the-senior-housing-crisis-031725" TargetMode="External"/><Relationship Id="rId17" Type="http://schemas.openxmlformats.org/officeDocument/2006/relationships/hyperlink" Target="https://www.tax.ny.gov/pit/property/exemption/seniorexempt.htm" TargetMode="External"/><Relationship Id="rId25" Type="http://schemas.openxmlformats.org/officeDocument/2006/relationships/hyperlink" Target="https://www1.nyc.gov/assets/dfta/downloads/pdf/publications/HousingBrooklyn2017v2.pdf" TargetMode="External"/><Relationship Id="rId33" Type="http://schemas.openxmlformats.org/officeDocument/2006/relationships/hyperlink" Target="https://www1.nyc.gov/site/hpd/about/press-releases/2014/11/17.page" TargetMode="External"/><Relationship Id="rId38" Type="http://schemas.openxmlformats.org/officeDocument/2006/relationships/hyperlink" Target="https://www1.nyc.gov/assets/dfta/downloads/pdf/publications/HousingManhattan20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4B3F9-486A-4F00-9E83-1EFC1733D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4619</Words>
  <Characters>26333</Characters>
  <Application>Microsoft Office Word</Application>
  <DocSecurity>4</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30891</CharactersWithSpaces>
  <SharedDoc>false</SharedDoc>
  <HLinks>
    <vt:vector size="258" baseType="variant">
      <vt:variant>
        <vt:i4>7143533</vt:i4>
      </vt:variant>
      <vt:variant>
        <vt:i4>126</vt:i4>
      </vt:variant>
      <vt:variant>
        <vt:i4>0</vt:i4>
      </vt:variant>
      <vt:variant>
        <vt:i4>5</vt:i4>
      </vt:variant>
      <vt:variant>
        <vt:lpwstr>http://ww2.nycourts.gov/ip/nya2j/diverseneeds/assignedcounsel.shtml</vt:lpwstr>
      </vt:variant>
      <vt:variant>
        <vt:lpwstr/>
      </vt:variant>
      <vt:variant>
        <vt:i4>7143525</vt:i4>
      </vt:variant>
      <vt:variant>
        <vt:i4>123</vt:i4>
      </vt:variant>
      <vt:variant>
        <vt:i4>0</vt:i4>
      </vt:variant>
      <vt:variant>
        <vt:i4>5</vt:i4>
      </vt:variant>
      <vt:variant>
        <vt:lpwstr>https://www1.nyc.gov/site/dfta/services/legal-help.page</vt:lpwstr>
      </vt:variant>
      <vt:variant>
        <vt:lpwstr/>
      </vt:variant>
      <vt:variant>
        <vt:i4>4784196</vt:i4>
      </vt:variant>
      <vt:variant>
        <vt:i4>120</vt:i4>
      </vt:variant>
      <vt:variant>
        <vt:i4>0</vt:i4>
      </vt:variant>
      <vt:variant>
        <vt:i4>5</vt:i4>
      </vt:variant>
      <vt:variant>
        <vt:lpwstr>https://council.nyc.gov/budget/wp-content/uploads/sites/54/2019/03/125-DFTA1.pdf</vt:lpwstr>
      </vt:variant>
      <vt:variant>
        <vt:lpwstr/>
      </vt:variant>
      <vt:variant>
        <vt:i4>2228327</vt:i4>
      </vt:variant>
      <vt:variant>
        <vt:i4>117</vt:i4>
      </vt:variant>
      <vt:variant>
        <vt:i4>0</vt:i4>
      </vt:variant>
      <vt:variant>
        <vt:i4>5</vt:i4>
      </vt:variant>
      <vt:variant>
        <vt:lpwstr>https://citylimits.org/2019/04/23/opinion-citys-commitment-to-diverse-seniors-is-unprecedented/</vt:lpwstr>
      </vt:variant>
      <vt:variant>
        <vt:lpwstr/>
      </vt:variant>
      <vt:variant>
        <vt:i4>3997801</vt:i4>
      </vt:variant>
      <vt:variant>
        <vt:i4>114</vt:i4>
      </vt:variant>
      <vt:variant>
        <vt:i4>0</vt:i4>
      </vt:variant>
      <vt:variant>
        <vt:i4>5</vt:i4>
      </vt:variant>
      <vt:variant>
        <vt:lpwstr>https://citylimits.org/author/lorraine-cortes-vazquez/</vt:lpwstr>
      </vt:variant>
      <vt:variant>
        <vt:lpwstr/>
      </vt:variant>
      <vt:variant>
        <vt:i4>5701657</vt:i4>
      </vt:variant>
      <vt:variant>
        <vt:i4>111</vt:i4>
      </vt:variant>
      <vt:variant>
        <vt:i4>0</vt:i4>
      </vt:variant>
      <vt:variant>
        <vt:i4>5</vt:i4>
      </vt:variant>
      <vt:variant>
        <vt:lpwstr>https://www1.nyc.gov/assets/dfta/downloads/pdf/publications/HousingManhattan2017.pdf</vt:lpwstr>
      </vt:variant>
      <vt:variant>
        <vt:lpwstr/>
      </vt:variant>
      <vt:variant>
        <vt:i4>7864352</vt:i4>
      </vt:variant>
      <vt:variant>
        <vt:i4>108</vt:i4>
      </vt:variant>
      <vt:variant>
        <vt:i4>0</vt:i4>
      </vt:variant>
      <vt:variant>
        <vt:i4>5</vt:i4>
      </vt:variant>
      <vt:variant>
        <vt:lpwstr>https://www1.nyc.gov/site/dfta/about/pr-NYFC-and-DFTA-hold-pr-for-homesharing-program.page</vt:lpwstr>
      </vt:variant>
      <vt:variant>
        <vt:lpwstr/>
      </vt:variant>
      <vt:variant>
        <vt:i4>5701657</vt:i4>
      </vt:variant>
      <vt:variant>
        <vt:i4>105</vt:i4>
      </vt:variant>
      <vt:variant>
        <vt:i4>0</vt:i4>
      </vt:variant>
      <vt:variant>
        <vt:i4>5</vt:i4>
      </vt:variant>
      <vt:variant>
        <vt:lpwstr>https://www1.nyc.gov/assets/dfta/downloads/pdf/publications/HousingManhattan2017.pdf</vt:lpwstr>
      </vt:variant>
      <vt:variant>
        <vt:lpwstr/>
      </vt:variant>
      <vt:variant>
        <vt:i4>7864352</vt:i4>
      </vt:variant>
      <vt:variant>
        <vt:i4>102</vt:i4>
      </vt:variant>
      <vt:variant>
        <vt:i4>0</vt:i4>
      </vt:variant>
      <vt:variant>
        <vt:i4>5</vt:i4>
      </vt:variant>
      <vt:variant>
        <vt:lpwstr>https://www1.nyc.gov/site/dfta/about/pr-NYFC-and-DFTA-hold-pr-for-homesharing-program.page</vt:lpwstr>
      </vt:variant>
      <vt:variant>
        <vt:lpwstr/>
      </vt:variant>
      <vt:variant>
        <vt:i4>5505106</vt:i4>
      </vt:variant>
      <vt:variant>
        <vt:i4>99</vt:i4>
      </vt:variant>
      <vt:variant>
        <vt:i4>0</vt:i4>
      </vt:variant>
      <vt:variant>
        <vt:i4>5</vt:i4>
      </vt:variant>
      <vt:variant>
        <vt:lpwstr>https://www1.nyc.gov/assets/hpd/downloads/pdf/developers/term-sheets/snh-sara-term-sheet.pdf</vt:lpwstr>
      </vt:variant>
      <vt:variant>
        <vt:lpwstr/>
      </vt:variant>
      <vt:variant>
        <vt:i4>3014762</vt:i4>
      </vt:variant>
      <vt:variant>
        <vt:i4>96</vt:i4>
      </vt:variant>
      <vt:variant>
        <vt:i4>0</vt:i4>
      </vt:variant>
      <vt:variant>
        <vt:i4>5</vt:i4>
      </vt:variant>
      <vt:variant>
        <vt:lpwstr>https://www1.nyc.gov/site/hpd/about/press-releases/2014/11/17.page</vt:lpwstr>
      </vt:variant>
      <vt:variant>
        <vt:lpwstr/>
      </vt:variant>
      <vt:variant>
        <vt:i4>196628</vt:i4>
      </vt:variant>
      <vt:variant>
        <vt:i4>93</vt:i4>
      </vt:variant>
      <vt:variant>
        <vt:i4>0</vt:i4>
      </vt:variant>
      <vt:variant>
        <vt:i4>5</vt:i4>
      </vt:variant>
      <vt:variant>
        <vt:lpwstr>https://www1.nyc.gov/site/hpd/section-8/about-section-8.page</vt:lpwstr>
      </vt:variant>
      <vt:variant>
        <vt:lpwstr/>
      </vt:variant>
      <vt:variant>
        <vt:i4>3539054</vt:i4>
      </vt:variant>
      <vt:variant>
        <vt:i4>90</vt:i4>
      </vt:variant>
      <vt:variant>
        <vt:i4>0</vt:i4>
      </vt:variant>
      <vt:variant>
        <vt:i4>5</vt:i4>
      </vt:variant>
      <vt:variant>
        <vt:lpwstr>https://www1.nyc.gov/assets/hpd/downloads/pdf/hpd-section-8-program-statistics.pdf</vt:lpwstr>
      </vt:variant>
      <vt:variant>
        <vt:lpwstr/>
      </vt:variant>
      <vt:variant>
        <vt:i4>1966102</vt:i4>
      </vt:variant>
      <vt:variant>
        <vt:i4>87</vt:i4>
      </vt:variant>
      <vt:variant>
        <vt:i4>0</vt:i4>
      </vt:variant>
      <vt:variant>
        <vt:i4>5</vt:i4>
      </vt:variant>
      <vt:variant>
        <vt:lpwstr>https://www1.nyc.gov/assets/dfta/downloads/pdf/publications/HousingBrooklyn2017v2.pdf</vt:lpwstr>
      </vt:variant>
      <vt:variant>
        <vt:lpwstr/>
      </vt:variant>
      <vt:variant>
        <vt:i4>7733313</vt:i4>
      </vt:variant>
      <vt:variant>
        <vt:i4>84</vt:i4>
      </vt:variant>
      <vt:variant>
        <vt:i4>0</vt:i4>
      </vt:variant>
      <vt:variant>
        <vt:i4>5</vt:i4>
      </vt:variant>
      <vt:variant>
        <vt:lpwstr>http://portal.hud.gov/hudportal/HUD?src=/topics/housing_choice_voucher_program_section_8</vt:lpwstr>
      </vt:variant>
      <vt:variant>
        <vt:lpwstr/>
      </vt:variant>
      <vt:variant>
        <vt:i4>327795</vt:i4>
      </vt:variant>
      <vt:variant>
        <vt:i4>81</vt:i4>
      </vt:variant>
      <vt:variant>
        <vt:i4>0</vt:i4>
      </vt:variant>
      <vt:variant>
        <vt:i4>5</vt:i4>
      </vt:variant>
      <vt:variant>
        <vt:lpwstr>http://portal.hud.gov/hudportal/HUD?src=/program_offices/housing/mfh/progdesc/eld202</vt:lpwstr>
      </vt:variant>
      <vt:variant>
        <vt:lpwstr/>
      </vt:variant>
      <vt:variant>
        <vt:i4>1310736</vt:i4>
      </vt:variant>
      <vt:variant>
        <vt:i4>78</vt:i4>
      </vt:variant>
      <vt:variant>
        <vt:i4>0</vt:i4>
      </vt:variant>
      <vt:variant>
        <vt:i4>5</vt:i4>
      </vt:variant>
      <vt:variant>
        <vt:lpwstr>https://www.hud.gov/sites/dfiles/SPM/documents/FY2018-Section202-NOFA.pdf</vt:lpwstr>
      </vt:variant>
      <vt:variant>
        <vt:lpwstr/>
      </vt:variant>
      <vt:variant>
        <vt:i4>1900614</vt:i4>
      </vt:variant>
      <vt:variant>
        <vt:i4>75</vt:i4>
      </vt:variant>
      <vt:variant>
        <vt:i4>0</vt:i4>
      </vt:variant>
      <vt:variant>
        <vt:i4>5</vt:i4>
      </vt:variant>
      <vt:variant>
        <vt:lpwstr>https://furmancenter.org/coredata/directory/entry/section-202-supportive-housing-for-the-elderly</vt:lpwstr>
      </vt:variant>
      <vt:variant>
        <vt:lpwstr/>
      </vt:variant>
      <vt:variant>
        <vt:i4>1966102</vt:i4>
      </vt:variant>
      <vt:variant>
        <vt:i4>72</vt:i4>
      </vt:variant>
      <vt:variant>
        <vt:i4>0</vt:i4>
      </vt:variant>
      <vt:variant>
        <vt:i4>5</vt:i4>
      </vt:variant>
      <vt:variant>
        <vt:lpwstr>https://www1.nyc.gov/assets/dfta/downloads/pdf/publications/HousingBrooklyn2017v2.pdf</vt:lpwstr>
      </vt:variant>
      <vt:variant>
        <vt:lpwstr/>
      </vt:variant>
      <vt:variant>
        <vt:i4>327795</vt:i4>
      </vt:variant>
      <vt:variant>
        <vt:i4>69</vt:i4>
      </vt:variant>
      <vt:variant>
        <vt:i4>0</vt:i4>
      </vt:variant>
      <vt:variant>
        <vt:i4>5</vt:i4>
      </vt:variant>
      <vt:variant>
        <vt:lpwstr>http://portal.hud.gov/hudportal/HUD?src=/program_offices/housing/mfh/progdesc/eld202</vt:lpwstr>
      </vt:variant>
      <vt:variant>
        <vt:lpwstr/>
      </vt:variant>
      <vt:variant>
        <vt:i4>4915203</vt:i4>
      </vt:variant>
      <vt:variant>
        <vt:i4>66</vt:i4>
      </vt:variant>
      <vt:variant>
        <vt:i4>0</vt:i4>
      </vt:variant>
      <vt:variant>
        <vt:i4>5</vt:i4>
      </vt:variant>
      <vt:variant>
        <vt:lpwstr>https://www1.nyc.gov/site/hpd/developers/aging-in-place.page</vt:lpwstr>
      </vt:variant>
      <vt:variant>
        <vt:lpwstr/>
      </vt:variant>
      <vt:variant>
        <vt:i4>3342386</vt:i4>
      </vt:variant>
      <vt:variant>
        <vt:i4>63</vt:i4>
      </vt:variant>
      <vt:variant>
        <vt:i4>0</vt:i4>
      </vt:variant>
      <vt:variant>
        <vt:i4>5</vt:i4>
      </vt:variant>
      <vt:variant>
        <vt:lpwstr>https://www1.nyc.gov/site/hpd/about/press-releases/2019/03/hpd-and-nycha-announce-development-teams-for-senior-affordable-housing.page</vt:lpwstr>
      </vt:variant>
      <vt:variant>
        <vt:lpwstr/>
      </vt:variant>
      <vt:variant>
        <vt:i4>3473516</vt:i4>
      </vt:variant>
      <vt:variant>
        <vt:i4>60</vt:i4>
      </vt:variant>
      <vt:variant>
        <vt:i4>0</vt:i4>
      </vt:variant>
      <vt:variant>
        <vt:i4>5</vt:i4>
      </vt:variant>
      <vt:variant>
        <vt:lpwstr>https://www1.nyc.gov/site/hpd/developers/development-programs/senior-affordable-rental-apartments-program.page</vt:lpwstr>
      </vt:variant>
      <vt:variant>
        <vt:lpwstr/>
      </vt:variant>
      <vt:variant>
        <vt:i4>6488181</vt:i4>
      </vt:variant>
      <vt:variant>
        <vt:i4>57</vt:i4>
      </vt:variant>
      <vt:variant>
        <vt:i4>0</vt:i4>
      </vt:variant>
      <vt:variant>
        <vt:i4>5</vt:i4>
      </vt:variant>
      <vt:variant>
        <vt:lpwstr>https://www1.nyc.gov/site/finance/benefits/landlords-sche.page</vt:lpwstr>
      </vt:variant>
      <vt:variant>
        <vt:lpwstr/>
      </vt:variant>
      <vt:variant>
        <vt:i4>7405612</vt:i4>
      </vt:variant>
      <vt:variant>
        <vt:i4>54</vt:i4>
      </vt:variant>
      <vt:variant>
        <vt:i4>0</vt:i4>
      </vt:variant>
      <vt:variant>
        <vt:i4>5</vt:i4>
      </vt:variant>
      <vt:variant>
        <vt:lpwstr>https://www.tax.ny.gov/pit/property/exemption/seniorexempt.htm</vt:lpwstr>
      </vt:variant>
      <vt:variant>
        <vt:lpwstr/>
      </vt:variant>
      <vt:variant>
        <vt:i4>1507407</vt:i4>
      </vt:variant>
      <vt:variant>
        <vt:i4>51</vt:i4>
      </vt:variant>
      <vt:variant>
        <vt:i4>0</vt:i4>
      </vt:variant>
      <vt:variant>
        <vt:i4>5</vt:i4>
      </vt:variant>
      <vt:variant>
        <vt:lpwstr>https://furmancenter.org/coredata/directory/entry/senior-citizen-rent-increase-exemption-program</vt:lpwstr>
      </vt:variant>
      <vt:variant>
        <vt:lpwstr/>
      </vt:variant>
      <vt:variant>
        <vt:i4>7405612</vt:i4>
      </vt:variant>
      <vt:variant>
        <vt:i4>48</vt:i4>
      </vt:variant>
      <vt:variant>
        <vt:i4>0</vt:i4>
      </vt:variant>
      <vt:variant>
        <vt:i4>5</vt:i4>
      </vt:variant>
      <vt:variant>
        <vt:lpwstr>https://www.tax.ny.gov/pit/property/exemption/seniorexempt.htm</vt:lpwstr>
      </vt:variant>
      <vt:variant>
        <vt:lpwstr/>
      </vt:variant>
      <vt:variant>
        <vt:i4>1507407</vt:i4>
      </vt:variant>
      <vt:variant>
        <vt:i4>45</vt:i4>
      </vt:variant>
      <vt:variant>
        <vt:i4>0</vt:i4>
      </vt:variant>
      <vt:variant>
        <vt:i4>5</vt:i4>
      </vt:variant>
      <vt:variant>
        <vt:lpwstr>https://furmancenter.org/coredata/directory/entry/senior-citizen-rent-increase-exemption-program</vt:lpwstr>
      </vt:variant>
      <vt:variant>
        <vt:lpwstr/>
      </vt:variant>
      <vt:variant>
        <vt:i4>3604588</vt:i4>
      </vt:variant>
      <vt:variant>
        <vt:i4>42</vt:i4>
      </vt:variant>
      <vt:variant>
        <vt:i4>0</vt:i4>
      </vt:variant>
      <vt:variant>
        <vt:i4>5</vt:i4>
      </vt:variant>
      <vt:variant>
        <vt:lpwstr>https://citylimits.org/2019/04/24/the-distressing-math-of-nycs-future-senior-housing-need/</vt:lpwstr>
      </vt:variant>
      <vt:variant>
        <vt:lpwstr/>
      </vt:variant>
      <vt:variant>
        <vt:i4>131149</vt:i4>
      </vt:variant>
      <vt:variant>
        <vt:i4>39</vt:i4>
      </vt:variant>
      <vt:variant>
        <vt:i4>0</vt:i4>
      </vt:variant>
      <vt:variant>
        <vt:i4>5</vt:i4>
      </vt:variant>
      <vt:variant>
        <vt:lpwstr>https://www1.nyc.gov/site/hpd/about/housing-new-york-2-0.page</vt:lpwstr>
      </vt:variant>
      <vt:variant>
        <vt:lpwstr/>
      </vt:variant>
      <vt:variant>
        <vt:i4>131138</vt:i4>
      </vt:variant>
      <vt:variant>
        <vt:i4>36</vt:i4>
      </vt:variant>
      <vt:variant>
        <vt:i4>0</vt:i4>
      </vt:variant>
      <vt:variant>
        <vt:i4>5</vt:i4>
      </vt:variant>
      <vt:variant>
        <vt:lpwstr>https://www1.nyc.gov/assets/hpd/downloads/pdf/about/hny-2.pdf</vt:lpwstr>
      </vt:variant>
      <vt:variant>
        <vt:lpwstr/>
      </vt:variant>
      <vt:variant>
        <vt:i4>5111810</vt:i4>
      </vt:variant>
      <vt:variant>
        <vt:i4>33</vt:i4>
      </vt:variant>
      <vt:variant>
        <vt:i4>0</vt:i4>
      </vt:variant>
      <vt:variant>
        <vt:i4>5</vt:i4>
      </vt:variant>
      <vt:variant>
        <vt:lpwstr>https://www.politico.com/states/new-york/city-hall/story/2016/02/the-senior-housing-crisis-031725</vt:lpwstr>
      </vt:variant>
      <vt:variant>
        <vt:lpwstr/>
      </vt:variant>
      <vt:variant>
        <vt:i4>6815871</vt:i4>
      </vt:variant>
      <vt:variant>
        <vt:i4>30</vt:i4>
      </vt:variant>
      <vt:variant>
        <vt:i4>0</vt:i4>
      </vt:variant>
      <vt:variant>
        <vt:i4>5</vt:i4>
      </vt:variant>
      <vt:variant>
        <vt:lpwstr>https://observer.com/2018/04/new-york-faces-affordable-housing-crisis-for-the-elderly/</vt:lpwstr>
      </vt:variant>
      <vt:variant>
        <vt:lpwstr/>
      </vt:variant>
      <vt:variant>
        <vt:i4>3604588</vt:i4>
      </vt:variant>
      <vt:variant>
        <vt:i4>27</vt:i4>
      </vt:variant>
      <vt:variant>
        <vt:i4>0</vt:i4>
      </vt:variant>
      <vt:variant>
        <vt:i4>5</vt:i4>
      </vt:variant>
      <vt:variant>
        <vt:lpwstr>https://citylimits.org/2019/04/24/the-distressing-math-of-nycs-future-senior-housing-need/</vt:lpwstr>
      </vt:variant>
      <vt:variant>
        <vt:lpwstr/>
      </vt:variant>
      <vt:variant>
        <vt:i4>7012451</vt:i4>
      </vt:variant>
      <vt:variant>
        <vt:i4>24</vt:i4>
      </vt:variant>
      <vt:variant>
        <vt:i4>0</vt:i4>
      </vt:variant>
      <vt:variant>
        <vt:i4>5</vt:i4>
      </vt:variant>
      <vt:variant>
        <vt:lpwstr>https://comptroller.nyc.gov/reports/aging-with-dignity-a-blueprint-for-serving-nycs-growing-senior-population/</vt:lpwstr>
      </vt:variant>
      <vt:variant>
        <vt:lpwstr/>
      </vt:variant>
      <vt:variant>
        <vt:i4>3539058</vt:i4>
      </vt:variant>
      <vt:variant>
        <vt:i4>21</vt:i4>
      </vt:variant>
      <vt:variant>
        <vt:i4>0</vt:i4>
      </vt:variant>
      <vt:variant>
        <vt:i4>5</vt:i4>
      </vt:variant>
      <vt:variant>
        <vt:lpwstr>https://www.hud.gov/program_offices/comm_planning/affordablehousing/</vt:lpwstr>
      </vt:variant>
      <vt:variant>
        <vt:lpwstr/>
      </vt:variant>
      <vt:variant>
        <vt:i4>5570576</vt:i4>
      </vt:variant>
      <vt:variant>
        <vt:i4>18</vt:i4>
      </vt:variant>
      <vt:variant>
        <vt:i4>0</vt:i4>
      </vt:variant>
      <vt:variant>
        <vt:i4>5</vt:i4>
      </vt:variant>
      <vt:variant>
        <vt:lpwstr>https://www1.nyc.gov/site/hpd/renters/area-median-income.page</vt:lpwstr>
      </vt:variant>
      <vt:variant>
        <vt:lpwstr/>
      </vt:variant>
      <vt:variant>
        <vt:i4>786498</vt:i4>
      </vt:variant>
      <vt:variant>
        <vt:i4>15</vt:i4>
      </vt:variant>
      <vt:variant>
        <vt:i4>0</vt:i4>
      </vt:variant>
      <vt:variant>
        <vt:i4>5</vt:i4>
      </vt:variant>
      <vt:variant>
        <vt:lpwstr>https://www.huduser.gov/portal/datasets/il/il2019/2019MedCalc.odn</vt:lpwstr>
      </vt:variant>
      <vt:variant>
        <vt:lpwstr/>
      </vt:variant>
      <vt:variant>
        <vt:i4>5570576</vt:i4>
      </vt:variant>
      <vt:variant>
        <vt:i4>12</vt:i4>
      </vt:variant>
      <vt:variant>
        <vt:i4>0</vt:i4>
      </vt:variant>
      <vt:variant>
        <vt:i4>5</vt:i4>
      </vt:variant>
      <vt:variant>
        <vt:lpwstr>https://www1.nyc.gov/site/hpd/renters/area-median-income.page</vt:lpwstr>
      </vt:variant>
      <vt:variant>
        <vt:lpwstr/>
      </vt:variant>
      <vt:variant>
        <vt:i4>3604588</vt:i4>
      </vt:variant>
      <vt:variant>
        <vt:i4>9</vt:i4>
      </vt:variant>
      <vt:variant>
        <vt:i4>0</vt:i4>
      </vt:variant>
      <vt:variant>
        <vt:i4>5</vt:i4>
      </vt:variant>
      <vt:variant>
        <vt:lpwstr>https://citylimits.org/2019/04/24/the-distressing-math-of-nycs-future-senior-housing-need/</vt:lpwstr>
      </vt:variant>
      <vt:variant>
        <vt:lpwstr/>
      </vt:variant>
      <vt:variant>
        <vt:i4>7405687</vt:i4>
      </vt:variant>
      <vt:variant>
        <vt:i4>6</vt:i4>
      </vt:variant>
      <vt:variant>
        <vt:i4>0</vt:i4>
      </vt:variant>
      <vt:variant>
        <vt:i4>5</vt:i4>
      </vt:variant>
      <vt:variant>
        <vt:lpwstr>https://brooklyneagle.com/articles/2019/11/08/nycs-housing-supply-cant-keep-up-with-its-job-growth-report/</vt:lpwstr>
      </vt:variant>
      <vt:variant>
        <vt:lpwstr/>
      </vt:variant>
      <vt:variant>
        <vt:i4>327757</vt:i4>
      </vt:variant>
      <vt:variant>
        <vt:i4>3</vt:i4>
      </vt:variant>
      <vt:variant>
        <vt:i4>0</vt:i4>
      </vt:variant>
      <vt:variant>
        <vt:i4>5</vt:i4>
      </vt:variant>
      <vt:variant>
        <vt:lpwstr>https://www1.nyc.gov/assets/dfta/downloads/pdf/reports/DFTAAnnualPlanSummary2017.pdf</vt:lpwstr>
      </vt:variant>
      <vt:variant>
        <vt:lpwstr/>
      </vt:variant>
      <vt:variant>
        <vt:i4>4587523</vt:i4>
      </vt:variant>
      <vt:variant>
        <vt:i4>0</vt:i4>
      </vt:variant>
      <vt:variant>
        <vt:i4>0</vt:i4>
      </vt:variant>
      <vt:variant>
        <vt:i4>5</vt:i4>
      </vt:variant>
      <vt:variant>
        <vt:lpwstr>https://www.census.gov/newsroom/press-releases/2017/cb17-100.html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MChen@council.nyc.gov</dc:creator>
  <cp:keywords/>
  <dc:description/>
  <cp:lastModifiedBy>DelFranco, Ruthie</cp:lastModifiedBy>
  <cp:revision>2</cp:revision>
  <cp:lastPrinted>2019-12-11T16:38:00Z</cp:lastPrinted>
  <dcterms:created xsi:type="dcterms:W3CDTF">2019-12-12T19:19:00Z</dcterms:created>
  <dcterms:modified xsi:type="dcterms:W3CDTF">2019-12-12T19:19:00Z</dcterms:modified>
</cp:coreProperties>
</file>