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6D0364">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6D0364">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1714E1">
        <w:rPr>
          <w:rFonts w:ascii="Times New Roman" w:hAnsi="Times New Roman"/>
          <w:b/>
          <w:szCs w:val="24"/>
        </w:rPr>
        <w:t>1190</w:t>
      </w:r>
    </w:p>
    <w:p w:rsidR="003C3058" w:rsidRPr="007466B0" w:rsidRDefault="003C3058">
      <w:pPr>
        <w:tabs>
          <w:tab w:val="center" w:pos="4680"/>
        </w:tabs>
        <w:jc w:val="both"/>
        <w:rPr>
          <w:rFonts w:ascii="Times New Roman" w:hAnsi="Times New Roman"/>
          <w:b/>
          <w:szCs w:val="24"/>
        </w:rPr>
      </w:pPr>
    </w:p>
    <w:p w:rsidR="00B87687" w:rsidRPr="00B87687" w:rsidRDefault="00B87687" w:rsidP="003B3B47">
      <w:pPr>
        <w:jc w:val="both"/>
        <w:rPr>
          <w:rFonts w:ascii="Times New Roman" w:hAnsi="Times New Roman"/>
          <w:b/>
          <w:vanish/>
          <w:szCs w:val="24"/>
        </w:rPr>
      </w:pPr>
      <w:r w:rsidRPr="00B87687">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AE3898">
        <w:rPr>
          <w:rFonts w:ascii="Times New Roman" w:hAnsi="Times New Roman"/>
          <w:b/>
          <w:szCs w:val="24"/>
        </w:rPr>
        <w:t>190</w:t>
      </w:r>
      <w:r w:rsidR="00E06209">
        <w:rPr>
          <w:rFonts w:ascii="Times New Roman" w:hAnsi="Times New Roman"/>
          <w:b/>
          <w:szCs w:val="24"/>
        </w:rPr>
        <w:t>421</w:t>
      </w:r>
      <w:r w:rsidR="00AE3898">
        <w:rPr>
          <w:rFonts w:ascii="Times New Roman" w:hAnsi="Times New Roman"/>
          <w:b/>
          <w:szCs w:val="24"/>
        </w:rPr>
        <w:t xml:space="preserve"> </w:t>
      </w:r>
      <w:r w:rsidRPr="007466B0">
        <w:rPr>
          <w:rFonts w:ascii="Times New Roman" w:hAnsi="Times New Roman"/>
          <w:b/>
          <w:szCs w:val="24"/>
        </w:rPr>
        <w:t>ZS</w:t>
      </w:r>
      <w:r w:rsidR="00E06209">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8C6957">
        <w:rPr>
          <w:rFonts w:ascii="Times New Roman" w:hAnsi="Times New Roman"/>
          <w:b/>
          <w:szCs w:val="24"/>
        </w:rPr>
        <w:t>5</w:t>
      </w:r>
      <w:r w:rsidR="00E06209">
        <w:rPr>
          <w:rFonts w:ascii="Times New Roman" w:hAnsi="Times New Roman"/>
          <w:b/>
          <w:szCs w:val="24"/>
        </w:rPr>
        <w:t>75</w:t>
      </w:r>
      <w:r w:rsidR="00482A4B">
        <w:rPr>
          <w:rFonts w:ascii="Times New Roman" w:hAnsi="Times New Roman"/>
          <w:b/>
          <w:szCs w:val="24"/>
        </w:rPr>
        <w:t>).</w:t>
      </w:r>
    </w:p>
    <w:p w:rsidR="003B3B47" w:rsidRPr="00B87687" w:rsidRDefault="00B87687" w:rsidP="000E0C15">
      <w:pPr>
        <w:jc w:val="both"/>
        <w:rPr>
          <w:rFonts w:ascii="Times New Roman" w:hAnsi="Times New Roman"/>
          <w:b/>
          <w:vanish/>
          <w:szCs w:val="24"/>
        </w:rPr>
      </w:pPr>
      <w:bookmarkStart w:id="0" w:name="_GoBack"/>
      <w:bookmarkEnd w:id="0"/>
      <w:r w:rsidRPr="00B87687">
        <w:rPr>
          <w:rFonts w:ascii="Times New Roman" w:hAnsi="Times New Roman"/>
          <w:b/>
          <w:vanish/>
          <w:szCs w:val="24"/>
        </w:rPr>
        <w:t>..Body</w:t>
      </w:r>
    </w:p>
    <w:p w:rsidR="00B87687" w:rsidRPr="007466B0" w:rsidRDefault="00B87687"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553A30">
        <w:rPr>
          <w:rFonts w:ascii="Times New Roman" w:hAnsi="Times New Roman"/>
          <w:b/>
          <w:szCs w:val="24"/>
        </w:rPr>
        <w:t xml:space="preserve"> </w:t>
      </w:r>
      <w:r w:rsidR="00961B87" w:rsidRPr="007466B0">
        <w:rPr>
          <w:rFonts w:ascii="Times New Roman" w:hAnsi="Times New Roman"/>
          <w:b/>
          <w:szCs w:val="24"/>
        </w:rPr>
        <w:t xml:space="preserve">and </w:t>
      </w:r>
      <w:r w:rsidR="00050E1C">
        <w:rPr>
          <w:rFonts w:ascii="Times New Roman" w:hAnsi="Times New Roman"/>
          <w:b/>
          <w:szCs w:val="24"/>
        </w:rPr>
        <w:t>Moya</w:t>
      </w:r>
    </w:p>
    <w:p w:rsidR="004B1A02" w:rsidRPr="007466B0" w:rsidRDefault="004B1A02" w:rsidP="00E06209">
      <w:pPr>
        <w:jc w:val="both"/>
        <w:rPr>
          <w:rFonts w:ascii="Times New Roman" w:hAnsi="Times New Roman"/>
          <w:szCs w:val="24"/>
        </w:rPr>
      </w:pPr>
    </w:p>
    <w:p w:rsidR="003B3B47" w:rsidRPr="00EA59BE" w:rsidRDefault="00E06209" w:rsidP="00E06209">
      <w:pPr>
        <w:pStyle w:val="NoSpacing"/>
        <w:jc w:val="both"/>
        <w:rPr>
          <w:rFonts w:ascii="Times New Roman" w:hAnsi="Times New Roman"/>
          <w:snapToGrid/>
          <w:szCs w:val="24"/>
        </w:rPr>
      </w:pPr>
      <w:r w:rsidRPr="00E06209">
        <w:rPr>
          <w:rFonts w:ascii="Times New Roman" w:hAnsi="Times New Roman"/>
          <w:szCs w:val="24"/>
        </w:rPr>
        <w:tab/>
      </w:r>
      <w:r w:rsidR="00E548A3" w:rsidRPr="00E06209">
        <w:rPr>
          <w:rFonts w:ascii="Times New Roman" w:hAnsi="Times New Roman"/>
          <w:szCs w:val="24"/>
        </w:rPr>
        <w:t xml:space="preserve">WHEREAS, </w:t>
      </w:r>
      <w:r w:rsidRPr="00E06209">
        <w:rPr>
          <w:rFonts w:ascii="Times New Roman" w:hAnsi="Times New Roman"/>
          <w:szCs w:val="24"/>
        </w:rPr>
        <w:t xml:space="preserve">the New York City Department of Housing Preservation and Development, </w:t>
      </w:r>
      <w:r w:rsidR="00E548A3" w:rsidRPr="00E06209">
        <w:rPr>
          <w:rFonts w:ascii="Times New Roman" w:hAnsi="Times New Roman"/>
          <w:szCs w:val="24"/>
        </w:rPr>
        <w:t xml:space="preserve">filed an application </w:t>
      </w:r>
      <w:r w:rsidR="003B3B47" w:rsidRPr="00E06209">
        <w:rPr>
          <w:rFonts w:ascii="Times New Roman" w:hAnsi="Times New Roman"/>
          <w:szCs w:val="24"/>
        </w:rPr>
        <w:t>pursuant to Sections 197-c and 201 of the New York City Charter</w:t>
      </w:r>
      <w:r w:rsidR="00600128" w:rsidRPr="00E06209">
        <w:rPr>
          <w:rFonts w:ascii="Times New Roman" w:hAnsi="Times New Roman"/>
          <w:szCs w:val="24"/>
        </w:rPr>
        <w:t xml:space="preserve"> </w:t>
      </w:r>
      <w:r w:rsidR="00AE3898" w:rsidRPr="00E06209">
        <w:rPr>
          <w:rFonts w:ascii="Times New Roman" w:eastAsia="Calibri" w:hAnsi="Times New Roman"/>
          <w:snapToGrid/>
          <w:szCs w:val="24"/>
        </w:rPr>
        <w:t xml:space="preserve">for </w:t>
      </w:r>
      <w:r w:rsidR="00EA59BE" w:rsidRPr="00E06209">
        <w:rPr>
          <w:rFonts w:ascii="Times New Roman" w:eastAsia="Calibri" w:hAnsi="Times New Roman"/>
          <w:snapToGrid/>
          <w:szCs w:val="24"/>
        </w:rPr>
        <w:t xml:space="preserve">the </w:t>
      </w:r>
      <w:r w:rsidR="00EA59BE" w:rsidRPr="00E06209">
        <w:rPr>
          <w:rFonts w:ascii="Times New Roman" w:eastAsia="Calibri" w:hAnsi="Times New Roman"/>
          <w:szCs w:val="24"/>
        </w:rPr>
        <w:t xml:space="preserve">grant of a special permit pursuant to </w:t>
      </w:r>
      <w:r w:rsidRPr="00E06209">
        <w:rPr>
          <w:rFonts w:ascii="Times New Roman" w:hAnsi="Times New Roman"/>
          <w:snapToGrid/>
          <w:szCs w:val="24"/>
        </w:rPr>
        <w:t xml:space="preserve">the following Section 74-743(a) of the Zoning Resolution to allow the distribution of total allowable floor area without regard for zoning district lines in connection with a proposed mixed-use development, within a large-scale general development bounded by Sutter Avenue, Hinsdale Street, a line 50 feet northerly of Blake Avenue, a line midway between </w:t>
      </w:r>
      <w:proofErr w:type="spellStart"/>
      <w:r w:rsidRPr="00E06209">
        <w:rPr>
          <w:rFonts w:ascii="Times New Roman" w:hAnsi="Times New Roman"/>
          <w:snapToGrid/>
          <w:szCs w:val="24"/>
        </w:rPr>
        <w:t>Snediker</w:t>
      </w:r>
      <w:proofErr w:type="spellEnd"/>
      <w:r w:rsidRPr="00E06209">
        <w:rPr>
          <w:rFonts w:ascii="Times New Roman" w:hAnsi="Times New Roman"/>
          <w:snapToGrid/>
          <w:szCs w:val="24"/>
        </w:rPr>
        <w:t xml:space="preserve"> Avenue and Hinsdale Street, Blake Avenue, and </w:t>
      </w:r>
      <w:proofErr w:type="spellStart"/>
      <w:r w:rsidRPr="00E06209">
        <w:rPr>
          <w:rFonts w:ascii="Times New Roman" w:hAnsi="Times New Roman"/>
          <w:snapToGrid/>
          <w:szCs w:val="24"/>
        </w:rPr>
        <w:t>Snediker</w:t>
      </w:r>
      <w:proofErr w:type="spellEnd"/>
      <w:r w:rsidRPr="00E06209">
        <w:rPr>
          <w:rFonts w:ascii="Times New Roman" w:hAnsi="Times New Roman"/>
          <w:snapToGrid/>
          <w:szCs w:val="24"/>
        </w:rPr>
        <w:t xml:space="preserve"> Avenue (Block 3766, Lot 1), in R6A, R7D/C1-4, and R7D/C2-4 Districts, which in conjunction with the related actions would </w:t>
      </w:r>
      <w:r w:rsidRPr="00E06209">
        <w:rPr>
          <w:rFonts w:ascii="Times New Roman" w:eastAsia="Calibri" w:hAnsi="Times New Roman"/>
          <w:snapToGrid/>
          <w:szCs w:val="24"/>
        </w:rPr>
        <w:t>facilitate the redevelopment of an existing 192-unit family homeless shelter located at 515 Blake Avenue (Block 3766, Lot 1), with four new buildings providing 324 affordable units, a new homeless family shelter with 195 units, and commercial and community facility spaces located in 515 Blake Avenue in the East New York neighborhood of Brooklyn Community District 5</w:t>
      </w:r>
      <w:r>
        <w:rPr>
          <w:rFonts w:ascii="Times New Roman" w:eastAsia="Calibri" w:hAnsi="Times New Roman"/>
          <w:snapToGrid/>
          <w:szCs w:val="24"/>
        </w:rPr>
        <w:t xml:space="preserve"> </w:t>
      </w:r>
      <w:r w:rsidR="00F20695" w:rsidRPr="00EA59BE">
        <w:rPr>
          <w:rFonts w:ascii="Times New Roman" w:hAnsi="Times New Roman"/>
          <w:snapToGrid/>
          <w:szCs w:val="24"/>
        </w:rPr>
        <w:t xml:space="preserve">(ULURP No. C </w:t>
      </w:r>
      <w:r w:rsidR="00C27FE8" w:rsidRPr="00EA59BE">
        <w:rPr>
          <w:rFonts w:ascii="Times New Roman" w:hAnsi="Times New Roman"/>
          <w:snapToGrid/>
          <w:szCs w:val="24"/>
        </w:rPr>
        <w:t>190</w:t>
      </w:r>
      <w:r>
        <w:rPr>
          <w:rFonts w:ascii="Times New Roman" w:hAnsi="Times New Roman"/>
          <w:snapToGrid/>
          <w:szCs w:val="24"/>
        </w:rPr>
        <w:t>421</w:t>
      </w:r>
      <w:r w:rsidR="00F20695" w:rsidRPr="00EA59BE">
        <w:rPr>
          <w:rFonts w:ascii="Times New Roman" w:hAnsi="Times New Roman"/>
          <w:snapToGrid/>
          <w:szCs w:val="24"/>
        </w:rPr>
        <w:t xml:space="preserve"> ZS</w:t>
      </w:r>
      <w:r>
        <w:rPr>
          <w:rFonts w:ascii="Times New Roman" w:hAnsi="Times New Roman"/>
          <w:snapToGrid/>
          <w:szCs w:val="24"/>
        </w:rPr>
        <w:t>K</w:t>
      </w:r>
      <w:r w:rsidR="00F20695" w:rsidRPr="00EA59BE">
        <w:rPr>
          <w:rFonts w:ascii="Times New Roman" w:hAnsi="Times New Roman"/>
          <w:snapToGrid/>
          <w:szCs w:val="24"/>
        </w:rPr>
        <w:t xml:space="preserve">) </w:t>
      </w:r>
      <w:r w:rsidR="003B3B47" w:rsidRPr="00EA59BE">
        <w:rPr>
          <w:rFonts w:ascii="Times New Roman" w:hAnsi="Times New Roman"/>
          <w:snapToGrid/>
          <w:szCs w:val="24"/>
        </w:rPr>
        <w:t>(the “Application”);</w:t>
      </w:r>
    </w:p>
    <w:p w:rsidR="00105B53" w:rsidRPr="007466B0" w:rsidRDefault="00105B53" w:rsidP="00A67829">
      <w:pPr>
        <w:ind w:firstLine="720"/>
        <w:jc w:val="both"/>
        <w:rPr>
          <w:rFonts w:ascii="Times New Roman" w:hAnsi="Times New Roman"/>
          <w:snapToGrid/>
          <w:szCs w:val="24"/>
        </w:rPr>
      </w:pPr>
    </w:p>
    <w:p w:rsidR="00E548A3" w:rsidRPr="00FF43E5" w:rsidRDefault="00E548A3" w:rsidP="006D0364">
      <w:pPr>
        <w:ind w:firstLine="720"/>
        <w:jc w:val="both"/>
        <w:rPr>
          <w:rFonts w:ascii="Times New Roman" w:hAnsi="Times New Roman"/>
          <w:szCs w:val="24"/>
        </w:rPr>
      </w:pPr>
      <w:r w:rsidRPr="00FF43E5">
        <w:rPr>
          <w:rFonts w:ascii="Times New Roman" w:hAnsi="Times New Roman"/>
          <w:szCs w:val="24"/>
        </w:rPr>
        <w:t xml:space="preserve">WHEREAS, the City Planning Commission filed with the Council on </w:t>
      </w:r>
      <w:r w:rsidR="00E06209">
        <w:rPr>
          <w:rFonts w:ascii="Times New Roman" w:hAnsi="Times New Roman"/>
          <w:szCs w:val="24"/>
        </w:rPr>
        <w:t>October 25</w:t>
      </w:r>
      <w:r w:rsidRPr="00FF43E5">
        <w:rPr>
          <w:rFonts w:ascii="Times New Roman" w:hAnsi="Times New Roman"/>
          <w:szCs w:val="24"/>
        </w:rPr>
        <w:t xml:space="preserve">, 2019, its decision dated </w:t>
      </w:r>
      <w:r w:rsidR="00E06209">
        <w:rPr>
          <w:rFonts w:ascii="Times New Roman" w:hAnsi="Times New Roman"/>
          <w:szCs w:val="24"/>
        </w:rPr>
        <w:t>October 16</w:t>
      </w:r>
      <w:r w:rsidRPr="00FF43E5">
        <w:rPr>
          <w:rFonts w:ascii="Times New Roman" w:hAnsi="Times New Roman"/>
          <w:szCs w:val="24"/>
        </w:rPr>
        <w:t xml:space="preserve">, 2019 (the </w:t>
      </w:r>
      <w:r w:rsidR="006D0364" w:rsidRPr="00EA59BE">
        <w:rPr>
          <w:rFonts w:ascii="Times New Roman" w:hAnsi="Times New Roman"/>
          <w:snapToGrid/>
          <w:szCs w:val="24"/>
        </w:rPr>
        <w:t>“</w:t>
      </w:r>
      <w:r w:rsidRPr="00FF43E5">
        <w:rPr>
          <w:rFonts w:ascii="Times New Roman" w:hAnsi="Times New Roman"/>
          <w:szCs w:val="24"/>
        </w:rPr>
        <w:t>Decision</w:t>
      </w:r>
      <w:r w:rsidR="006D0364" w:rsidRPr="00EA59BE">
        <w:rPr>
          <w:rFonts w:ascii="Times New Roman" w:hAnsi="Times New Roman"/>
          <w:snapToGrid/>
          <w:szCs w:val="24"/>
        </w:rPr>
        <w:t>”</w:t>
      </w:r>
      <w:r w:rsidRPr="00FF43E5">
        <w:rPr>
          <w:rFonts w:ascii="Times New Roman" w:hAnsi="Times New Roman"/>
          <w:szCs w:val="24"/>
        </w:rPr>
        <w:t>) on the Application;</w:t>
      </w:r>
    </w:p>
    <w:p w:rsidR="00E548A3" w:rsidRPr="00FF43E5" w:rsidRDefault="00E548A3" w:rsidP="00FF43E5">
      <w:pPr>
        <w:pStyle w:val="NoSpacing"/>
        <w:tabs>
          <w:tab w:val="left" w:pos="720"/>
        </w:tabs>
        <w:jc w:val="both"/>
        <w:rPr>
          <w:rFonts w:ascii="Times New Roman" w:hAnsi="Times New Roman"/>
          <w:szCs w:val="24"/>
        </w:rPr>
      </w:pPr>
    </w:p>
    <w:p w:rsidR="00E06209" w:rsidRPr="00B97B85" w:rsidRDefault="00E06209" w:rsidP="00E06209">
      <w:pPr>
        <w:tabs>
          <w:tab w:val="left" w:pos="720"/>
        </w:tabs>
        <w:jc w:val="both"/>
        <w:rPr>
          <w:rFonts w:ascii="Times New Roman" w:eastAsia="Calibri" w:hAnsi="Times New Roman"/>
          <w:snapToGrid/>
          <w:szCs w:val="24"/>
        </w:rPr>
      </w:pPr>
      <w:r>
        <w:rPr>
          <w:rFonts w:ascii="Times New Roman" w:hAnsi="Times New Roman"/>
          <w:szCs w:val="24"/>
        </w:rPr>
        <w:tab/>
      </w:r>
      <w:r w:rsidR="00F20695" w:rsidRPr="00FF43E5">
        <w:rPr>
          <w:rFonts w:ascii="Times New Roman" w:hAnsi="Times New Roman"/>
          <w:szCs w:val="24"/>
        </w:rPr>
        <w:t xml:space="preserve">WHEREAS, the Application is related to applications </w:t>
      </w:r>
      <w:r w:rsidRPr="00B97B85">
        <w:rPr>
          <w:rFonts w:ascii="Times New Roman" w:eastAsia="Calibri" w:hAnsi="Times New Roman"/>
          <w:snapToGrid/>
          <w:szCs w:val="24"/>
        </w:rPr>
        <w:t>C 190409 HAK</w:t>
      </w:r>
      <w:r w:rsidRPr="00E06209">
        <w:rPr>
          <w:rFonts w:ascii="Times New Roman" w:eastAsia="Calibri" w:hAnsi="Times New Roman"/>
          <w:snapToGrid/>
          <w:szCs w:val="24"/>
        </w:rPr>
        <w:t xml:space="preserve"> (L.U. No. 572), </w:t>
      </w:r>
      <w:r w:rsidRPr="00B97B85">
        <w:rPr>
          <w:rFonts w:ascii="Times New Roman" w:eastAsia="Calibri" w:hAnsi="Times New Roman"/>
          <w:snapToGrid/>
          <w:szCs w:val="24"/>
        </w:rPr>
        <w:t>UDAAP designation, project approval, and disposition of City-owned property to dispose of the subject property</w:t>
      </w:r>
      <w:r w:rsidRPr="00E06209">
        <w:rPr>
          <w:rFonts w:ascii="Times New Roman" w:eastAsia="Calibri" w:hAnsi="Times New Roman"/>
          <w:snapToGrid/>
          <w:szCs w:val="24"/>
        </w:rPr>
        <w:t xml:space="preserve">; </w:t>
      </w:r>
      <w:r w:rsidRPr="00B97B85">
        <w:rPr>
          <w:rFonts w:ascii="Times New Roman" w:eastAsia="Calibri" w:hAnsi="Times New Roman"/>
          <w:snapToGrid/>
          <w:szCs w:val="24"/>
        </w:rPr>
        <w:t>C 190410 ZMK</w:t>
      </w:r>
      <w:r w:rsidRPr="00E06209">
        <w:rPr>
          <w:rFonts w:ascii="Times New Roman" w:eastAsia="Calibri" w:hAnsi="Times New Roman"/>
          <w:snapToGrid/>
          <w:szCs w:val="24"/>
        </w:rPr>
        <w:t xml:space="preserve"> (L.U. No. 573), a z</w:t>
      </w:r>
      <w:r w:rsidRPr="00B97B85">
        <w:rPr>
          <w:rFonts w:ascii="Times New Roman" w:eastAsia="Arial Unicode MS" w:hAnsi="Times New Roman"/>
          <w:bCs/>
          <w:noProof/>
          <w:snapToGrid/>
          <w:szCs w:val="24"/>
        </w:rPr>
        <w:t xml:space="preserve">oning </w:t>
      </w:r>
      <w:r w:rsidRPr="00E06209">
        <w:rPr>
          <w:rFonts w:ascii="Times New Roman" w:eastAsia="Arial Unicode MS" w:hAnsi="Times New Roman"/>
          <w:bCs/>
          <w:noProof/>
          <w:snapToGrid/>
          <w:szCs w:val="24"/>
        </w:rPr>
        <w:t>m</w:t>
      </w:r>
      <w:r w:rsidRPr="00B97B85">
        <w:rPr>
          <w:rFonts w:ascii="Times New Roman" w:eastAsia="Arial Unicode MS" w:hAnsi="Times New Roman"/>
          <w:bCs/>
          <w:noProof/>
          <w:snapToGrid/>
          <w:szCs w:val="24"/>
        </w:rPr>
        <w:t xml:space="preserve">ap </w:t>
      </w:r>
      <w:r w:rsidRPr="00E06209">
        <w:rPr>
          <w:rFonts w:ascii="Times New Roman" w:eastAsia="Arial Unicode MS" w:hAnsi="Times New Roman"/>
          <w:bCs/>
          <w:noProof/>
          <w:snapToGrid/>
          <w:szCs w:val="24"/>
        </w:rPr>
        <w:t>a</w:t>
      </w:r>
      <w:r w:rsidRPr="00B97B85">
        <w:rPr>
          <w:rFonts w:ascii="Times New Roman" w:eastAsia="Arial Unicode MS" w:hAnsi="Times New Roman"/>
          <w:bCs/>
          <w:noProof/>
          <w:snapToGrid/>
          <w:szCs w:val="24"/>
        </w:rPr>
        <w:t>mendment to change a C4-3 district, an R6 district and an R6/C2-3 district to an R6A district, an R7D/C1-4 district and an R7D/C2-4 district on the entirety of Block 3766</w:t>
      </w:r>
      <w:r w:rsidRPr="00E06209">
        <w:rPr>
          <w:rFonts w:ascii="Times New Roman" w:eastAsia="Arial Unicode MS" w:hAnsi="Times New Roman"/>
          <w:bCs/>
          <w:noProof/>
          <w:snapToGrid/>
          <w:szCs w:val="24"/>
        </w:rPr>
        <w:t xml:space="preserve">; </w:t>
      </w:r>
      <w:r>
        <w:rPr>
          <w:rFonts w:ascii="Times New Roman" w:eastAsia="Arial Unicode MS" w:hAnsi="Times New Roman"/>
          <w:bCs/>
          <w:noProof/>
          <w:snapToGrid/>
          <w:szCs w:val="24"/>
        </w:rPr>
        <w:t xml:space="preserve">and </w:t>
      </w:r>
      <w:r w:rsidRPr="00B97B85">
        <w:rPr>
          <w:rFonts w:ascii="Times New Roman" w:eastAsia="Calibri" w:hAnsi="Times New Roman"/>
          <w:snapToGrid/>
          <w:szCs w:val="24"/>
        </w:rPr>
        <w:t>N 190411 ZRK</w:t>
      </w:r>
      <w:r w:rsidRPr="00E06209">
        <w:rPr>
          <w:rFonts w:ascii="Times New Roman" w:eastAsia="Calibri" w:hAnsi="Times New Roman"/>
          <w:snapToGrid/>
          <w:szCs w:val="24"/>
        </w:rPr>
        <w:t xml:space="preserve"> (L.U. No. 574), a z</w:t>
      </w:r>
      <w:r w:rsidRPr="00B97B85">
        <w:rPr>
          <w:rFonts w:ascii="Times New Roman" w:eastAsia="Calibri" w:hAnsi="Times New Roman"/>
          <w:snapToGrid/>
          <w:szCs w:val="24"/>
        </w:rPr>
        <w:t xml:space="preserve">oning </w:t>
      </w:r>
      <w:r w:rsidRPr="00E06209">
        <w:rPr>
          <w:rFonts w:ascii="Times New Roman" w:eastAsia="Calibri" w:hAnsi="Times New Roman"/>
          <w:snapToGrid/>
          <w:szCs w:val="24"/>
        </w:rPr>
        <w:t>t</w:t>
      </w:r>
      <w:r w:rsidRPr="00B97B85">
        <w:rPr>
          <w:rFonts w:ascii="Times New Roman" w:eastAsia="Calibri" w:hAnsi="Times New Roman"/>
          <w:snapToGrid/>
          <w:szCs w:val="24"/>
        </w:rPr>
        <w:t xml:space="preserve">ext </w:t>
      </w:r>
      <w:r w:rsidRPr="00E06209">
        <w:rPr>
          <w:rFonts w:ascii="Times New Roman" w:eastAsia="Calibri" w:hAnsi="Times New Roman"/>
          <w:snapToGrid/>
          <w:szCs w:val="24"/>
        </w:rPr>
        <w:t>a</w:t>
      </w:r>
      <w:r w:rsidRPr="00B97B85">
        <w:rPr>
          <w:rFonts w:ascii="Times New Roman" w:eastAsia="Calibri" w:hAnsi="Times New Roman"/>
          <w:snapToGrid/>
          <w:szCs w:val="24"/>
        </w:rPr>
        <w:t xml:space="preserve">mendment to designate a Mandatory Inclusionary Housing Area </w:t>
      </w:r>
      <w:r w:rsidRPr="00B97B85">
        <w:rPr>
          <w:rFonts w:ascii="Times New Roman" w:eastAsia="Arial Unicode MS" w:hAnsi="Times New Roman"/>
          <w:bCs/>
          <w:noProof/>
          <w:snapToGrid/>
          <w:szCs w:val="24"/>
        </w:rPr>
        <w:t>on the entirety of Block 3766</w:t>
      </w:r>
      <w:r w:rsidRPr="00E06209">
        <w:rPr>
          <w:rFonts w:ascii="Times New Roman" w:eastAsia="Arial Unicode MS" w:hAnsi="Times New Roman"/>
          <w:bCs/>
          <w:noProof/>
          <w:snapToGrid/>
          <w:szCs w:val="24"/>
        </w:rPr>
        <w:t>;</w:t>
      </w:r>
      <w:r>
        <w:rPr>
          <w:rFonts w:ascii="Times New Roman" w:eastAsia="Arial Unicode MS" w:hAnsi="Times New Roman"/>
          <w:bCs/>
          <w:noProof/>
          <w:snapToGrid/>
          <w:szCs w:val="24"/>
        </w:rPr>
        <w:t xml:space="preserve"> </w:t>
      </w:r>
    </w:p>
    <w:p w:rsidR="00FF43E5" w:rsidRPr="00FF43E5" w:rsidRDefault="00FF43E5" w:rsidP="00FF43E5">
      <w:pPr>
        <w:pStyle w:val="NoSpacing"/>
        <w:jc w:val="both"/>
        <w:rPr>
          <w:rFonts w:ascii="Times New Roman" w:eastAsia="Calibri" w:hAnsi="Times New Roman"/>
          <w:snapToGrid/>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t>d of the City Charter;</w:t>
      </w:r>
    </w:p>
    <w:p w:rsidR="00841B9C" w:rsidRPr="007466B0" w:rsidRDefault="00841B9C" w:rsidP="00FF43E5">
      <w:pPr>
        <w:jc w:val="both"/>
        <w:rPr>
          <w:rFonts w:ascii="Times New Roman" w:hAnsi="Times New Roman"/>
          <w:szCs w:val="24"/>
        </w:rPr>
      </w:pPr>
    </w:p>
    <w:p w:rsidR="00841B9C" w:rsidRPr="007466B0" w:rsidRDefault="00841B9C" w:rsidP="006D0364">
      <w:pPr>
        <w:ind w:firstLine="720"/>
        <w:jc w:val="both"/>
        <w:rPr>
          <w:rFonts w:ascii="Times New Roman" w:hAnsi="Times New Roman"/>
          <w:szCs w:val="24"/>
        </w:rPr>
      </w:pP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E06209" w:rsidRPr="00E06209">
        <w:rPr>
          <w:rFonts w:ascii="Times New Roman" w:hAnsi="Times New Roman"/>
          <w:snapToGrid/>
          <w:szCs w:val="24"/>
        </w:rPr>
        <w:t>74-903</w:t>
      </w:r>
      <w:r w:rsidR="00E06209">
        <w:rPr>
          <w:rFonts w:ascii="Times New Roman" w:hAnsi="Times New Roman"/>
          <w:snapToGrid/>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FF43E5">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w:t>
      </w:r>
      <w:r w:rsidR="00BE42B1">
        <w:rPr>
          <w:rFonts w:ascii="Times New Roman" w:hAnsi="Times New Roman"/>
          <w:szCs w:val="24"/>
        </w:rPr>
        <w:t xml:space="preserve">the Decision and Application on </w:t>
      </w:r>
      <w:r w:rsidR="00E06209">
        <w:rPr>
          <w:rFonts w:ascii="Times New Roman" w:hAnsi="Times New Roman"/>
          <w:szCs w:val="24"/>
        </w:rPr>
        <w:t>November 4</w:t>
      </w:r>
      <w:r w:rsidR="00B53885">
        <w:rPr>
          <w:rFonts w:ascii="Times New Roman" w:hAnsi="Times New Roman"/>
          <w:szCs w:val="24"/>
        </w:rPr>
        <w:t>, 201</w:t>
      </w:r>
      <w:r w:rsidR="00E06209">
        <w:rPr>
          <w:rFonts w:ascii="Times New Roman" w:hAnsi="Times New Roman"/>
          <w:szCs w:val="24"/>
        </w:rPr>
        <w:t>9</w:t>
      </w:r>
      <w:r w:rsidR="00125C42" w:rsidRPr="007466B0">
        <w:rPr>
          <w:rFonts w:ascii="Times New Roman" w:hAnsi="Times New Roman"/>
          <w:szCs w:val="24"/>
        </w:rPr>
        <w:t>;</w:t>
      </w:r>
    </w:p>
    <w:p w:rsidR="003F3680" w:rsidRPr="007466B0" w:rsidRDefault="003F3680" w:rsidP="00FF43E5">
      <w:pPr>
        <w:jc w:val="both"/>
        <w:rPr>
          <w:rFonts w:ascii="Times New Roman" w:hAnsi="Times New Roman"/>
          <w:szCs w:val="24"/>
        </w:rPr>
      </w:pPr>
    </w:p>
    <w:p w:rsidR="00600128" w:rsidRPr="007466B0" w:rsidRDefault="00600128" w:rsidP="006D0364">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FF43E5">
      <w:pPr>
        <w:tabs>
          <w:tab w:val="left" w:pos="-1440"/>
        </w:tabs>
        <w:jc w:val="both"/>
        <w:rPr>
          <w:rFonts w:ascii="Times New Roman" w:hAnsi="Times New Roman"/>
          <w:szCs w:val="24"/>
        </w:rPr>
      </w:pPr>
    </w:p>
    <w:p w:rsidR="004D298D" w:rsidRPr="00DC45F2" w:rsidRDefault="004D298D" w:rsidP="004D298D">
      <w:pPr>
        <w:jc w:val="both"/>
        <w:rPr>
          <w:rFonts w:ascii="Times New Roman" w:hAnsi="Times New Roman"/>
          <w:szCs w:val="24"/>
        </w:rPr>
      </w:pPr>
      <w:r w:rsidRPr="00DC45F2">
        <w:rPr>
          <w:rFonts w:ascii="Times New Roman" w:hAnsi="Times New Roman"/>
          <w:szCs w:val="24"/>
        </w:rPr>
        <w:tab/>
        <w:t xml:space="preserve">WHEREAS, the Council has considered the relevant environmental issues, including the negative declaration issued on </w:t>
      </w:r>
      <w:r>
        <w:rPr>
          <w:rFonts w:ascii="Times New Roman" w:hAnsi="Times New Roman"/>
          <w:szCs w:val="24"/>
        </w:rPr>
        <w:t>May 16, 2019</w:t>
      </w:r>
      <w:r w:rsidRPr="00DC45F2">
        <w:rPr>
          <w:rFonts w:ascii="Times New Roman" w:hAnsi="Times New Roman"/>
          <w:szCs w:val="24"/>
        </w:rPr>
        <w:t xml:space="preserve"> (CEQR No. </w:t>
      </w:r>
      <w:r w:rsidRPr="004B3E93">
        <w:rPr>
          <w:rFonts w:ascii="Times New Roman" w:eastAsia="Calibri" w:hAnsi="Times New Roman"/>
          <w:snapToGrid/>
          <w:szCs w:val="24"/>
        </w:rPr>
        <w:t>19HPD058K</w:t>
      </w:r>
      <w:r w:rsidRPr="00DC45F2">
        <w:rPr>
          <w:rFonts w:ascii="Times New Roman" w:hAnsi="Times New Roman"/>
          <w:szCs w:val="24"/>
        </w:rPr>
        <w:t>) (the “Negative Declaration”).</w:t>
      </w:r>
    </w:p>
    <w:p w:rsidR="004D298D" w:rsidRPr="00DC45F2" w:rsidRDefault="004D298D" w:rsidP="004D298D">
      <w:pPr>
        <w:jc w:val="both"/>
        <w:rPr>
          <w:rFonts w:ascii="Times New Roman" w:hAnsi="Times New Roman"/>
          <w:szCs w:val="24"/>
        </w:rPr>
      </w:pPr>
    </w:p>
    <w:p w:rsidR="004D298D" w:rsidRDefault="004D298D" w:rsidP="004D298D">
      <w:pPr>
        <w:jc w:val="both"/>
        <w:rPr>
          <w:rFonts w:ascii="Times New Roman" w:hAnsi="Times New Roman"/>
          <w:szCs w:val="24"/>
        </w:rPr>
      </w:pPr>
      <w:r w:rsidRPr="00DC45F2">
        <w:rPr>
          <w:rFonts w:ascii="Times New Roman" w:hAnsi="Times New Roman"/>
          <w:szCs w:val="24"/>
        </w:rPr>
        <w:t>RESOLVED:</w:t>
      </w:r>
    </w:p>
    <w:p w:rsidR="004D298D" w:rsidRPr="00DC45F2" w:rsidRDefault="004D298D" w:rsidP="004D298D">
      <w:pPr>
        <w:jc w:val="both"/>
        <w:rPr>
          <w:rFonts w:ascii="Times New Roman" w:hAnsi="Times New Roman"/>
          <w:szCs w:val="24"/>
        </w:rPr>
      </w:pPr>
    </w:p>
    <w:p w:rsidR="004D298D" w:rsidRPr="00DC45F2" w:rsidRDefault="004D298D" w:rsidP="004D298D">
      <w:pPr>
        <w:jc w:val="both"/>
        <w:rPr>
          <w:rFonts w:ascii="Times New Roman" w:hAnsi="Times New Roman"/>
          <w:szCs w:val="24"/>
        </w:rPr>
      </w:pPr>
      <w:r w:rsidRPr="00DC45F2">
        <w:rPr>
          <w:rFonts w:ascii="Times New Roman" w:hAnsi="Times New Roman"/>
          <w:szCs w:val="24"/>
        </w:rPr>
        <w:tab/>
        <w:t>The Council finds that the action described herein will have no significant impact on the environment as set for</w:t>
      </w:r>
      <w:r>
        <w:rPr>
          <w:rFonts w:ascii="Times New Roman" w:hAnsi="Times New Roman"/>
          <w:szCs w:val="24"/>
        </w:rPr>
        <w:t>th</w:t>
      </w:r>
      <w:r w:rsidRPr="00DC45F2">
        <w:rPr>
          <w:rFonts w:ascii="Times New Roman" w:hAnsi="Times New Roman"/>
          <w:szCs w:val="24"/>
        </w:rPr>
        <w:t xml:space="preserve"> in the Negative Declaration.</w:t>
      </w:r>
    </w:p>
    <w:p w:rsidR="00FF43E5" w:rsidRDefault="00FF43E5" w:rsidP="00FF43E5">
      <w:pPr>
        <w:tabs>
          <w:tab w:val="left" w:pos="-1440"/>
        </w:tabs>
        <w:jc w:val="both"/>
        <w:rPr>
          <w:rFonts w:ascii="Times New Roman" w:hAnsi="Times New Roman"/>
          <w:szCs w:val="24"/>
        </w:rPr>
      </w:pPr>
    </w:p>
    <w:p w:rsidR="006D5263" w:rsidRDefault="00600128" w:rsidP="004C19D7">
      <w:pPr>
        <w:ind w:firstLine="720"/>
        <w:jc w:val="both"/>
        <w:rPr>
          <w:rFonts w:ascii="Times New Roman" w:hAnsi="Times New Roman"/>
          <w:szCs w:val="24"/>
        </w:rPr>
      </w:pPr>
      <w:r w:rsidRPr="006D0364">
        <w:rPr>
          <w:rFonts w:ascii="Times New Roman" w:hAnsi="Times New Roman"/>
          <w:snapToGrid/>
          <w:szCs w:val="24"/>
        </w:rPr>
        <w:t>Pursuant to Sections 197</w:t>
      </w:r>
      <w:r w:rsidRPr="006D0364">
        <w:rPr>
          <w:rFonts w:ascii="Times New Roman" w:hAnsi="Times New Roman"/>
          <w:snapToGrid/>
          <w:szCs w:val="24"/>
        </w:rPr>
        <w:noBreakHyphen/>
        <w:t>d and 200 of the City Charter</w:t>
      </w:r>
      <w:r w:rsidR="005A3FF5" w:rsidRPr="006D0364">
        <w:rPr>
          <w:rFonts w:ascii="Times New Roman" w:hAnsi="Times New Roman"/>
          <w:snapToGrid/>
          <w:szCs w:val="24"/>
        </w:rPr>
        <w:t xml:space="preserve"> and</w:t>
      </w:r>
      <w:r w:rsidRPr="006D0364">
        <w:rPr>
          <w:rFonts w:ascii="Times New Roman" w:hAnsi="Times New Roman"/>
          <w:snapToGrid/>
          <w:szCs w:val="24"/>
        </w:rPr>
        <w:t xml:space="preserve"> on the basis of the Decision and</w:t>
      </w:r>
      <w:r w:rsidRPr="007466B0">
        <w:rPr>
          <w:rFonts w:ascii="Times New Roman" w:hAnsi="Times New Roman"/>
          <w:szCs w:val="24"/>
        </w:rPr>
        <w:t xml:space="preserve">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C103F4">
        <w:rPr>
          <w:rFonts w:ascii="Times New Roman" w:hAnsi="Times New Roman"/>
          <w:szCs w:val="24"/>
        </w:rPr>
        <w:t>190</w:t>
      </w:r>
      <w:r w:rsidR="004D298D">
        <w:rPr>
          <w:rFonts w:ascii="Times New Roman" w:hAnsi="Times New Roman"/>
          <w:szCs w:val="24"/>
        </w:rPr>
        <w:t>421</w:t>
      </w:r>
      <w:r w:rsidR="005A3FF5" w:rsidRPr="007466B0">
        <w:rPr>
          <w:rFonts w:ascii="Times New Roman" w:hAnsi="Times New Roman"/>
          <w:szCs w:val="24"/>
        </w:rPr>
        <w:t xml:space="preserve"> Z</w:t>
      </w:r>
      <w:r w:rsidR="001C00C2" w:rsidRPr="007466B0">
        <w:rPr>
          <w:rFonts w:ascii="Times New Roman" w:hAnsi="Times New Roman"/>
          <w:szCs w:val="24"/>
        </w:rPr>
        <w:t>S</w:t>
      </w:r>
      <w:r w:rsidR="004D298D">
        <w:rPr>
          <w:rFonts w:ascii="Times New Roman" w:hAnsi="Times New Roman"/>
          <w:szCs w:val="24"/>
        </w:rPr>
        <w:t>K</w:t>
      </w:r>
      <w:r w:rsidR="005A3FF5" w:rsidRPr="007466B0">
        <w:rPr>
          <w:rFonts w:ascii="Times New Roman" w:hAnsi="Times New Roman"/>
          <w:szCs w:val="24"/>
        </w:rPr>
        <w:t>, incorporated by reference herein</w:t>
      </w:r>
      <w:r w:rsidR="00AE35E9" w:rsidRPr="00226572">
        <w:rPr>
          <w:rFonts w:ascii="Times New Roman" w:hAnsi="Times New Roman"/>
        </w:rPr>
        <w:t xml:space="preserve">, </w:t>
      </w:r>
      <w:r w:rsidR="00AE35E9">
        <w:rPr>
          <w:rFonts w:ascii="Times New Roman" w:hAnsi="Times New Roman"/>
        </w:rPr>
        <w:t>and the record before the Council</w:t>
      </w:r>
      <w:r w:rsidRPr="007466B0">
        <w:rPr>
          <w:rFonts w:ascii="Times New Roman" w:hAnsi="Times New Roman"/>
          <w:szCs w:val="24"/>
        </w:rPr>
        <w:t>,</w:t>
      </w:r>
      <w:r w:rsidR="00726E50">
        <w:rPr>
          <w:rFonts w:ascii="Times New Roman" w:hAnsi="Times New Roman"/>
          <w:szCs w:val="24"/>
        </w:rPr>
        <w:t xml:space="preserve"> the Council </w:t>
      </w:r>
      <w:r w:rsidRPr="007466B0">
        <w:rPr>
          <w:rFonts w:ascii="Times New Roman" w:hAnsi="Times New Roman"/>
          <w:szCs w:val="24"/>
        </w:rPr>
        <w:t xml:space="preserve">approves the </w:t>
      </w:r>
      <w:r w:rsidR="003E2334" w:rsidRPr="007466B0">
        <w:rPr>
          <w:rFonts w:ascii="Times New Roman" w:hAnsi="Times New Roman"/>
          <w:szCs w:val="24"/>
        </w:rPr>
        <w:t>Decision of the City Planning Commission</w:t>
      </w:r>
      <w:r w:rsidR="004F6D87">
        <w:rPr>
          <w:rFonts w:ascii="Times New Roman" w:hAnsi="Times New Roman"/>
          <w:szCs w:val="24"/>
        </w:rPr>
        <w:t>.</w:t>
      </w:r>
    </w:p>
    <w:p w:rsidR="00F25710" w:rsidRPr="004D298D" w:rsidRDefault="00F25710" w:rsidP="004D298D">
      <w:pPr>
        <w:tabs>
          <w:tab w:val="left" w:pos="720"/>
        </w:tabs>
        <w:ind w:left="720" w:hanging="720"/>
        <w:jc w:val="both"/>
        <w:rPr>
          <w:rFonts w:ascii="Times New Roman" w:eastAsia="Batang" w:hAnsi="Times New Roman"/>
          <w:szCs w:val="24"/>
          <w:lang w:eastAsia="ko-KR"/>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eastAsia="Calibri" w:hAnsi="Times New Roman"/>
          <w:snapToGrid/>
          <w:szCs w:val="24"/>
        </w:rPr>
        <w:t>The property that is the subject of this application (C 190421 ZSK) shall be developed in size and arrangement substantially in accordance with the dimensions, specifications and zoning computations indicated on the following approved drawings, prepared by Curtis + Ginsberg Architects LLP, filed with this application and incorporated in this resolution:</w:t>
      </w:r>
    </w:p>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tbl>
      <w:tblPr>
        <w:tblW w:w="0" w:type="auto"/>
        <w:tblInd w:w="720" w:type="dxa"/>
        <w:tblLook w:val="04A0" w:firstRow="1" w:lastRow="0" w:firstColumn="1" w:lastColumn="0" w:noHBand="0" w:noVBand="1"/>
      </w:tblPr>
      <w:tblGrid>
        <w:gridCol w:w="1165"/>
        <w:gridCol w:w="4556"/>
        <w:gridCol w:w="2909"/>
      </w:tblGrid>
      <w:tr w:rsidR="004D298D" w:rsidRPr="004D298D" w:rsidTr="00B206DE">
        <w:tc>
          <w:tcPr>
            <w:tcW w:w="1165"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u w:val="single"/>
              </w:rPr>
            </w:pPr>
            <w:proofErr w:type="spellStart"/>
            <w:r w:rsidRPr="004D298D">
              <w:rPr>
                <w:rFonts w:ascii="Times New Roman" w:eastAsia="Calibri" w:hAnsi="Times New Roman"/>
                <w:snapToGrid/>
                <w:szCs w:val="24"/>
                <w:u w:val="single"/>
              </w:rPr>
              <w:t>Dwg</w:t>
            </w:r>
            <w:proofErr w:type="spellEnd"/>
            <w:r w:rsidRPr="004D298D">
              <w:rPr>
                <w:rFonts w:ascii="Times New Roman" w:eastAsia="Calibri" w:hAnsi="Times New Roman"/>
                <w:snapToGrid/>
                <w:szCs w:val="24"/>
                <w:u w:val="single"/>
              </w:rPr>
              <w:t>. No.</w:t>
            </w:r>
          </w:p>
        </w:tc>
        <w:tc>
          <w:tcPr>
            <w:tcW w:w="4556"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u w:val="single"/>
              </w:rPr>
            </w:pPr>
            <w:r w:rsidRPr="004D298D">
              <w:rPr>
                <w:rFonts w:ascii="Times New Roman" w:eastAsia="Calibri" w:hAnsi="Times New Roman"/>
                <w:snapToGrid/>
                <w:szCs w:val="24"/>
                <w:u w:val="single"/>
              </w:rPr>
              <w:t>Title</w:t>
            </w:r>
          </w:p>
        </w:tc>
        <w:tc>
          <w:tcPr>
            <w:tcW w:w="2909"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u w:val="single"/>
              </w:rPr>
            </w:pPr>
            <w:r w:rsidRPr="004D298D">
              <w:rPr>
                <w:rFonts w:ascii="Times New Roman" w:eastAsia="Calibri" w:hAnsi="Times New Roman"/>
                <w:snapToGrid/>
                <w:szCs w:val="24"/>
                <w:u w:val="single"/>
              </w:rPr>
              <w:t>Last Date Revised</w:t>
            </w:r>
          </w:p>
        </w:tc>
      </w:tr>
      <w:tr w:rsidR="004D298D" w:rsidRPr="004D298D" w:rsidTr="00B206DE">
        <w:tc>
          <w:tcPr>
            <w:tcW w:w="1165"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rPr>
            </w:pPr>
            <w:r w:rsidRPr="004D298D">
              <w:rPr>
                <w:rFonts w:ascii="Times New Roman" w:eastAsia="Calibri" w:hAnsi="Times New Roman"/>
                <w:snapToGrid/>
                <w:szCs w:val="24"/>
              </w:rPr>
              <w:t>U-001</w:t>
            </w:r>
          </w:p>
        </w:tc>
        <w:tc>
          <w:tcPr>
            <w:tcW w:w="4556"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proofErr w:type="spellStart"/>
            <w:r w:rsidRPr="004D298D">
              <w:rPr>
                <w:rFonts w:ascii="Times New Roman" w:eastAsia="Calibri" w:hAnsi="Times New Roman"/>
                <w:snapToGrid/>
                <w:szCs w:val="24"/>
                <w:lang w:val="es-VE"/>
              </w:rPr>
              <w:t>Site</w:t>
            </w:r>
            <w:proofErr w:type="spellEnd"/>
            <w:r w:rsidRPr="004D298D">
              <w:rPr>
                <w:rFonts w:ascii="Times New Roman" w:eastAsia="Calibri" w:hAnsi="Times New Roman"/>
                <w:snapToGrid/>
                <w:szCs w:val="24"/>
                <w:lang w:val="es-VE"/>
              </w:rPr>
              <w:t xml:space="preserve"> Plan</w:t>
            </w:r>
          </w:p>
        </w:tc>
        <w:tc>
          <w:tcPr>
            <w:tcW w:w="2909"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05/15/2019</w:t>
            </w:r>
          </w:p>
        </w:tc>
      </w:tr>
      <w:tr w:rsidR="004D298D" w:rsidRPr="004D298D" w:rsidTr="00B206DE">
        <w:tc>
          <w:tcPr>
            <w:tcW w:w="1165"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Z-001</w:t>
            </w:r>
          </w:p>
        </w:tc>
        <w:tc>
          <w:tcPr>
            <w:tcW w:w="4556"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proofErr w:type="spellStart"/>
            <w:r w:rsidRPr="004D298D">
              <w:rPr>
                <w:rFonts w:ascii="Times New Roman" w:eastAsia="Calibri" w:hAnsi="Times New Roman"/>
                <w:snapToGrid/>
                <w:szCs w:val="24"/>
                <w:lang w:val="es-VE"/>
              </w:rPr>
              <w:t>Zoning</w:t>
            </w:r>
            <w:proofErr w:type="spellEnd"/>
            <w:r w:rsidRPr="004D298D">
              <w:rPr>
                <w:rFonts w:ascii="Times New Roman" w:eastAsia="Calibri" w:hAnsi="Times New Roman"/>
                <w:snapToGrid/>
                <w:szCs w:val="24"/>
                <w:lang w:val="es-VE"/>
              </w:rPr>
              <w:t xml:space="preserve"> </w:t>
            </w:r>
            <w:proofErr w:type="spellStart"/>
            <w:r w:rsidRPr="004D298D">
              <w:rPr>
                <w:rFonts w:ascii="Times New Roman" w:eastAsia="Calibri" w:hAnsi="Times New Roman"/>
                <w:snapToGrid/>
                <w:szCs w:val="24"/>
                <w:lang w:val="es-VE"/>
              </w:rPr>
              <w:t>Analysis</w:t>
            </w:r>
            <w:proofErr w:type="spellEnd"/>
          </w:p>
        </w:tc>
        <w:tc>
          <w:tcPr>
            <w:tcW w:w="2909"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05/15/2019</w:t>
            </w:r>
          </w:p>
        </w:tc>
      </w:tr>
      <w:tr w:rsidR="004D298D" w:rsidRPr="004D298D" w:rsidTr="00B206DE">
        <w:tc>
          <w:tcPr>
            <w:tcW w:w="1165"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U-004</w:t>
            </w:r>
          </w:p>
        </w:tc>
        <w:tc>
          <w:tcPr>
            <w:tcW w:w="4556"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proofErr w:type="spellStart"/>
            <w:r w:rsidRPr="004D298D">
              <w:rPr>
                <w:rFonts w:ascii="Times New Roman" w:eastAsia="Calibri" w:hAnsi="Times New Roman"/>
                <w:snapToGrid/>
                <w:szCs w:val="24"/>
                <w:lang w:val="es-VE"/>
              </w:rPr>
              <w:t>Sections</w:t>
            </w:r>
            <w:proofErr w:type="spellEnd"/>
            <w:r w:rsidRPr="004D298D">
              <w:rPr>
                <w:rFonts w:ascii="Times New Roman" w:eastAsia="Calibri" w:hAnsi="Times New Roman"/>
                <w:snapToGrid/>
                <w:szCs w:val="24"/>
                <w:lang w:val="es-VE"/>
              </w:rPr>
              <w:t xml:space="preserve"> I</w:t>
            </w:r>
          </w:p>
        </w:tc>
        <w:tc>
          <w:tcPr>
            <w:tcW w:w="2909"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05/15/2019</w:t>
            </w:r>
          </w:p>
        </w:tc>
      </w:tr>
      <w:tr w:rsidR="004D298D" w:rsidRPr="004D298D" w:rsidTr="00B206DE">
        <w:tc>
          <w:tcPr>
            <w:tcW w:w="1165"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U-005</w:t>
            </w:r>
          </w:p>
        </w:tc>
        <w:tc>
          <w:tcPr>
            <w:tcW w:w="4556"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proofErr w:type="spellStart"/>
            <w:r w:rsidRPr="004D298D">
              <w:rPr>
                <w:rFonts w:ascii="Times New Roman" w:eastAsia="Calibri" w:hAnsi="Times New Roman"/>
                <w:snapToGrid/>
                <w:szCs w:val="24"/>
                <w:lang w:val="es-VE"/>
              </w:rPr>
              <w:t>Sections</w:t>
            </w:r>
            <w:proofErr w:type="spellEnd"/>
            <w:r w:rsidRPr="004D298D">
              <w:rPr>
                <w:rFonts w:ascii="Times New Roman" w:eastAsia="Calibri" w:hAnsi="Times New Roman"/>
                <w:snapToGrid/>
                <w:szCs w:val="24"/>
                <w:lang w:val="es-VE"/>
              </w:rPr>
              <w:t xml:space="preserve"> II</w:t>
            </w:r>
          </w:p>
        </w:tc>
        <w:tc>
          <w:tcPr>
            <w:tcW w:w="2909" w:type="dxa"/>
            <w:shd w:val="clear" w:color="auto" w:fill="auto"/>
          </w:tcPr>
          <w:p w:rsidR="004D298D" w:rsidRPr="004D298D" w:rsidRDefault="004D298D" w:rsidP="00B206DE">
            <w:pPr>
              <w:tabs>
                <w:tab w:val="left" w:pos="720"/>
              </w:tabs>
              <w:autoSpaceDE w:val="0"/>
              <w:autoSpaceDN w:val="0"/>
              <w:adjustRightInd w:val="0"/>
              <w:ind w:left="720" w:hanging="720"/>
              <w:jc w:val="both"/>
              <w:rPr>
                <w:rFonts w:ascii="Times New Roman" w:eastAsia="Calibri" w:hAnsi="Times New Roman"/>
                <w:snapToGrid/>
                <w:szCs w:val="24"/>
                <w:lang w:val="es-VE"/>
              </w:rPr>
            </w:pPr>
            <w:r w:rsidRPr="004D298D">
              <w:rPr>
                <w:rFonts w:ascii="Times New Roman" w:eastAsia="Calibri" w:hAnsi="Times New Roman"/>
                <w:snapToGrid/>
                <w:szCs w:val="24"/>
                <w:lang w:val="es-VE"/>
              </w:rPr>
              <w:t>05/15/2019</w:t>
            </w:r>
          </w:p>
        </w:tc>
      </w:tr>
    </w:tbl>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 xml:space="preserve">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 </w:t>
      </w:r>
    </w:p>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 xml:space="preserve">Such development shall conform to all applicable laws and regulations relating to its construction, operation and maintenance. </w:t>
      </w:r>
    </w:p>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Development pursuant to this resolution shall be allowed only after the restrictive declaration attached hereto as Exhibit A, with such administrative changes as are acceptable to Counsel to the Department of City Planning, has been executed and recorded in the office of the Register of the city of New York, County of Kings. Such restrictive declaration shall be deemed incorporated herein as a condition of this resolution.</w:t>
      </w:r>
    </w:p>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lastRenderedPageBreak/>
        <w:t xml:space="preserve">In the event that the property that is the subject of the application is developed as, sold as, or converted to condominium units, a homeowner’s association or cooperative ownership, a copy of this report and resolution and any subsequent modification shall be provided to the Attorney General of the State of New York at the time of application for any such condominium, homeowner’s or cooperative offering plan and, if the Attorney General so directs, shall be incorporated in full in any offering documents relating to the property.  </w:t>
      </w:r>
    </w:p>
    <w:p w:rsidR="004D298D" w:rsidRPr="004D298D" w:rsidRDefault="004D298D" w:rsidP="004D298D">
      <w:pPr>
        <w:tabs>
          <w:tab w:val="left" w:pos="720"/>
        </w:tabs>
        <w:autoSpaceDE w:val="0"/>
        <w:autoSpaceDN w:val="0"/>
        <w:adjustRightInd w:val="0"/>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All leases, subleases, or other agreements for use or occupancy of space at the subject property shall give actual notice of this special permit to the lessee, sub-lessee or occupant.</w:t>
      </w:r>
    </w:p>
    <w:p w:rsidR="004D298D" w:rsidRPr="004D298D" w:rsidRDefault="004D298D" w:rsidP="004D298D">
      <w:pPr>
        <w:widowControl/>
        <w:tabs>
          <w:tab w:val="left" w:pos="720"/>
        </w:tabs>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p>
    <w:p w:rsidR="004D298D" w:rsidRPr="004D298D" w:rsidRDefault="004D298D" w:rsidP="004D298D">
      <w:pPr>
        <w:widowControl/>
        <w:tabs>
          <w:tab w:val="left" w:pos="720"/>
        </w:tabs>
        <w:ind w:left="720" w:hanging="720"/>
        <w:jc w:val="both"/>
        <w:rPr>
          <w:rFonts w:ascii="Times New Roman" w:hAnsi="Times New Roman"/>
          <w:snapToGrid/>
          <w:szCs w:val="24"/>
        </w:rPr>
      </w:pPr>
    </w:p>
    <w:p w:rsidR="004D298D" w:rsidRPr="004D298D" w:rsidRDefault="004D298D" w:rsidP="004D298D">
      <w:pPr>
        <w:widowControl/>
        <w:numPr>
          <w:ilvl w:val="0"/>
          <w:numId w:val="2"/>
        </w:numPr>
        <w:tabs>
          <w:tab w:val="left" w:pos="720"/>
        </w:tabs>
        <w:autoSpaceDE w:val="0"/>
        <w:autoSpaceDN w:val="0"/>
        <w:adjustRightInd w:val="0"/>
        <w:ind w:hanging="720"/>
        <w:jc w:val="both"/>
        <w:rPr>
          <w:rFonts w:ascii="Times New Roman" w:hAnsi="Times New Roman"/>
          <w:snapToGrid/>
          <w:szCs w:val="24"/>
        </w:rPr>
      </w:pPr>
      <w:r w:rsidRPr="004D298D">
        <w:rPr>
          <w:rFonts w:ascii="Times New Roman" w:hAnsi="Times New Roman"/>
          <w:snapToGrid/>
          <w:szCs w:val="24"/>
        </w:rPr>
        <w:t>Neither the City of New York nor its employees or agents shall have any liability for money damages by reason of the city’s or such employee’s or agent’s failure to act in accordance with the provisions of this special permit.</w:t>
      </w:r>
    </w:p>
    <w:p w:rsidR="004D298D" w:rsidRPr="004D298D" w:rsidRDefault="004D298D" w:rsidP="004D298D">
      <w:pPr>
        <w:tabs>
          <w:tab w:val="left" w:pos="720"/>
        </w:tabs>
        <w:ind w:left="720" w:hanging="720"/>
        <w:jc w:val="both"/>
        <w:rPr>
          <w:rFonts w:ascii="Times New Roman" w:eastAsia="Batang" w:hAnsi="Times New Roman"/>
          <w:szCs w:val="24"/>
          <w:lang w:eastAsia="ko-KR"/>
        </w:rPr>
      </w:pPr>
    </w:p>
    <w:p w:rsidR="00423626" w:rsidRDefault="00726E50" w:rsidP="00E32E37">
      <w:pPr>
        <w:widowControl/>
        <w:jc w:val="both"/>
        <w:rPr>
          <w:rFonts w:ascii="Times New Roman" w:hAnsi="Times New Roman"/>
          <w:szCs w:val="24"/>
        </w:rPr>
      </w:pPr>
      <w:r>
        <w:rPr>
          <w:rFonts w:ascii="Times New Roman" w:hAnsi="Times New Roman"/>
          <w:szCs w:val="24"/>
        </w:rPr>
        <w:t>Adopted.</w:t>
      </w:r>
    </w:p>
    <w:p w:rsidR="00E32E37" w:rsidRPr="007466B0" w:rsidRDefault="00E32E37" w:rsidP="00E32E37">
      <w:pPr>
        <w:widowControl/>
        <w:jc w:val="both"/>
        <w:rPr>
          <w:rFonts w:ascii="Times New Roman" w:hAnsi="Times New Roman"/>
          <w:szCs w:val="24"/>
        </w:rPr>
      </w:pP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w:t>
      </w:r>
      <w:proofErr w:type="gramStart"/>
      <w:r w:rsidRPr="007466B0">
        <w:rPr>
          <w:rFonts w:ascii="Times New Roman" w:hAnsi="Times New Roman"/>
          <w:szCs w:val="24"/>
        </w:rPr>
        <w:t>, }</w:t>
      </w:r>
      <w:proofErr w:type="gramEnd"/>
    </w:p>
    <w:p w:rsidR="00423626" w:rsidRPr="007466B0" w:rsidRDefault="00423626" w:rsidP="006D0364">
      <w:pPr>
        <w:ind w:firstLine="720"/>
        <w:jc w:val="both"/>
        <w:rPr>
          <w:rFonts w:ascii="Times New Roman" w:hAnsi="Times New Roman"/>
          <w:szCs w:val="24"/>
        </w:rPr>
      </w:pPr>
      <w:r w:rsidRPr="007466B0">
        <w:rPr>
          <w:rFonts w:ascii="Times New Roman" w:hAnsi="Times New Roman"/>
          <w:szCs w:val="24"/>
        </w:rPr>
        <w:t>The City of New York</w:t>
      </w:r>
      <w:proofErr w:type="gramStart"/>
      <w:r w:rsidRPr="007466B0">
        <w:rPr>
          <w:rFonts w:ascii="Times New Roman" w:hAnsi="Times New Roman"/>
          <w:szCs w:val="24"/>
        </w:rPr>
        <w:t>,  }</w:t>
      </w:r>
      <w:proofErr w:type="gramEnd"/>
      <w:r w:rsidRPr="007466B0">
        <w:rPr>
          <w:rFonts w:ascii="Times New Roman" w:hAnsi="Times New Roman"/>
          <w:szCs w:val="24"/>
        </w:rPr>
        <w:t xml:space="preserve"> ss.:</w:t>
      </w:r>
    </w:p>
    <w:p w:rsidR="00423626" w:rsidRPr="007466B0" w:rsidRDefault="00423626" w:rsidP="00423626">
      <w:pPr>
        <w:jc w:val="both"/>
        <w:rPr>
          <w:rFonts w:ascii="Times New Roman" w:hAnsi="Times New Roman"/>
          <w:szCs w:val="24"/>
        </w:rPr>
      </w:pPr>
    </w:p>
    <w:p w:rsidR="00423626" w:rsidRPr="007466B0" w:rsidRDefault="00423626" w:rsidP="006D0364">
      <w:pPr>
        <w:pStyle w:val="BodyTextIndent"/>
        <w:ind w:left="0" w:firstLine="1440"/>
        <w:rPr>
          <w:rFonts w:ascii="Times New Roman" w:hAnsi="Times New Roman"/>
          <w:szCs w:val="24"/>
        </w:rPr>
      </w:pPr>
      <w:r w:rsidRPr="007466B0">
        <w:rPr>
          <w:rFonts w:ascii="Times New Roman" w:hAnsi="Times New Roman"/>
          <w:szCs w:val="24"/>
        </w:rPr>
        <w:t xml:space="preserve">I hereby certify that the foregoing is a true copy of a Resolution passed by The Council of The City of New York on </w:t>
      </w:r>
      <w:r w:rsidR="001714E1">
        <w:rPr>
          <w:rFonts w:ascii="Times New Roman" w:hAnsi="Times New Roman"/>
          <w:szCs w:val="24"/>
        </w:rPr>
        <w:t>December 10</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C103F4" w:rsidRDefault="00C103F4"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D0364" w:rsidRPr="00DF6982" w:rsidRDefault="006D0364" w:rsidP="006D0364">
      <w:pPr>
        <w:tabs>
          <w:tab w:val="left" w:pos="-1440"/>
        </w:tabs>
        <w:jc w:val="right"/>
        <w:rPr>
          <w:rFonts w:ascii="Times New Roman" w:hAnsi="Times New Roman"/>
        </w:rPr>
      </w:pPr>
      <w:r w:rsidRPr="00DF6982">
        <w:rPr>
          <w:rFonts w:ascii="Times New Roman" w:hAnsi="Times New Roman"/>
        </w:rPr>
        <w:t>.....................................................</w:t>
      </w:r>
    </w:p>
    <w:p w:rsidR="006D0364" w:rsidRPr="006D0364" w:rsidRDefault="006D0364" w:rsidP="006D0364">
      <w:pPr>
        <w:tabs>
          <w:tab w:val="left" w:pos="-1440"/>
        </w:tabs>
        <w:jc w:val="right"/>
        <w:rPr>
          <w:rFonts w:ascii="Times New Roman" w:hAnsi="Times New Roman"/>
        </w:rPr>
      </w:pPr>
      <w:r w:rsidRPr="00DF6982">
        <w:rPr>
          <w:rFonts w:ascii="Times New Roman" w:hAnsi="Times New Roman"/>
        </w:rPr>
        <w:t xml:space="preserve">City Clerk, Clerk of </w:t>
      </w:r>
      <w:proofErr w:type="gramStart"/>
      <w:r w:rsidRPr="00DF6982">
        <w:rPr>
          <w:rFonts w:ascii="Times New Roman" w:hAnsi="Times New Roman"/>
        </w:rPr>
        <w:t>The</w:t>
      </w:r>
      <w:proofErr w:type="gramEnd"/>
      <w:r w:rsidRPr="00DF6982">
        <w:rPr>
          <w:rFonts w:ascii="Times New Roman" w:hAnsi="Times New Roman"/>
        </w:rPr>
        <w:t xml:space="preserve"> Council</w:t>
      </w:r>
    </w:p>
    <w:sectPr w:rsidR="006D0364" w:rsidRPr="006D0364"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78" w:rsidRDefault="00232F78">
      <w:r>
        <w:separator/>
      </w:r>
    </w:p>
  </w:endnote>
  <w:endnote w:type="continuationSeparator" w:id="0">
    <w:p w:rsidR="00232F78" w:rsidRDefault="0023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altName w:val="Courier New"/>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78" w:rsidRDefault="00232F78">
      <w:r>
        <w:separator/>
      </w:r>
    </w:p>
  </w:footnote>
  <w:footnote w:type="continuationSeparator" w:id="0">
    <w:p w:rsidR="00232F78" w:rsidRDefault="0023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B87687">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B87687">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C103F4">
      <w:rPr>
        <w:rFonts w:ascii="Times New Roman" w:hAnsi="Times New Roman"/>
        <w:b/>
        <w:bCs/>
        <w:szCs w:val="24"/>
      </w:rPr>
      <w:t>190</w:t>
    </w:r>
    <w:r w:rsidR="004D298D">
      <w:rPr>
        <w:rFonts w:ascii="Times New Roman" w:hAnsi="Times New Roman"/>
        <w:b/>
        <w:bCs/>
        <w:szCs w:val="24"/>
      </w:rPr>
      <w:t>421</w:t>
    </w:r>
    <w:r w:rsidRPr="00D6300F">
      <w:rPr>
        <w:rFonts w:ascii="Times New Roman" w:hAnsi="Times New Roman"/>
        <w:b/>
        <w:bCs/>
        <w:szCs w:val="24"/>
      </w:rPr>
      <w:t xml:space="preserve"> </w:t>
    </w:r>
    <w:r w:rsidR="00F7559C">
      <w:rPr>
        <w:rFonts w:ascii="Times New Roman" w:hAnsi="Times New Roman"/>
        <w:b/>
        <w:bCs/>
        <w:szCs w:val="24"/>
      </w:rPr>
      <w:t>ZS</w:t>
    </w:r>
    <w:r w:rsidR="004D298D">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1714E1">
      <w:rPr>
        <w:rFonts w:ascii="Times New Roman" w:hAnsi="Times New Roman"/>
        <w:b/>
        <w:bCs/>
        <w:szCs w:val="24"/>
      </w:rPr>
      <w:t>1190</w:t>
    </w:r>
    <w:r w:rsidRPr="00D6300F">
      <w:rPr>
        <w:rFonts w:ascii="Times New Roman" w:hAnsi="Times New Roman"/>
        <w:b/>
        <w:bCs/>
        <w:szCs w:val="24"/>
      </w:rPr>
      <w:t xml:space="preserve"> (L.U. No. </w:t>
    </w:r>
    <w:r w:rsidR="004D298D">
      <w:rPr>
        <w:rFonts w:ascii="Times New Roman" w:hAnsi="Times New Roman"/>
        <w:b/>
        <w:bCs/>
        <w:szCs w:val="24"/>
      </w:rPr>
      <w:t>575</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2B24B3"/>
    <w:multiLevelType w:val="hybridMultilevel"/>
    <w:tmpl w:val="362454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V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86BCC"/>
    <w:rsid w:val="00090C05"/>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14E1"/>
    <w:rsid w:val="001754B9"/>
    <w:rsid w:val="001773FF"/>
    <w:rsid w:val="00182A70"/>
    <w:rsid w:val="00183D7E"/>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2F78"/>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4C91"/>
    <w:rsid w:val="00494D99"/>
    <w:rsid w:val="0049593B"/>
    <w:rsid w:val="00496180"/>
    <w:rsid w:val="004A2BE7"/>
    <w:rsid w:val="004A35D1"/>
    <w:rsid w:val="004B175B"/>
    <w:rsid w:val="004B1A02"/>
    <w:rsid w:val="004B1B18"/>
    <w:rsid w:val="004B6BC1"/>
    <w:rsid w:val="004C19D7"/>
    <w:rsid w:val="004C1E3E"/>
    <w:rsid w:val="004C4006"/>
    <w:rsid w:val="004C5484"/>
    <w:rsid w:val="004D1968"/>
    <w:rsid w:val="004D298D"/>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00D15"/>
    <w:rsid w:val="0061063A"/>
    <w:rsid w:val="00614858"/>
    <w:rsid w:val="006162B1"/>
    <w:rsid w:val="0062186E"/>
    <w:rsid w:val="00621CE3"/>
    <w:rsid w:val="00622D61"/>
    <w:rsid w:val="00626E6F"/>
    <w:rsid w:val="006271DB"/>
    <w:rsid w:val="006276C7"/>
    <w:rsid w:val="006315FF"/>
    <w:rsid w:val="00641755"/>
    <w:rsid w:val="00642615"/>
    <w:rsid w:val="006451F0"/>
    <w:rsid w:val="00650DB0"/>
    <w:rsid w:val="0065225A"/>
    <w:rsid w:val="0066189B"/>
    <w:rsid w:val="00663BF2"/>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2096"/>
    <w:rsid w:val="008B2201"/>
    <w:rsid w:val="008B6361"/>
    <w:rsid w:val="008B6509"/>
    <w:rsid w:val="008B750F"/>
    <w:rsid w:val="008C08F9"/>
    <w:rsid w:val="008C68F2"/>
    <w:rsid w:val="008C6957"/>
    <w:rsid w:val="008C7E29"/>
    <w:rsid w:val="008D16EE"/>
    <w:rsid w:val="008D1FC0"/>
    <w:rsid w:val="008D407A"/>
    <w:rsid w:val="008D4AB4"/>
    <w:rsid w:val="008D4C75"/>
    <w:rsid w:val="008D55B8"/>
    <w:rsid w:val="008D5D76"/>
    <w:rsid w:val="008D7894"/>
    <w:rsid w:val="008E08C3"/>
    <w:rsid w:val="008E386E"/>
    <w:rsid w:val="008F1A7D"/>
    <w:rsid w:val="008F1B6B"/>
    <w:rsid w:val="008F6809"/>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3D1E"/>
    <w:rsid w:val="00A31693"/>
    <w:rsid w:val="00A33E5C"/>
    <w:rsid w:val="00A34053"/>
    <w:rsid w:val="00A34D2A"/>
    <w:rsid w:val="00A35BEC"/>
    <w:rsid w:val="00A36F4D"/>
    <w:rsid w:val="00A400A9"/>
    <w:rsid w:val="00A41E6E"/>
    <w:rsid w:val="00A424F8"/>
    <w:rsid w:val="00A42A95"/>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11358"/>
    <w:rsid w:val="00B206DE"/>
    <w:rsid w:val="00B225E3"/>
    <w:rsid w:val="00B24793"/>
    <w:rsid w:val="00B256AE"/>
    <w:rsid w:val="00B257BD"/>
    <w:rsid w:val="00B30B1D"/>
    <w:rsid w:val="00B3504A"/>
    <w:rsid w:val="00B35416"/>
    <w:rsid w:val="00B3571C"/>
    <w:rsid w:val="00B35D3F"/>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87687"/>
    <w:rsid w:val="00B94440"/>
    <w:rsid w:val="00B959DB"/>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103F4"/>
    <w:rsid w:val="00C10EBD"/>
    <w:rsid w:val="00C1482E"/>
    <w:rsid w:val="00C17A44"/>
    <w:rsid w:val="00C21CC6"/>
    <w:rsid w:val="00C27FE8"/>
    <w:rsid w:val="00C30858"/>
    <w:rsid w:val="00C35D87"/>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3DC4"/>
    <w:rsid w:val="00E043E1"/>
    <w:rsid w:val="00E04ED1"/>
    <w:rsid w:val="00E05733"/>
    <w:rsid w:val="00E06209"/>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A59BE"/>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AB4"/>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781740"/>
  <w15:chartTrackingRefBased/>
  <w15:docId w15:val="{6C89C9AA-FB8C-4228-9C36-A0590E2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4D29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2019-12-12T15:17:00Z</dcterms:created>
  <dcterms:modified xsi:type="dcterms:W3CDTF">2019-12-12T15:17:00Z</dcterms:modified>
</cp:coreProperties>
</file>