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1F30" w14:textId="78EB53B9" w:rsidR="00D65276" w:rsidRPr="00250DC6" w:rsidRDefault="0007468E" w:rsidP="00561D25">
      <w:pPr>
        <w:ind w:firstLine="720"/>
        <w:jc w:val="right"/>
      </w:pPr>
      <w:bookmarkStart w:id="0" w:name="_GoBack"/>
      <w:bookmarkEnd w:id="0"/>
      <w:r>
        <w:t>November 26, 2019</w:t>
      </w:r>
    </w:p>
    <w:p w14:paraId="3D642C1C" w14:textId="77777777" w:rsidR="00D65276" w:rsidRPr="00250DC6" w:rsidRDefault="00D65276" w:rsidP="00561D25">
      <w:r w:rsidRPr="00250DC6">
        <w:t>TO:</w:t>
      </w:r>
      <w:r w:rsidRPr="00250DC6">
        <w:tab/>
      </w:r>
      <w:r w:rsidRPr="00250DC6">
        <w:tab/>
        <w:t>Hon. Daniel Dromm</w:t>
      </w:r>
    </w:p>
    <w:p w14:paraId="46FD0670" w14:textId="77777777" w:rsidR="00D65276" w:rsidRPr="00250DC6" w:rsidRDefault="00D65276" w:rsidP="00561D25">
      <w:r w:rsidRPr="00250DC6">
        <w:tab/>
      </w:r>
      <w:r w:rsidRPr="00250DC6">
        <w:tab/>
        <w:t>Chair, Finance Committee</w:t>
      </w:r>
    </w:p>
    <w:p w14:paraId="73ECCF7A" w14:textId="77777777" w:rsidR="00D65276" w:rsidRPr="00250DC6" w:rsidRDefault="00D65276" w:rsidP="00561D25">
      <w:pPr>
        <w:ind w:left="720" w:firstLine="720"/>
      </w:pPr>
      <w:r w:rsidRPr="00250DC6">
        <w:t>Members of the Finance Committee</w:t>
      </w:r>
    </w:p>
    <w:p w14:paraId="5EE05E86" w14:textId="77777777" w:rsidR="00D65276" w:rsidRPr="00250DC6" w:rsidRDefault="00D65276" w:rsidP="00561D25"/>
    <w:p w14:paraId="2C2516C0" w14:textId="34FBBA0B" w:rsidR="00D65276" w:rsidRDefault="00D65276" w:rsidP="00561D25">
      <w:r w:rsidRPr="00250DC6">
        <w:t>FROM:</w:t>
      </w:r>
      <w:r w:rsidRPr="00250DC6">
        <w:tab/>
        <w:t>Rebecca Chasan, Senior Counsel, Finance Division</w:t>
      </w:r>
    </w:p>
    <w:p w14:paraId="2A94D076" w14:textId="10A32728" w:rsidR="00956501" w:rsidRDefault="00956501" w:rsidP="00561D25">
      <w:pPr>
        <w:ind w:left="720" w:firstLine="720"/>
      </w:pPr>
      <w:r>
        <w:t>Stephanie Ruiz</w:t>
      </w:r>
      <w:r w:rsidRPr="00250DC6">
        <w:t>, Assistant Counsel, Finance Division</w:t>
      </w:r>
    </w:p>
    <w:p w14:paraId="5E21D763" w14:textId="64696DDF" w:rsidR="0007468E" w:rsidRPr="00250DC6" w:rsidRDefault="0007468E" w:rsidP="00561D25">
      <w:pPr>
        <w:ind w:left="720" w:firstLine="720"/>
      </w:pPr>
      <w:r w:rsidRPr="00250DC6">
        <w:t>Noah Brick, Assistant Counsel, Finance Division</w:t>
      </w:r>
    </w:p>
    <w:p w14:paraId="25E67D4C" w14:textId="77777777" w:rsidR="00D65276" w:rsidRPr="00250DC6" w:rsidRDefault="00D65276" w:rsidP="00561D25">
      <w:r w:rsidRPr="00250DC6">
        <w:tab/>
      </w:r>
      <w:r w:rsidRPr="00250DC6">
        <w:tab/>
      </w:r>
    </w:p>
    <w:p w14:paraId="16619345" w14:textId="71179C79" w:rsidR="00D65276" w:rsidRPr="00250DC6" w:rsidRDefault="00D65276" w:rsidP="00561D25">
      <w:pPr>
        <w:ind w:left="1440" w:hanging="1440"/>
      </w:pPr>
      <w:r w:rsidRPr="00250DC6">
        <w:t>RE:</w:t>
      </w:r>
      <w:r w:rsidRPr="00250DC6">
        <w:tab/>
        <w:t xml:space="preserve">Finance Committee Agenda of </w:t>
      </w:r>
      <w:r w:rsidR="0007468E">
        <w:t>November 26</w:t>
      </w:r>
      <w:r w:rsidR="00FA0E06">
        <w:t>, 2019</w:t>
      </w:r>
      <w:r w:rsidR="004D7CE5">
        <w:t xml:space="preserve"> – Resolution</w:t>
      </w:r>
      <w:r w:rsidR="0071134C">
        <w:t>s</w:t>
      </w:r>
      <w:r w:rsidRPr="00250DC6">
        <w:t xml:space="preserve"> approving a tax exemption for </w:t>
      </w:r>
      <w:r w:rsidR="0071134C">
        <w:t>eight</w:t>
      </w:r>
      <w:r w:rsidRPr="00B906D6">
        <w:t xml:space="preserve"> L</w:t>
      </w:r>
      <w:r w:rsidR="001D7AC0" w:rsidRPr="00B906D6">
        <w:t>and Use item</w:t>
      </w:r>
      <w:r w:rsidR="0007468E" w:rsidRPr="00B906D6">
        <w:t>s</w:t>
      </w:r>
      <w:r w:rsidR="00715D53">
        <w:t xml:space="preserve"> (Council District</w:t>
      </w:r>
      <w:r w:rsidR="00822E6C">
        <w:t>s</w:t>
      </w:r>
      <w:r w:rsidR="00715D53">
        <w:t xml:space="preserve"> </w:t>
      </w:r>
      <w:r w:rsidR="00822E6C">
        <w:t>8, 9, 14</w:t>
      </w:r>
      <w:r w:rsidR="0071134C">
        <w:t>,</w:t>
      </w:r>
      <w:r w:rsidR="007E54E7">
        <w:t xml:space="preserve"> and</w:t>
      </w:r>
      <w:r w:rsidR="0071134C">
        <w:t xml:space="preserve"> 17</w:t>
      </w:r>
      <w:r w:rsidRPr="00250DC6">
        <w:t>)</w:t>
      </w:r>
    </w:p>
    <w:p w14:paraId="6C2E8972" w14:textId="77777777" w:rsidR="00561D25" w:rsidRPr="00250DC6" w:rsidRDefault="00561D25" w:rsidP="00561D25">
      <w:pPr>
        <w:pStyle w:val="MediumGrid1-Accent21"/>
        <w:ind w:left="0"/>
        <w:rPr>
          <w:b/>
          <w:u w:val="single"/>
        </w:rPr>
      </w:pPr>
    </w:p>
    <w:p w14:paraId="5F6BC6A5" w14:textId="01929692" w:rsidR="000E2083" w:rsidRDefault="000E2083" w:rsidP="00561D25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 xml:space="preserve">Item 1: </w:t>
      </w:r>
      <w:r w:rsidRPr="0007468E">
        <w:rPr>
          <w:b/>
          <w:u w:val="single"/>
        </w:rPr>
        <w:t>HCCI 2</w:t>
      </w:r>
      <w:r w:rsidR="0071134C">
        <w:rPr>
          <w:b/>
          <w:u w:val="single"/>
        </w:rPr>
        <w:t xml:space="preserve"> (aka NME I)</w:t>
      </w:r>
    </w:p>
    <w:p w14:paraId="44B097BC" w14:textId="41D5F547" w:rsidR="000E2083" w:rsidRDefault="000E2083" w:rsidP="00561D25">
      <w:pPr>
        <w:pStyle w:val="MediumGrid1-Accent21"/>
        <w:ind w:left="0"/>
        <w:rPr>
          <w:b/>
          <w:u w:val="single"/>
        </w:rPr>
      </w:pPr>
    </w:p>
    <w:p w14:paraId="482F6D40" w14:textId="3D8569ED" w:rsidR="00A64C37" w:rsidRDefault="00561D25" w:rsidP="00561D25">
      <w:pPr>
        <w:pStyle w:val="MediumGrid1-Accent21"/>
        <w:ind w:left="0"/>
        <w:jc w:val="both"/>
      </w:pPr>
      <w:r>
        <w:t>HCCI 2 is a 20-</w:t>
      </w:r>
      <w:r w:rsidR="00A64C37">
        <w:t xml:space="preserve">building project </w:t>
      </w:r>
      <w:r w:rsidR="00A64C37" w:rsidRPr="00A64C37">
        <w:t xml:space="preserve">comprised of 399 residential </w:t>
      </w:r>
      <w:r w:rsidR="00A64C37">
        <w:t xml:space="preserve">units </w:t>
      </w:r>
      <w:r w:rsidR="00A64C37" w:rsidRPr="00A64C37">
        <w:t>and 17 commercial units in Harlem.</w:t>
      </w:r>
      <w:r w:rsidR="00A64C37">
        <w:t xml:space="preserve"> The residential units include five studios, 61 one-bedroom units, 178 two-bedroom units, 115 three-bedroom units, 27 four-bedroom units, </w:t>
      </w:r>
      <w:r>
        <w:t xml:space="preserve">and </w:t>
      </w:r>
      <w:r w:rsidR="00A64C37">
        <w:t xml:space="preserve">six five-bedroom units (inclusive </w:t>
      </w:r>
      <w:r>
        <w:t>of seven superintendent units).</w:t>
      </w:r>
    </w:p>
    <w:p w14:paraId="0C3E3A3F" w14:textId="7A145288" w:rsidR="00A64C37" w:rsidRDefault="00A64C37" w:rsidP="00561D25">
      <w:pPr>
        <w:pStyle w:val="MediumGrid1-Accent21"/>
        <w:ind w:left="0"/>
      </w:pPr>
    </w:p>
    <w:p w14:paraId="78AF33EC" w14:textId="07C01682" w:rsidR="00A64C37" w:rsidRDefault="00A64C37" w:rsidP="00991682">
      <w:pPr>
        <w:pStyle w:val="MediumGrid1-Accent21"/>
        <w:ind w:left="0"/>
        <w:jc w:val="both"/>
      </w:pPr>
      <w:r w:rsidRPr="00A64C37">
        <w:t>NME Housing Development Fund Company, Inc. (</w:t>
      </w:r>
      <w:r w:rsidR="00561D25">
        <w:t>HDFC</w:t>
      </w:r>
      <w:r w:rsidRPr="00A64C37">
        <w:t xml:space="preserve">) acquired the </w:t>
      </w:r>
      <w:r>
        <w:t>properties</w:t>
      </w:r>
      <w:r w:rsidRPr="00A64C37">
        <w:t xml:space="preserve"> in 2014. No</w:t>
      </w:r>
      <w:r w:rsidR="00561D25">
        <w:t xml:space="preserve">rthern Manhattan Equities LLC </w:t>
      </w:r>
      <w:r w:rsidRPr="00A64C37">
        <w:t xml:space="preserve">is the beneficial owner and operates the </w:t>
      </w:r>
      <w:r>
        <w:t>properties</w:t>
      </w:r>
      <w:r w:rsidRPr="00A64C37">
        <w:t xml:space="preserve">. The HDFC and the </w:t>
      </w:r>
      <w:r>
        <w:t xml:space="preserve">LLC </w:t>
      </w:r>
      <w:r w:rsidRPr="00A64C37">
        <w:t xml:space="preserve">financed the acquisition and rehabilitation of the </w:t>
      </w:r>
      <w:r>
        <w:t>properties</w:t>
      </w:r>
      <w:r w:rsidRPr="00A64C37">
        <w:t xml:space="preserve"> with a loan from a private </w:t>
      </w:r>
      <w:proofErr w:type="gramStart"/>
      <w:r w:rsidRPr="00A64C37">
        <w:t>lending</w:t>
      </w:r>
      <w:proofErr w:type="gramEnd"/>
      <w:r w:rsidRPr="00A64C37">
        <w:t xml:space="preserve"> institution. </w:t>
      </w:r>
      <w:r w:rsidR="006230D4">
        <w:t>On October 7, 2014, the City Council approved</w:t>
      </w:r>
      <w:r w:rsidR="00991682" w:rsidRPr="00991682">
        <w:t xml:space="preserve"> Resolution No. 441 providing the project with a 32-year Article XI tax exemption from the date of December 4, 2014, the date the project entered into a new regulatory agreement.</w:t>
      </w:r>
      <w:r w:rsidR="00991682">
        <w:t xml:space="preserve"> The</w:t>
      </w:r>
      <w:r w:rsidRPr="00A64C37">
        <w:t xml:space="preserve"> </w:t>
      </w:r>
      <w:r>
        <w:t>HDFC, LLC</w:t>
      </w:r>
      <w:r w:rsidRPr="00A64C37">
        <w:t xml:space="preserve"> and </w:t>
      </w:r>
      <w:r>
        <w:t xml:space="preserve">the </w:t>
      </w:r>
      <w:r w:rsidRPr="00250DC6">
        <w:t>Department of Housing Preservation and Development</w:t>
      </w:r>
      <w:r w:rsidRPr="00715D53">
        <w:t xml:space="preserve"> </w:t>
      </w:r>
      <w:r w:rsidR="00561D25">
        <w:t>(</w:t>
      </w:r>
      <w:r w:rsidRPr="00A64C37">
        <w:t>HPD</w:t>
      </w:r>
      <w:r>
        <w:t>)</w:t>
      </w:r>
      <w:r w:rsidRPr="00A64C37">
        <w:t xml:space="preserve"> entered into a</w:t>
      </w:r>
      <w:r w:rsidR="00991682">
        <w:t>n</w:t>
      </w:r>
      <w:r w:rsidRPr="00A64C37">
        <w:t xml:space="preserve"> </w:t>
      </w:r>
      <w:r w:rsidR="00991682">
        <w:t xml:space="preserve">amended and restated regulatory agreement </w:t>
      </w:r>
      <w:r w:rsidRPr="00A64C37">
        <w:t>on November 30, 2018</w:t>
      </w:r>
      <w:r w:rsidR="001A20B2">
        <w:t>,</w:t>
      </w:r>
      <w:r w:rsidR="00991682">
        <w:t xml:space="preserve"> requiring that 40 units</w:t>
      </w:r>
      <w:r w:rsidR="006230D4">
        <w:t xml:space="preserve"> be leased only to</w:t>
      </w:r>
      <w:r w:rsidR="008F5DA6">
        <w:t xml:space="preserve"> household</w:t>
      </w:r>
      <w:r w:rsidR="006230D4">
        <w:t>s</w:t>
      </w:r>
      <w:r w:rsidR="008F5DA6">
        <w:t xml:space="preserve"> with incomes up to </w:t>
      </w:r>
      <w:r w:rsidR="00991682">
        <w:t>40% of the Area Median Income (AMI), 60</w:t>
      </w:r>
      <w:r w:rsidR="00991682" w:rsidRPr="00032E88">
        <w:t xml:space="preserve"> units</w:t>
      </w:r>
      <w:r w:rsidR="006230D4" w:rsidRPr="006230D4">
        <w:t xml:space="preserve"> </w:t>
      </w:r>
      <w:r w:rsidR="006230D4">
        <w:t>be leased only to households</w:t>
      </w:r>
      <w:r w:rsidR="00991682" w:rsidRPr="00032E88">
        <w:t xml:space="preserve"> </w:t>
      </w:r>
      <w:r w:rsidR="006230D4">
        <w:t>with incomes up to</w:t>
      </w:r>
      <w:r w:rsidR="008F5DA6">
        <w:t xml:space="preserve"> </w:t>
      </w:r>
      <w:r w:rsidR="00991682">
        <w:t>60% AMI</w:t>
      </w:r>
      <w:r w:rsidR="00A14BDB">
        <w:t xml:space="preserve"> (all permanently)</w:t>
      </w:r>
      <w:r w:rsidR="00991682">
        <w:t>, 56</w:t>
      </w:r>
      <w:r w:rsidR="00991682" w:rsidRPr="00032E88">
        <w:t xml:space="preserve"> units </w:t>
      </w:r>
      <w:r w:rsidR="006230D4">
        <w:t>be leased only to households</w:t>
      </w:r>
      <w:r w:rsidR="006230D4" w:rsidRPr="00032E88">
        <w:t xml:space="preserve"> </w:t>
      </w:r>
      <w:r w:rsidR="006230D4">
        <w:t xml:space="preserve">with incomes up to </w:t>
      </w:r>
      <w:r w:rsidR="00991682">
        <w:t xml:space="preserve">90% AMI, 176 units </w:t>
      </w:r>
      <w:r w:rsidR="006230D4">
        <w:t>be leased only to households</w:t>
      </w:r>
      <w:r w:rsidR="006230D4" w:rsidRPr="00032E88">
        <w:t xml:space="preserve"> </w:t>
      </w:r>
      <w:r w:rsidR="006230D4">
        <w:t xml:space="preserve">with incomes up to </w:t>
      </w:r>
      <w:r w:rsidR="00991682">
        <w:t>100% AMI and 67</w:t>
      </w:r>
      <w:r w:rsidR="00991682" w:rsidRPr="00032E88">
        <w:t xml:space="preserve"> unit</w:t>
      </w:r>
      <w:r w:rsidR="00991682">
        <w:t>s</w:t>
      </w:r>
      <w:r w:rsidR="00991682" w:rsidRPr="00032E88">
        <w:t xml:space="preserve"> </w:t>
      </w:r>
      <w:r w:rsidR="006230D4">
        <w:t>be leased only to households</w:t>
      </w:r>
      <w:r w:rsidR="006230D4" w:rsidRPr="00032E88">
        <w:t xml:space="preserve"> </w:t>
      </w:r>
      <w:r w:rsidR="006230D4">
        <w:t xml:space="preserve">with incomes up to </w:t>
      </w:r>
      <w:r w:rsidR="00991682">
        <w:t>120% AMI.</w:t>
      </w:r>
    </w:p>
    <w:p w14:paraId="781CC393" w14:textId="41903248" w:rsidR="00A64C37" w:rsidRDefault="00A64C37" w:rsidP="00561D25">
      <w:pPr>
        <w:pStyle w:val="MediumGrid1-Accent21"/>
        <w:ind w:left="0"/>
        <w:jc w:val="both"/>
      </w:pPr>
    </w:p>
    <w:p w14:paraId="360FAC1F" w14:textId="2E2C304E" w:rsidR="00A64C37" w:rsidRDefault="00A64C37" w:rsidP="00561D25">
      <w:pPr>
        <w:pStyle w:val="MediumGrid1-Accent21"/>
        <w:ind w:left="0"/>
        <w:jc w:val="both"/>
      </w:pPr>
      <w:r>
        <w:t>Subsequently, t</w:t>
      </w:r>
      <w:r w:rsidRPr="00A64C37">
        <w:t xml:space="preserve">he project suffered delays in converting to permanent financing and </w:t>
      </w:r>
      <w:r>
        <w:t>was required to obtain</w:t>
      </w:r>
      <w:r w:rsidRPr="00A64C37">
        <w:t xml:space="preserve"> </w:t>
      </w:r>
      <w:r>
        <w:t xml:space="preserve">a </w:t>
      </w:r>
      <w:r w:rsidR="006F604A">
        <w:t xml:space="preserve">bridge </w:t>
      </w:r>
      <w:r w:rsidRPr="00A64C37">
        <w:t>loan with Merchants Bank of Indiana in November 2018.</w:t>
      </w:r>
      <w:r w:rsidR="00362436">
        <w:t xml:space="preserve"> </w:t>
      </w:r>
      <w:r w:rsidR="006F604A">
        <w:t>The</w:t>
      </w:r>
      <w:r w:rsidR="00070D53">
        <w:t xml:space="preserve"> </w:t>
      </w:r>
      <w:r w:rsidR="00362436">
        <w:t xml:space="preserve">project </w:t>
      </w:r>
      <w:r w:rsidR="006F604A">
        <w:t>is also planning to obtain</w:t>
      </w:r>
      <w:r w:rsidR="00362436">
        <w:t xml:space="preserve"> a 35-year permanent financing loan with </w:t>
      </w:r>
      <w:r w:rsidR="00362436" w:rsidRPr="00362436">
        <w:t>Merchants Bank of Indiana</w:t>
      </w:r>
      <w:r w:rsidR="00362436">
        <w:t xml:space="preserve">. </w:t>
      </w:r>
    </w:p>
    <w:p w14:paraId="6B0A3D08" w14:textId="77777777" w:rsidR="00991682" w:rsidRDefault="00991682" w:rsidP="00561D25">
      <w:pPr>
        <w:pStyle w:val="MediumGrid1-Accent21"/>
        <w:ind w:left="0"/>
        <w:jc w:val="both"/>
      </w:pPr>
    </w:p>
    <w:p w14:paraId="3208030E" w14:textId="3084881B" w:rsidR="00991682" w:rsidRPr="00A64C37" w:rsidRDefault="00A64C37" w:rsidP="00991682">
      <w:pPr>
        <w:pStyle w:val="MediumGrid1-Accent21"/>
        <w:ind w:left="0"/>
        <w:jc w:val="both"/>
      </w:pPr>
      <w:r>
        <w:t xml:space="preserve">HPD is requesting </w:t>
      </w:r>
      <w:r w:rsidR="00362436">
        <w:t>that the Council approve a</w:t>
      </w:r>
      <w:r w:rsidR="006230D4">
        <w:t xml:space="preserve"> full, 40-year</w:t>
      </w:r>
      <w:r w:rsidR="00362436">
        <w:t xml:space="preserve"> Article XI tax exemption commencing </w:t>
      </w:r>
      <w:r w:rsidR="006230D4">
        <w:t xml:space="preserve">on </w:t>
      </w:r>
      <w:r w:rsidR="00362436">
        <w:t>November 30, 2018</w:t>
      </w:r>
      <w:r w:rsidR="006230D4">
        <w:t xml:space="preserve"> to replace the prior exemption which would be terminated</w:t>
      </w:r>
      <w:r w:rsidR="00362436">
        <w:t xml:space="preserve">. The </w:t>
      </w:r>
      <w:r w:rsidR="006230D4">
        <w:t>exemption would be</w:t>
      </w:r>
      <w:r w:rsidR="00362436" w:rsidRPr="00362436">
        <w:t xml:space="preserve"> coterminous with the term of the permanent financing</w:t>
      </w:r>
      <w:r w:rsidR="00362436">
        <w:t xml:space="preserve"> loan</w:t>
      </w:r>
      <w:r w:rsidR="00362436" w:rsidRPr="00362436">
        <w:t xml:space="preserve">, satisfy the tax benefit conditions of the first position lender, help </w:t>
      </w:r>
      <w:r w:rsidR="00561D25">
        <w:t xml:space="preserve">to </w:t>
      </w:r>
      <w:r w:rsidR="00362436" w:rsidRPr="00362436">
        <w:t>leverage private financing, and assure the long-term viability of the project.</w:t>
      </w:r>
      <w:r w:rsidR="006230D4">
        <w:t xml:space="preserve"> </w:t>
      </w:r>
    </w:p>
    <w:p w14:paraId="44448838" w14:textId="6298E849" w:rsidR="00A64C37" w:rsidRDefault="00A64C37" w:rsidP="00561D25">
      <w:pPr>
        <w:pStyle w:val="MediumGrid1-Accent21"/>
        <w:ind w:left="0"/>
        <w:rPr>
          <w:b/>
          <w:u w:val="single"/>
        </w:rPr>
      </w:pPr>
    </w:p>
    <w:p w14:paraId="1F141B21" w14:textId="7CA0A220" w:rsidR="00337397" w:rsidRDefault="00337397" w:rsidP="00561D25">
      <w:pPr>
        <w:pStyle w:val="MediumGrid1-Accent21"/>
        <w:ind w:left="0"/>
        <w:rPr>
          <w:b/>
          <w:u w:val="single"/>
        </w:rPr>
      </w:pPr>
    </w:p>
    <w:p w14:paraId="39789472" w14:textId="0E40882A" w:rsidR="00337397" w:rsidRDefault="00337397" w:rsidP="00561D25">
      <w:pPr>
        <w:pStyle w:val="MediumGrid1-Accent21"/>
        <w:ind w:left="0"/>
        <w:rPr>
          <w:b/>
          <w:u w:val="single"/>
        </w:rPr>
      </w:pPr>
    </w:p>
    <w:p w14:paraId="5CB45BDE" w14:textId="1B107AAE" w:rsidR="00337397" w:rsidRDefault="00337397" w:rsidP="00561D25">
      <w:pPr>
        <w:pStyle w:val="MediumGrid1-Accent21"/>
        <w:ind w:left="0"/>
        <w:rPr>
          <w:b/>
          <w:u w:val="single"/>
        </w:rPr>
      </w:pPr>
    </w:p>
    <w:p w14:paraId="623F257F" w14:textId="77777777" w:rsidR="00337397" w:rsidRDefault="00337397" w:rsidP="00561D25">
      <w:pPr>
        <w:pStyle w:val="MediumGrid1-Accent21"/>
        <w:ind w:left="0"/>
        <w:rPr>
          <w:b/>
          <w:u w:val="single"/>
        </w:rPr>
      </w:pPr>
    </w:p>
    <w:p w14:paraId="422BF6E2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lastRenderedPageBreak/>
        <w:t xml:space="preserve">Summary: </w:t>
      </w:r>
    </w:p>
    <w:p w14:paraId="17625EBA" w14:textId="2ED79234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Manhattan</w:t>
      </w:r>
    </w:p>
    <w:p w14:paraId="417FCC2E" w14:textId="77777777" w:rsidR="00362436" w:rsidRPr="00362436" w:rsidRDefault="00362436" w:rsidP="00561D25">
      <w:pPr>
        <w:pStyle w:val="ListParagraph"/>
        <w:numPr>
          <w:ilvl w:val="0"/>
          <w:numId w:val="1"/>
        </w:numPr>
        <w:contextualSpacing w:val="0"/>
      </w:pPr>
      <w:r>
        <w:rPr>
          <w:color w:val="000000"/>
        </w:rPr>
        <w:t>Block 1718, Lot 69; Block 1903, Lot 29; Block 1904, Lots 33 and 59; Block 1906, Lot 64; Block 2026, Lots 20, 22, 23, 26, 27, and 29; Block 2031, Lot 18; Block 2032, Lot 43; Block 2036, Lot 61; Block 2045, Lots 96, 97, and 100; Block 2046, Lots 7 and 63</w:t>
      </w:r>
    </w:p>
    <w:p w14:paraId="1EC3B611" w14:textId="78034031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>
        <w:t>9</w:t>
      </w:r>
    </w:p>
    <w:p w14:paraId="552C5ACE" w14:textId="6C2AF4E8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>
        <w:t>Perkins</w:t>
      </w:r>
    </w:p>
    <w:p w14:paraId="21A46642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3AF3A826" w14:textId="2785457E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>
        <w:t>Number of buildings – 20</w:t>
      </w:r>
    </w:p>
    <w:p w14:paraId="3086A028" w14:textId="0BD82682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>
        <w:t>399 (including 7</w:t>
      </w:r>
      <w:r w:rsidRPr="00250DC6">
        <w:t xml:space="preserve"> superintendent unit</w:t>
      </w:r>
      <w:r>
        <w:t>s)</w:t>
      </w:r>
    </w:p>
    <w:p w14:paraId="37BAFD04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</w:t>
      </w:r>
      <w:r w:rsidRPr="00250DC6">
        <w:t>, 40 years</w:t>
      </w:r>
    </w:p>
    <w:p w14:paraId="1B895E2B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Population – affordable rental housing</w:t>
      </w:r>
    </w:p>
    <w:p w14:paraId="7FEE57AE" w14:textId="65A84B74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Pr="00362436">
        <w:t xml:space="preserve">NME </w:t>
      </w:r>
      <w:r w:rsidR="00561D25">
        <w:t>HDFC,</w:t>
      </w:r>
      <w:r>
        <w:t xml:space="preserve"> </w:t>
      </w:r>
      <w:r w:rsidRPr="00362436">
        <w:t>Northern Manhattan Equities LLC</w:t>
      </w:r>
      <w:r>
        <w:t xml:space="preserve">, </w:t>
      </w:r>
      <w:r w:rsidRPr="00362436">
        <w:t>Exact Capital Group LLC</w:t>
      </w:r>
    </w:p>
    <w:p w14:paraId="75A6BA06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183B7649" w14:textId="5D241803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>
        <w:t>18.6</w:t>
      </w:r>
      <w:r w:rsidRPr="00250DC6">
        <w:t xml:space="preserve"> million</w:t>
      </w:r>
    </w:p>
    <w:p w14:paraId="3C359CF8" w14:textId="77777777" w:rsidR="00362436" w:rsidRPr="00250DC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6FD3B6C0" w14:textId="034C979E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>Class A – 117</w:t>
      </w:r>
    </w:p>
    <w:p w14:paraId="2816C9BB" w14:textId="4CB27565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>Class B – 241</w:t>
      </w:r>
    </w:p>
    <w:p w14:paraId="0D45C6A8" w14:textId="77098AD8" w:rsidR="00362436" w:rsidRPr="00250DC6" w:rsidRDefault="00362436" w:rsidP="00561D25">
      <w:pPr>
        <w:pStyle w:val="ListParagraph"/>
        <w:numPr>
          <w:ilvl w:val="1"/>
          <w:numId w:val="1"/>
        </w:numPr>
        <w:contextualSpacing w:val="0"/>
      </w:pPr>
      <w:r>
        <w:t>Class C – 63</w:t>
      </w:r>
    </w:p>
    <w:p w14:paraId="5FAFAAF3" w14:textId="37105F55" w:rsidR="00362436" w:rsidRDefault="00362436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AMI target – </w:t>
      </w:r>
      <w:r w:rsidR="001A20B2">
        <w:t xml:space="preserve">40 units </w:t>
      </w:r>
      <w:r w:rsidR="008F5DA6">
        <w:t xml:space="preserve">at </w:t>
      </w:r>
      <w:r w:rsidR="001A20B2">
        <w:t>40% AMI</w:t>
      </w:r>
      <w:r>
        <w:t>, 60</w:t>
      </w:r>
      <w:r w:rsidRPr="00032E88">
        <w:t xml:space="preserve"> units at </w:t>
      </w:r>
      <w:r>
        <w:t>60</w:t>
      </w:r>
      <w:r w:rsidR="00606C70">
        <w:t>% AMI</w:t>
      </w:r>
      <w:r>
        <w:t>, 56</w:t>
      </w:r>
      <w:r w:rsidRPr="00032E88">
        <w:t xml:space="preserve"> units at </w:t>
      </w:r>
      <w:r>
        <w:t>90</w:t>
      </w:r>
      <w:r w:rsidR="00606C70">
        <w:t>% AMI</w:t>
      </w:r>
      <w:r>
        <w:t>, 176 units at 100</w:t>
      </w:r>
      <w:r w:rsidR="00606C70">
        <w:t>% AMI</w:t>
      </w:r>
      <w:r>
        <w:t xml:space="preserve"> and 67</w:t>
      </w:r>
      <w:r w:rsidRPr="00032E88">
        <w:t xml:space="preserve"> unit</w:t>
      </w:r>
      <w:r>
        <w:t>s</w:t>
      </w:r>
      <w:r w:rsidRPr="00032E88">
        <w:t xml:space="preserve"> at </w:t>
      </w:r>
      <w:r>
        <w:t>120</w:t>
      </w:r>
      <w:r w:rsidR="00606C70">
        <w:t>% AMI</w:t>
      </w:r>
    </w:p>
    <w:p w14:paraId="17EEE512" w14:textId="77777777" w:rsidR="00561D25" w:rsidRDefault="00561D25" w:rsidP="00561D25">
      <w:pPr>
        <w:rPr>
          <w:b/>
          <w:u w:val="single"/>
        </w:rPr>
      </w:pPr>
    </w:p>
    <w:p w14:paraId="45B9E170" w14:textId="662AEDBA" w:rsidR="000E2083" w:rsidRDefault="000E2083" w:rsidP="00561D25">
      <w:pPr>
        <w:rPr>
          <w:b/>
          <w:u w:val="single"/>
        </w:rPr>
      </w:pPr>
      <w:r>
        <w:rPr>
          <w:b/>
          <w:u w:val="single"/>
        </w:rPr>
        <w:t xml:space="preserve">Item 2: </w:t>
      </w:r>
      <w:r w:rsidRPr="0007468E">
        <w:rPr>
          <w:b/>
          <w:u w:val="single"/>
        </w:rPr>
        <w:t xml:space="preserve">HCCI 2 Phase II </w:t>
      </w:r>
      <w:r w:rsidR="0071134C">
        <w:rPr>
          <w:b/>
          <w:u w:val="single"/>
        </w:rPr>
        <w:t>(aka NME II)</w:t>
      </w:r>
    </w:p>
    <w:p w14:paraId="435F743D" w14:textId="77777777" w:rsidR="00561D25" w:rsidRDefault="00561D25" w:rsidP="00561D25"/>
    <w:p w14:paraId="6DA058AD" w14:textId="63F092B9" w:rsidR="00493DA6" w:rsidRDefault="00493DA6" w:rsidP="00991682">
      <w:pPr>
        <w:jc w:val="both"/>
      </w:pPr>
      <w:r w:rsidRPr="00493DA6">
        <w:t>HCCI 2 Phase II</w:t>
      </w:r>
      <w:r w:rsidR="00657C11">
        <w:t xml:space="preserve"> is a </w:t>
      </w:r>
      <w:r w:rsidR="002E7EFA">
        <w:t>seven</w:t>
      </w:r>
      <w:r w:rsidR="00561D25">
        <w:t>-</w:t>
      </w:r>
      <w:r w:rsidR="00657C11">
        <w:t>building project comprised of 207 residential and five</w:t>
      </w:r>
      <w:r w:rsidR="00561D25">
        <w:t xml:space="preserve"> commercial units in Harlem</w:t>
      </w:r>
      <w:r w:rsidR="00657C11">
        <w:t xml:space="preserve">. The residential units </w:t>
      </w:r>
      <w:r w:rsidR="00561D25">
        <w:t xml:space="preserve">include </w:t>
      </w:r>
      <w:r w:rsidR="00657C11">
        <w:t xml:space="preserve">10 studio units, 10 one-bedroom units, 139 two-bedroom units, and 56 three-bedroom units (inclusive of two superintendent units). </w:t>
      </w:r>
    </w:p>
    <w:p w14:paraId="1F39BA0C" w14:textId="77777777" w:rsidR="003F0F98" w:rsidRDefault="003F0F98" w:rsidP="00991682">
      <w:pPr>
        <w:jc w:val="both"/>
      </w:pPr>
    </w:p>
    <w:p w14:paraId="5B036D72" w14:textId="21A6F13E" w:rsidR="00AB17C1" w:rsidRDefault="00657C11" w:rsidP="00AB17C1">
      <w:pPr>
        <w:jc w:val="both"/>
      </w:pPr>
      <w:r w:rsidRPr="00657C11">
        <w:t xml:space="preserve">NME II HDFC acquired the </w:t>
      </w:r>
      <w:r>
        <w:t>properties</w:t>
      </w:r>
      <w:r w:rsidRPr="00657C11">
        <w:t xml:space="preserve"> in 2015. Northern Man</w:t>
      </w:r>
      <w:r>
        <w:t xml:space="preserve">hattan Equities II LLC </w:t>
      </w:r>
      <w:r w:rsidRPr="00657C11">
        <w:t xml:space="preserve">is the beneficial owner and operates the </w:t>
      </w:r>
      <w:r>
        <w:t>properties</w:t>
      </w:r>
      <w:r w:rsidRPr="00657C11">
        <w:t xml:space="preserve">. The HDFC and the </w:t>
      </w:r>
      <w:r>
        <w:t xml:space="preserve">LLC </w:t>
      </w:r>
      <w:r w:rsidRPr="00657C11">
        <w:t xml:space="preserve">financed the acquisition and rehabilitation of the </w:t>
      </w:r>
      <w:r>
        <w:t>properties</w:t>
      </w:r>
      <w:r w:rsidRPr="00657C11">
        <w:t xml:space="preserve"> with loans from HPD and a p</w:t>
      </w:r>
      <w:r>
        <w:t xml:space="preserve">rivate lending institution. </w:t>
      </w:r>
      <w:r w:rsidR="00337397">
        <w:t xml:space="preserve">On April 16, 2015, the </w:t>
      </w:r>
      <w:r w:rsidR="001A20B2" w:rsidRPr="001A20B2">
        <w:t xml:space="preserve">City Council </w:t>
      </w:r>
      <w:r w:rsidR="00337397">
        <w:t xml:space="preserve">approved </w:t>
      </w:r>
      <w:r w:rsidR="001A20B2" w:rsidRPr="001A20B2">
        <w:t>Resolution No. 663 providing the project with a 31.5-year Article XI tax exemption from the date of July 2, 2015, the date the project entered into a new regulatory agreement.</w:t>
      </w:r>
      <w:r w:rsidR="001A20B2">
        <w:t xml:space="preserve"> The</w:t>
      </w:r>
      <w:r w:rsidR="001A20B2" w:rsidRPr="00A64C37">
        <w:t xml:space="preserve"> </w:t>
      </w:r>
      <w:r w:rsidR="001A20B2">
        <w:t>HDFC, LLC</w:t>
      </w:r>
      <w:r w:rsidR="001A20B2" w:rsidRPr="00A64C37">
        <w:t xml:space="preserve"> and </w:t>
      </w:r>
      <w:r w:rsidRPr="00657C11">
        <w:t>HPD entered into a</w:t>
      </w:r>
      <w:r w:rsidR="00AB17C1">
        <w:t>n</w:t>
      </w:r>
      <w:r w:rsidRPr="00657C11">
        <w:t xml:space="preserve"> </w:t>
      </w:r>
      <w:r w:rsidR="00AB17C1">
        <w:t xml:space="preserve">amended and restated </w:t>
      </w:r>
      <w:r w:rsidRPr="00657C11">
        <w:t>regulatory agreement on November 30, 2018</w:t>
      </w:r>
      <w:r w:rsidR="00AB17C1">
        <w:t xml:space="preserve">, requiring that 21 units </w:t>
      </w:r>
      <w:r w:rsidR="00337397">
        <w:t>be leased only to households</w:t>
      </w:r>
      <w:r w:rsidR="00337397" w:rsidRPr="00032E88">
        <w:t xml:space="preserve"> </w:t>
      </w:r>
      <w:r w:rsidR="00337397">
        <w:t xml:space="preserve">with incomes up to </w:t>
      </w:r>
      <w:r w:rsidR="00AB17C1">
        <w:t>40% AMI, 111</w:t>
      </w:r>
      <w:r w:rsidR="00AB17C1" w:rsidRPr="00032E88">
        <w:t xml:space="preserve"> units </w:t>
      </w:r>
      <w:r w:rsidR="00337397">
        <w:t>be leased only to households</w:t>
      </w:r>
      <w:r w:rsidR="00337397" w:rsidRPr="00032E88">
        <w:t xml:space="preserve"> </w:t>
      </w:r>
      <w:r w:rsidR="00337397">
        <w:t xml:space="preserve">with incomes up to </w:t>
      </w:r>
      <w:r w:rsidR="00AB17C1">
        <w:t xml:space="preserve">60% AMI (31 permanently), 41 </w:t>
      </w:r>
      <w:r w:rsidR="00AB17C1" w:rsidRPr="00032E88">
        <w:t xml:space="preserve">units </w:t>
      </w:r>
      <w:r w:rsidR="00337397">
        <w:t>be leased only to households</w:t>
      </w:r>
      <w:r w:rsidR="00337397" w:rsidRPr="00032E88">
        <w:t xml:space="preserve"> </w:t>
      </w:r>
      <w:r w:rsidR="00337397">
        <w:t xml:space="preserve">with incomes up to </w:t>
      </w:r>
      <w:r w:rsidR="00AB17C1">
        <w:t>80% AMI</w:t>
      </w:r>
      <w:r w:rsidR="00337397">
        <w:t>,</w:t>
      </w:r>
      <w:r w:rsidR="00AB17C1">
        <w:t xml:space="preserve"> and 32 units </w:t>
      </w:r>
      <w:r w:rsidR="00337397">
        <w:t>be leased only to households</w:t>
      </w:r>
      <w:r w:rsidR="00337397" w:rsidRPr="00032E88">
        <w:t xml:space="preserve"> </w:t>
      </w:r>
      <w:r w:rsidR="00337397">
        <w:t xml:space="preserve">with incomes up to </w:t>
      </w:r>
      <w:r w:rsidR="00AB17C1">
        <w:t>100% AMI.</w:t>
      </w:r>
    </w:p>
    <w:p w14:paraId="37E665C8" w14:textId="77777777" w:rsidR="003F0F98" w:rsidRDefault="003F0F98" w:rsidP="00991682">
      <w:pPr>
        <w:jc w:val="both"/>
      </w:pPr>
    </w:p>
    <w:p w14:paraId="757A1C7B" w14:textId="001F37EE" w:rsidR="00657C11" w:rsidRDefault="00657C11" w:rsidP="003F0F98">
      <w:pPr>
        <w:pStyle w:val="MediumGrid1-Accent21"/>
        <w:ind w:left="0"/>
        <w:jc w:val="both"/>
      </w:pPr>
      <w:r>
        <w:t>Subsequently, t</w:t>
      </w:r>
      <w:r w:rsidRPr="00A64C37">
        <w:t xml:space="preserve">he project suffered delays in converting to permanent financing and </w:t>
      </w:r>
      <w:r>
        <w:t>was required to obtain</w:t>
      </w:r>
      <w:r w:rsidRPr="00A64C37">
        <w:t xml:space="preserve"> </w:t>
      </w:r>
      <w:r>
        <w:t xml:space="preserve">a bridge </w:t>
      </w:r>
      <w:r w:rsidRPr="00A64C37">
        <w:t>loan with Merchants Bank of Indiana in November 2018.</w:t>
      </w:r>
      <w:r>
        <w:t xml:space="preserve"> The project is also planning to obtain a 35-year permanent financing loan with </w:t>
      </w:r>
      <w:r w:rsidRPr="00362436">
        <w:t>Merchants Bank of Indiana</w:t>
      </w:r>
      <w:r>
        <w:t xml:space="preserve">. </w:t>
      </w:r>
    </w:p>
    <w:p w14:paraId="68A3A36D" w14:textId="06E098FD" w:rsidR="00657C11" w:rsidRDefault="00657C11" w:rsidP="00561D25">
      <w:pPr>
        <w:pStyle w:val="MediumGrid1-Accent21"/>
        <w:ind w:left="0"/>
        <w:jc w:val="both"/>
      </w:pPr>
    </w:p>
    <w:p w14:paraId="482E57B1" w14:textId="4EDB3FF8" w:rsidR="00657C11" w:rsidRPr="00A64C37" w:rsidRDefault="00657C11" w:rsidP="00561D25">
      <w:pPr>
        <w:pStyle w:val="MediumGrid1-Accent21"/>
        <w:ind w:left="0"/>
        <w:jc w:val="both"/>
      </w:pPr>
      <w:r>
        <w:t xml:space="preserve">HPD is requesting that the Council approve </w:t>
      </w:r>
      <w:r w:rsidR="00337397">
        <w:t>a full, 40-year</w:t>
      </w:r>
      <w:r>
        <w:t xml:space="preserve"> Article XI tax exemption </w:t>
      </w:r>
      <w:r w:rsidR="00337397">
        <w:t>commencing on November 30, 2018 to replace the prior exemption which would be terminated</w:t>
      </w:r>
      <w:r>
        <w:t xml:space="preserve">. The extension would </w:t>
      </w:r>
      <w:r w:rsidR="00337397">
        <w:t>be</w:t>
      </w:r>
      <w:r w:rsidRPr="00362436">
        <w:t xml:space="preserve"> coterminous with the term of the permanent financing</w:t>
      </w:r>
      <w:r>
        <w:t xml:space="preserve"> loan</w:t>
      </w:r>
      <w:r w:rsidRPr="00362436">
        <w:t xml:space="preserve">, satisfy the tax benefit conditions of the first position lender, help </w:t>
      </w:r>
      <w:r w:rsidR="00561D25">
        <w:t xml:space="preserve">to </w:t>
      </w:r>
      <w:r w:rsidRPr="00362436">
        <w:t xml:space="preserve">leverage private financing, and assure the long-term viability of the project. </w:t>
      </w:r>
      <w:r>
        <w:t xml:space="preserve"> </w:t>
      </w:r>
    </w:p>
    <w:p w14:paraId="7159C87F" w14:textId="5349DE95" w:rsidR="00657C11" w:rsidRDefault="00657C11" w:rsidP="00561D25">
      <w:pPr>
        <w:pStyle w:val="MediumGrid1-Accent21"/>
        <w:ind w:left="0"/>
        <w:jc w:val="both"/>
      </w:pPr>
    </w:p>
    <w:p w14:paraId="699BDEB9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2821921E" w14:textId="77777777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>
        <w:t>Manhattan</w:t>
      </w:r>
    </w:p>
    <w:p w14:paraId="13EF65AD" w14:textId="77777777" w:rsidR="00657C11" w:rsidRPr="00657C11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657C11">
        <w:rPr>
          <w:color w:val="000000"/>
        </w:rPr>
        <w:t>Block 1823, Lot 18; Block 2025, Lots 44, 46, 47, and 49; Block 2031, Lots 7 and 12</w:t>
      </w:r>
    </w:p>
    <w:p w14:paraId="3B55ADB9" w14:textId="2EE14A62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>
        <w:t>9</w:t>
      </w:r>
    </w:p>
    <w:p w14:paraId="60F66347" w14:textId="77777777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>
        <w:t>Perkins</w:t>
      </w:r>
    </w:p>
    <w:p w14:paraId="674B8929" w14:textId="77777777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57D9D916" w14:textId="4FD3A365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>
        <w:t>Number of buildings – 7</w:t>
      </w:r>
    </w:p>
    <w:p w14:paraId="5B6A101C" w14:textId="4A3E0CD6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>
        <w:t>207 (including 2</w:t>
      </w:r>
      <w:r w:rsidRPr="00250DC6">
        <w:t xml:space="preserve"> superintendent unit</w:t>
      </w:r>
      <w:r>
        <w:t>s)</w:t>
      </w:r>
    </w:p>
    <w:p w14:paraId="0EF8EA53" w14:textId="77777777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</w:t>
      </w:r>
      <w:r w:rsidRPr="00250DC6">
        <w:t>, 40 years</w:t>
      </w:r>
    </w:p>
    <w:p w14:paraId="7E42380F" w14:textId="77777777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>Population – affordable rental housing</w:t>
      </w:r>
    </w:p>
    <w:p w14:paraId="4D6D8358" w14:textId="5DA5662F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>
        <w:t xml:space="preserve"> </w:t>
      </w:r>
      <w:r w:rsidRPr="00657C11">
        <w:t xml:space="preserve">NME II </w:t>
      </w:r>
      <w:r w:rsidR="00561D25">
        <w:t>HDFC</w:t>
      </w:r>
      <w:r>
        <w:t xml:space="preserve">, </w:t>
      </w:r>
      <w:r w:rsidRPr="00657C11">
        <w:t>Northern Manhattan Equities II LLC</w:t>
      </w:r>
      <w:r>
        <w:t xml:space="preserve">, </w:t>
      </w:r>
      <w:r w:rsidRPr="00657C11">
        <w:t>Exact Capital Group LLC</w:t>
      </w:r>
    </w:p>
    <w:p w14:paraId="7D54B662" w14:textId="77777777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35E5D1A0" w14:textId="531E53A4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Cost to the city - $</w:t>
      </w:r>
      <w:r>
        <w:t>8.4</w:t>
      </w:r>
      <w:r w:rsidRPr="00250DC6">
        <w:t xml:space="preserve"> million</w:t>
      </w:r>
    </w:p>
    <w:p w14:paraId="4CA7C310" w14:textId="77777777" w:rsidR="00657C11" w:rsidRPr="00250DC6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5AF311C8" w14:textId="2E9F6C46" w:rsidR="00657C11" w:rsidRPr="00250DC6" w:rsidRDefault="00657C11" w:rsidP="00561D25">
      <w:pPr>
        <w:pStyle w:val="ListParagraph"/>
        <w:numPr>
          <w:ilvl w:val="1"/>
          <w:numId w:val="1"/>
        </w:numPr>
        <w:contextualSpacing w:val="0"/>
      </w:pPr>
      <w:r>
        <w:t>Class A – 24</w:t>
      </w:r>
    </w:p>
    <w:p w14:paraId="39FDFEBF" w14:textId="4E7008A7" w:rsidR="00657C11" w:rsidRPr="00250DC6" w:rsidRDefault="00657C11" w:rsidP="00561D25">
      <w:pPr>
        <w:pStyle w:val="ListParagraph"/>
        <w:numPr>
          <w:ilvl w:val="1"/>
          <w:numId w:val="1"/>
        </w:numPr>
        <w:contextualSpacing w:val="0"/>
      </w:pPr>
      <w:r>
        <w:t>Class B – 45</w:t>
      </w:r>
    </w:p>
    <w:p w14:paraId="6022BE1A" w14:textId="300733C7" w:rsidR="00657C11" w:rsidRPr="00250DC6" w:rsidRDefault="00657C11" w:rsidP="00561D25">
      <w:pPr>
        <w:pStyle w:val="ListParagraph"/>
        <w:numPr>
          <w:ilvl w:val="1"/>
          <w:numId w:val="1"/>
        </w:numPr>
        <w:contextualSpacing w:val="0"/>
      </w:pPr>
      <w:r>
        <w:t>Class C – 9</w:t>
      </w:r>
    </w:p>
    <w:p w14:paraId="2FE3C7AF" w14:textId="64083A07" w:rsidR="00657C11" w:rsidRDefault="00657C11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AMI target – </w:t>
      </w:r>
      <w:r>
        <w:t>21 units at 40</w:t>
      </w:r>
      <w:r w:rsidR="00606C70">
        <w:t>% AMI</w:t>
      </w:r>
      <w:r>
        <w:t>, 111</w:t>
      </w:r>
      <w:r w:rsidRPr="00032E88">
        <w:t xml:space="preserve"> units at </w:t>
      </w:r>
      <w:r>
        <w:t>60</w:t>
      </w:r>
      <w:r w:rsidR="00606C70">
        <w:t>% AMI</w:t>
      </w:r>
      <w:r>
        <w:t>, 41</w:t>
      </w:r>
      <w:r w:rsidRPr="00032E88">
        <w:t xml:space="preserve"> units at </w:t>
      </w:r>
      <w:r>
        <w:t>80</w:t>
      </w:r>
      <w:r w:rsidR="00606C70">
        <w:t>% AMI</w:t>
      </w:r>
      <w:r>
        <w:t xml:space="preserve"> and 32 </w:t>
      </w:r>
      <w:r w:rsidRPr="00032E88">
        <w:t>unit</w:t>
      </w:r>
      <w:r>
        <w:t>s</w:t>
      </w:r>
      <w:r w:rsidRPr="00032E88">
        <w:t xml:space="preserve"> at </w:t>
      </w:r>
      <w:r>
        <w:t>100</w:t>
      </w:r>
      <w:r w:rsidR="00606C70">
        <w:t>% AMI</w:t>
      </w:r>
    </w:p>
    <w:p w14:paraId="645A4096" w14:textId="77777777" w:rsidR="00561D25" w:rsidRPr="00CD1D0A" w:rsidRDefault="00561D25" w:rsidP="00561D25">
      <w:pPr>
        <w:pStyle w:val="ListParagraph"/>
        <w:contextualSpacing w:val="0"/>
      </w:pPr>
    </w:p>
    <w:p w14:paraId="7E16D245" w14:textId="1AA561D1" w:rsidR="000E2083" w:rsidRDefault="000E2083" w:rsidP="00561D25">
      <w:pPr>
        <w:rPr>
          <w:b/>
          <w:u w:val="single"/>
        </w:rPr>
      </w:pPr>
      <w:r>
        <w:rPr>
          <w:b/>
          <w:u w:val="single"/>
        </w:rPr>
        <w:t xml:space="preserve">Item 3: </w:t>
      </w:r>
      <w:r w:rsidRPr="00F3448D">
        <w:rPr>
          <w:b/>
          <w:u w:val="single"/>
        </w:rPr>
        <w:t>Jamie’s Place Apartments</w:t>
      </w:r>
    </w:p>
    <w:p w14:paraId="3C4E702F" w14:textId="77777777" w:rsidR="00561D25" w:rsidRDefault="00561D25" w:rsidP="00561D25">
      <w:pPr>
        <w:pStyle w:val="MediumGrid1-Accent21"/>
        <w:ind w:left="0"/>
        <w:jc w:val="both"/>
      </w:pPr>
    </w:p>
    <w:p w14:paraId="09F39910" w14:textId="2F551470" w:rsidR="004D4D54" w:rsidRDefault="000E2083" w:rsidP="00561D25">
      <w:pPr>
        <w:pStyle w:val="MediumGrid1-Accent21"/>
        <w:ind w:left="0"/>
        <w:jc w:val="both"/>
        <w:rPr>
          <w:rFonts w:ascii="Arial" w:eastAsia="Arial" w:hAnsi="Arial" w:cs="Arial"/>
        </w:rPr>
      </w:pPr>
      <w:r w:rsidRPr="00867FF6">
        <w:t xml:space="preserve">On </w:t>
      </w:r>
      <w:r>
        <w:t>June 14, 2018</w:t>
      </w:r>
      <w:r w:rsidRPr="00867FF6">
        <w:t>, t</w:t>
      </w:r>
      <w:r>
        <w:t xml:space="preserve">he </w:t>
      </w:r>
      <w:r w:rsidR="003669EF">
        <w:t>Council approved Resolution</w:t>
      </w:r>
      <w:r w:rsidR="004D4D54" w:rsidRPr="004D4D54">
        <w:t xml:space="preserve"> No. 411, which provided a 40-year Article XI tax exemption for Jamie’s Place Apartments in East Harlem. Jamie’s Place Apartments is a five-building development comprised of 126 units of affordable housing. HPD is requesting that the Council approve an amendment to the prior resolut</w:t>
      </w:r>
      <w:r w:rsidR="004D4D54">
        <w:t xml:space="preserve">ion to </w:t>
      </w:r>
      <w:r w:rsidR="00FF1565">
        <w:t xml:space="preserve">decrease the partial property tax payment that would be required by the HDFC in order to </w:t>
      </w:r>
      <w:proofErr w:type="gramStart"/>
      <w:r w:rsidR="00FF1565">
        <w:t>increased</w:t>
      </w:r>
      <w:proofErr w:type="gramEnd"/>
      <w:r w:rsidR="00FF1565">
        <w:t xml:space="preserve"> labor costs</w:t>
      </w:r>
      <w:r w:rsidR="004D4D54">
        <w:t>.</w:t>
      </w:r>
    </w:p>
    <w:p w14:paraId="6DD00413" w14:textId="77777777" w:rsidR="000E2083" w:rsidRPr="00867FF6" w:rsidRDefault="000E2083" w:rsidP="00561D25">
      <w:pPr>
        <w:pStyle w:val="MediumGrid1-Accent21"/>
        <w:ind w:left="0"/>
      </w:pPr>
    </w:p>
    <w:p w14:paraId="60393281" w14:textId="77777777" w:rsidR="000E2083" w:rsidRPr="00FB415C" w:rsidRDefault="000E2083" w:rsidP="00561D25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0D536465" w14:textId="5FEC9152" w:rsidR="000E2083" w:rsidRPr="00867FF6" w:rsidRDefault="000E2083" w:rsidP="00561D25">
      <w:pPr>
        <w:pStyle w:val="ListParagraph"/>
        <w:numPr>
          <w:ilvl w:val="0"/>
          <w:numId w:val="2"/>
        </w:numPr>
        <w:contextualSpacing w:val="0"/>
      </w:pPr>
      <w:r w:rsidRPr="00867FF6">
        <w:t xml:space="preserve">Borough – </w:t>
      </w:r>
      <w:r w:rsidR="00EE3418">
        <w:t>Manhattan</w:t>
      </w:r>
    </w:p>
    <w:p w14:paraId="533F2EE3" w14:textId="77777777" w:rsidR="000E2083" w:rsidRDefault="000E2083" w:rsidP="00561D25">
      <w:pPr>
        <w:pStyle w:val="ListParagraph"/>
        <w:numPr>
          <w:ilvl w:val="0"/>
          <w:numId w:val="2"/>
        </w:numPr>
        <w:contextualSpacing w:val="0"/>
      </w:pPr>
      <w:r>
        <w:t>Block 1645, Lots 12 and 59; Block 1768, Lots 1 and 7; Block 1767, Lot 60</w:t>
      </w:r>
    </w:p>
    <w:p w14:paraId="39F69D25" w14:textId="437035B6" w:rsidR="000E2083" w:rsidRPr="00867FF6" w:rsidRDefault="000E2083" w:rsidP="00561D25">
      <w:pPr>
        <w:pStyle w:val="ListParagraph"/>
        <w:numPr>
          <w:ilvl w:val="0"/>
          <w:numId w:val="2"/>
        </w:numPr>
        <w:contextualSpacing w:val="0"/>
      </w:pPr>
      <w:r>
        <w:t>Council District</w:t>
      </w:r>
      <w:r w:rsidR="00102485">
        <w:t>s</w:t>
      </w:r>
      <w:r>
        <w:t xml:space="preserve"> – 8 and 9</w:t>
      </w:r>
    </w:p>
    <w:p w14:paraId="44F776BF" w14:textId="5C63C96B" w:rsidR="000E2083" w:rsidRPr="00867FF6" w:rsidRDefault="000E2083" w:rsidP="00561D25">
      <w:pPr>
        <w:pStyle w:val="ListParagraph"/>
        <w:numPr>
          <w:ilvl w:val="0"/>
          <w:numId w:val="2"/>
        </w:numPr>
        <w:contextualSpacing w:val="0"/>
      </w:pPr>
      <w:r w:rsidRPr="00867FF6">
        <w:t>Council Member</w:t>
      </w:r>
      <w:r w:rsidR="00102485">
        <w:t>s</w:t>
      </w:r>
      <w:r w:rsidRPr="00867FF6">
        <w:t xml:space="preserve"> – </w:t>
      </w:r>
      <w:r>
        <w:t>Ayala and Perkins</w:t>
      </w:r>
    </w:p>
    <w:p w14:paraId="64936336" w14:textId="77777777" w:rsidR="000E2083" w:rsidRPr="00867FF6" w:rsidRDefault="000E2083" w:rsidP="00561D25">
      <w:pPr>
        <w:pStyle w:val="ListParagraph"/>
        <w:numPr>
          <w:ilvl w:val="0"/>
          <w:numId w:val="2"/>
        </w:numPr>
        <w:contextualSpacing w:val="0"/>
      </w:pPr>
      <w:r w:rsidRPr="00867FF6">
        <w:t>Council Member approval –Yes</w:t>
      </w:r>
    </w:p>
    <w:p w14:paraId="0552090E" w14:textId="77777777" w:rsidR="000E2083" w:rsidRPr="00867FF6" w:rsidRDefault="000E2083" w:rsidP="00561D25">
      <w:pPr>
        <w:pStyle w:val="ListParagraph"/>
        <w:numPr>
          <w:ilvl w:val="0"/>
          <w:numId w:val="2"/>
        </w:numPr>
        <w:contextualSpacing w:val="0"/>
      </w:pPr>
      <w:r>
        <w:t>Number of buildings – 5</w:t>
      </w:r>
    </w:p>
    <w:p w14:paraId="373209EB" w14:textId="77777777" w:rsidR="000E2083" w:rsidRPr="00867FF6" w:rsidRDefault="000E2083" w:rsidP="00561D25">
      <w:pPr>
        <w:pStyle w:val="ListParagraph"/>
        <w:numPr>
          <w:ilvl w:val="0"/>
          <w:numId w:val="2"/>
        </w:numPr>
        <w:contextualSpacing w:val="0"/>
      </w:pPr>
      <w:r>
        <w:t>Number of units – 126</w:t>
      </w:r>
      <w:r w:rsidRPr="00867FF6">
        <w:t xml:space="preserve"> (including 2 superintendent units)</w:t>
      </w:r>
    </w:p>
    <w:p w14:paraId="15B3602E" w14:textId="77777777" w:rsidR="000E2083" w:rsidRPr="00867FF6" w:rsidRDefault="000E2083" w:rsidP="00561D25">
      <w:pPr>
        <w:pStyle w:val="ListParagraph"/>
        <w:numPr>
          <w:ilvl w:val="0"/>
          <w:numId w:val="2"/>
        </w:numPr>
        <w:contextualSpacing w:val="0"/>
      </w:pPr>
      <w:r w:rsidRPr="00867FF6">
        <w:t xml:space="preserve">Type of exemption – Article XI, </w:t>
      </w:r>
      <w:r>
        <w:t>partial, 40</w:t>
      </w:r>
      <w:r w:rsidRPr="00867FF6">
        <w:t xml:space="preserve"> years</w:t>
      </w:r>
    </w:p>
    <w:p w14:paraId="1D7D7617" w14:textId="77777777" w:rsidR="000E2083" w:rsidRDefault="000E2083" w:rsidP="00561D25">
      <w:pPr>
        <w:pStyle w:val="ListParagraph"/>
        <w:numPr>
          <w:ilvl w:val="0"/>
          <w:numId w:val="2"/>
        </w:numPr>
        <w:contextualSpacing w:val="0"/>
      </w:pPr>
      <w:r w:rsidRPr="00867FF6">
        <w:t>Purpose – amendment</w:t>
      </w:r>
      <w:r>
        <w:t xml:space="preserve"> of prior resolution</w:t>
      </w:r>
    </w:p>
    <w:p w14:paraId="71281EBA" w14:textId="5D48BACE" w:rsidR="000E2083" w:rsidRDefault="000E2083" w:rsidP="00561D25">
      <w:pPr>
        <w:pStyle w:val="ListParagraph"/>
        <w:numPr>
          <w:ilvl w:val="0"/>
          <w:numId w:val="2"/>
        </w:numPr>
        <w:contextualSpacing w:val="0"/>
      </w:pPr>
      <w:r>
        <w:t>Cost to the City – $</w:t>
      </w:r>
      <w:r w:rsidR="000B75E9">
        <w:t>1.5 million</w:t>
      </w:r>
    </w:p>
    <w:p w14:paraId="6DD529B6" w14:textId="7D2F1BBB" w:rsidR="00561D25" w:rsidRDefault="00561D25" w:rsidP="00561D25">
      <w:pPr>
        <w:pStyle w:val="ListParagraph"/>
        <w:contextualSpacing w:val="0"/>
      </w:pPr>
    </w:p>
    <w:p w14:paraId="1347DBA8" w14:textId="77777777" w:rsidR="00FF1565" w:rsidRDefault="00FF1565" w:rsidP="00561D25">
      <w:pPr>
        <w:pStyle w:val="ListParagraph"/>
        <w:contextualSpacing w:val="0"/>
      </w:pPr>
    </w:p>
    <w:p w14:paraId="337C1A0F" w14:textId="6BB93397" w:rsidR="0007468E" w:rsidRDefault="00A64C37" w:rsidP="00561D25">
      <w:pPr>
        <w:pStyle w:val="MediumGrid1-Accent21"/>
        <w:ind w:left="0"/>
        <w:rPr>
          <w:b/>
          <w:u w:val="single"/>
        </w:rPr>
      </w:pPr>
      <w:r>
        <w:rPr>
          <w:b/>
          <w:u w:val="single"/>
        </w:rPr>
        <w:t>Item 4</w:t>
      </w:r>
      <w:r w:rsidR="0007468E">
        <w:rPr>
          <w:b/>
          <w:u w:val="single"/>
        </w:rPr>
        <w:t xml:space="preserve">: </w:t>
      </w:r>
      <w:r w:rsidR="0007468E" w:rsidRPr="0007468E">
        <w:rPr>
          <w:b/>
          <w:u w:val="single"/>
        </w:rPr>
        <w:t>1415-1417 Wythe Place Pillars</w:t>
      </w:r>
    </w:p>
    <w:p w14:paraId="477508E0" w14:textId="59B2F336" w:rsidR="0007468E" w:rsidRDefault="0007468E" w:rsidP="00561D25">
      <w:pPr>
        <w:pStyle w:val="MediumGrid1-Accent21"/>
        <w:ind w:left="0"/>
        <w:rPr>
          <w:b/>
          <w:u w:val="single"/>
        </w:rPr>
      </w:pPr>
    </w:p>
    <w:p w14:paraId="41294A5D" w14:textId="50C85F72" w:rsidR="00715D53" w:rsidRDefault="00715D53" w:rsidP="00561D25">
      <w:pPr>
        <w:pStyle w:val="MediumGrid1-Accent21"/>
        <w:ind w:left="0"/>
        <w:jc w:val="both"/>
      </w:pPr>
      <w:r w:rsidRPr="00715D53">
        <w:t xml:space="preserve">1415-1417 Wythe </w:t>
      </w:r>
      <w:r w:rsidR="005642E3" w:rsidRPr="005642E3">
        <w:t xml:space="preserve">Place Pillars </w:t>
      </w:r>
      <w:r w:rsidRPr="00715D53">
        <w:t xml:space="preserve">is </w:t>
      </w:r>
      <w:r>
        <w:t xml:space="preserve">comprised of </w:t>
      </w:r>
      <w:r w:rsidRPr="00715D53">
        <w:t xml:space="preserve">58 </w:t>
      </w:r>
      <w:r>
        <w:t xml:space="preserve">residential units and a commercial space. The residential units include 35 </w:t>
      </w:r>
      <w:r w:rsidRPr="00715D53">
        <w:t xml:space="preserve">one-bedroom </w:t>
      </w:r>
      <w:r>
        <w:t xml:space="preserve">units, 10 </w:t>
      </w:r>
      <w:r w:rsidRPr="00715D53">
        <w:t xml:space="preserve">two-bedroom </w:t>
      </w:r>
      <w:r>
        <w:t>units, five three-bedroom unit</w:t>
      </w:r>
      <w:r w:rsidRPr="00715D53">
        <w:t xml:space="preserve">s, and one four-bedroom </w:t>
      </w:r>
      <w:r>
        <w:t xml:space="preserve">unit (inclusive of one superintendent unit). </w:t>
      </w:r>
    </w:p>
    <w:p w14:paraId="2EF56C4B" w14:textId="50BF6151" w:rsidR="00715D53" w:rsidRDefault="00715D53" w:rsidP="00561D25">
      <w:pPr>
        <w:pStyle w:val="MediumGrid1-Accent21"/>
        <w:ind w:left="0"/>
        <w:jc w:val="both"/>
      </w:pPr>
    </w:p>
    <w:p w14:paraId="119280BF" w14:textId="33689117" w:rsidR="007E2DFA" w:rsidRDefault="00FB57FE" w:rsidP="00561D25">
      <w:pPr>
        <w:pStyle w:val="MediumGrid1-Accent21"/>
        <w:ind w:left="0"/>
        <w:jc w:val="both"/>
      </w:pPr>
      <w:r>
        <w:t xml:space="preserve">The building is owned and managed by </w:t>
      </w:r>
      <w:r w:rsidR="00715D53" w:rsidRPr="00715D53">
        <w:t xml:space="preserve">1415 Wythe </w:t>
      </w:r>
      <w:r w:rsidR="00561D25">
        <w:t>HDFC</w:t>
      </w:r>
      <w:r w:rsidR="00715D53" w:rsidRPr="00715D53">
        <w:t xml:space="preserve">. </w:t>
      </w:r>
      <w:r>
        <w:t>The HDFC</w:t>
      </w:r>
      <w:r w:rsidR="00715D53" w:rsidRPr="00715D53">
        <w:t xml:space="preserve"> will finance the rehabilitation of the </w:t>
      </w:r>
      <w:r>
        <w:t>property</w:t>
      </w:r>
      <w:r w:rsidR="00715D53" w:rsidRPr="00715D53">
        <w:t xml:space="preserve"> with loans from HPD</w:t>
      </w:r>
      <w:r w:rsidR="00A64C37">
        <w:t xml:space="preserve"> </w:t>
      </w:r>
      <w:r w:rsidR="00715D53" w:rsidRPr="00715D53">
        <w:t xml:space="preserve">and a private lending institution. </w:t>
      </w:r>
    </w:p>
    <w:p w14:paraId="37A1FDB9" w14:textId="77777777" w:rsidR="007E2DFA" w:rsidRDefault="007E2DFA" w:rsidP="00561D25">
      <w:pPr>
        <w:pStyle w:val="MediumGrid1-Accent21"/>
        <w:ind w:left="0"/>
        <w:jc w:val="both"/>
      </w:pPr>
    </w:p>
    <w:p w14:paraId="67F09DCB" w14:textId="72334EE3" w:rsidR="00D045E0" w:rsidRPr="00FF1565" w:rsidRDefault="007E2DFA" w:rsidP="00D045E0">
      <w:pPr>
        <w:pStyle w:val="MediumGrid1-Accent21"/>
        <w:ind w:left="0"/>
        <w:jc w:val="both"/>
      </w:pPr>
      <w:r>
        <w:t xml:space="preserve">HPD is requesting that the Council approve a </w:t>
      </w:r>
      <w:r w:rsidR="008E6810">
        <w:t xml:space="preserve">full, 40-year tax exemption to support affordability. </w:t>
      </w:r>
      <w:r w:rsidR="00715D53" w:rsidRPr="00715D53">
        <w:t xml:space="preserve">The </w:t>
      </w:r>
      <w:r w:rsidR="00FB57FE">
        <w:t>HDFC</w:t>
      </w:r>
      <w:r w:rsidR="00715D53" w:rsidRPr="00715D53">
        <w:t>, the New York City Housing Development Corporation</w:t>
      </w:r>
      <w:r w:rsidR="00561D25">
        <w:t xml:space="preserve"> (HDC</w:t>
      </w:r>
      <w:r w:rsidR="00FB57FE">
        <w:t xml:space="preserve">) and HPD would </w:t>
      </w:r>
      <w:r w:rsidR="00715D53" w:rsidRPr="00715D53">
        <w:t xml:space="preserve">enter into a regulatory </w:t>
      </w:r>
      <w:r w:rsidR="00561D25">
        <w:t xml:space="preserve">agreement </w:t>
      </w:r>
      <w:r w:rsidR="00FB57FE">
        <w:t xml:space="preserve">that would require that </w:t>
      </w:r>
      <w:r w:rsidR="00D045E0">
        <w:t xml:space="preserve">seven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074EB9">
        <w:t>60</w:t>
      </w:r>
      <w:r w:rsidR="00D045E0">
        <w:t xml:space="preserve">% AMI, 21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074EB9">
        <w:t>80</w:t>
      </w:r>
      <w:r w:rsidR="00D045E0">
        <w:t xml:space="preserve">% AMI, 25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074EB9">
        <w:t>9</w:t>
      </w:r>
      <w:r w:rsidR="00D045E0">
        <w:t xml:space="preserve">0% AMI, three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074EB9">
        <w:t xml:space="preserve">120% AMI, and one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074EB9">
        <w:t>125</w:t>
      </w:r>
      <w:r w:rsidR="00D045E0">
        <w:t>% AMI.</w:t>
      </w:r>
      <w:r w:rsidR="00D045E0">
        <w:rPr>
          <w:b/>
          <w:u w:val="single"/>
        </w:rPr>
        <w:t xml:space="preserve"> </w:t>
      </w:r>
    </w:p>
    <w:p w14:paraId="7FE10095" w14:textId="5763CD9E" w:rsidR="00715D53" w:rsidRDefault="00715D53" w:rsidP="00561D25">
      <w:pPr>
        <w:pStyle w:val="MediumGrid1-Accent21"/>
        <w:ind w:left="0"/>
        <w:rPr>
          <w:b/>
          <w:u w:val="single"/>
        </w:rPr>
      </w:pPr>
    </w:p>
    <w:p w14:paraId="2ACBB511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4A75F648" w14:textId="72A141E1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Borough – </w:t>
      </w:r>
      <w:r w:rsidR="008E6810">
        <w:t>Bronx</w:t>
      </w:r>
    </w:p>
    <w:p w14:paraId="7C8122F6" w14:textId="77777777" w:rsidR="008E6810" w:rsidRDefault="008E6810" w:rsidP="00561D25">
      <w:pPr>
        <w:pStyle w:val="ListParagraph"/>
        <w:numPr>
          <w:ilvl w:val="0"/>
          <w:numId w:val="1"/>
        </w:numPr>
        <w:contextualSpacing w:val="0"/>
      </w:pPr>
      <w:r w:rsidRPr="008E6810">
        <w:t>Block 2843, Lot 93</w:t>
      </w:r>
    </w:p>
    <w:p w14:paraId="0AAAB729" w14:textId="3D48C3FB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District – </w:t>
      </w:r>
      <w:r w:rsidR="008E6810">
        <w:t>14</w:t>
      </w:r>
    </w:p>
    <w:p w14:paraId="52414C2D" w14:textId="31E05B3D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Council Member – </w:t>
      </w:r>
      <w:r w:rsidR="008E6810">
        <w:t xml:space="preserve">Cabrera </w:t>
      </w:r>
    </w:p>
    <w:p w14:paraId="2E14419A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>Council Member approval –Yes</w:t>
      </w:r>
    </w:p>
    <w:p w14:paraId="5A256FF5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>Number of buildings – 1</w:t>
      </w:r>
    </w:p>
    <w:p w14:paraId="694500FD" w14:textId="5B36A788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Number of units – </w:t>
      </w:r>
      <w:r w:rsidR="008E6810">
        <w:t>58</w:t>
      </w:r>
      <w:r>
        <w:t xml:space="preserve"> (including 1</w:t>
      </w:r>
      <w:r w:rsidRPr="00250DC6">
        <w:t xml:space="preserve"> superintendent unit</w:t>
      </w:r>
      <w:r>
        <w:t>)</w:t>
      </w:r>
    </w:p>
    <w:p w14:paraId="1743D4D6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Type of exemption – Article XI, </w:t>
      </w:r>
      <w:r>
        <w:t>full</w:t>
      </w:r>
      <w:r w:rsidRPr="00250DC6">
        <w:t>, 40 years</w:t>
      </w:r>
    </w:p>
    <w:p w14:paraId="2048D0F0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>Population – affordable rental housing</w:t>
      </w:r>
    </w:p>
    <w:p w14:paraId="24844DB2" w14:textId="33D4AEDE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>Sponsor –</w:t>
      </w:r>
      <w:r w:rsidR="00032E88" w:rsidRPr="00032E88">
        <w:t xml:space="preserve">Wythe </w:t>
      </w:r>
      <w:r w:rsidR="00561D25">
        <w:t>HDFC</w:t>
      </w:r>
      <w:r w:rsidR="0097088B">
        <w:t xml:space="preserve">; </w:t>
      </w:r>
      <w:r w:rsidR="0097088B" w:rsidRPr="00032E88">
        <w:t>Settlement Housing Fund, Inc.</w:t>
      </w:r>
    </w:p>
    <w:p w14:paraId="02A57C96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>Purpose – preservation</w:t>
      </w:r>
    </w:p>
    <w:p w14:paraId="21A92E95" w14:textId="56620F68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Cost to the city </w:t>
      </w:r>
      <w:r w:rsidR="00146777">
        <w:t xml:space="preserve"> – </w:t>
      </w:r>
      <w:r w:rsidRPr="00250DC6">
        <w:t>$</w:t>
      </w:r>
      <w:r w:rsidR="00032E88">
        <w:t>3</w:t>
      </w:r>
      <w:r>
        <w:t>.9</w:t>
      </w:r>
      <w:r w:rsidRPr="00250DC6">
        <w:t xml:space="preserve"> million</w:t>
      </w:r>
    </w:p>
    <w:p w14:paraId="726CC46C" w14:textId="77777777" w:rsidR="007E2DFA" w:rsidRPr="00250DC6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Housing Code Violations </w:t>
      </w:r>
    </w:p>
    <w:p w14:paraId="51B86037" w14:textId="29438D94" w:rsidR="007E2DFA" w:rsidRPr="00250DC6" w:rsidRDefault="00032E88" w:rsidP="00561D25">
      <w:pPr>
        <w:pStyle w:val="ListParagraph"/>
        <w:numPr>
          <w:ilvl w:val="1"/>
          <w:numId w:val="1"/>
        </w:numPr>
        <w:contextualSpacing w:val="0"/>
      </w:pPr>
      <w:r>
        <w:t>Class A – 3</w:t>
      </w:r>
    </w:p>
    <w:p w14:paraId="294FF6EC" w14:textId="75908386" w:rsidR="007E2DFA" w:rsidRPr="00250DC6" w:rsidRDefault="00032E88" w:rsidP="00561D25">
      <w:pPr>
        <w:pStyle w:val="ListParagraph"/>
        <w:numPr>
          <w:ilvl w:val="1"/>
          <w:numId w:val="1"/>
        </w:numPr>
        <w:contextualSpacing w:val="0"/>
      </w:pPr>
      <w:r>
        <w:t>Class B – 20</w:t>
      </w:r>
    </w:p>
    <w:p w14:paraId="7BC08682" w14:textId="18D6564E" w:rsidR="007E2DFA" w:rsidRPr="00250DC6" w:rsidRDefault="007E2DFA" w:rsidP="00561D25">
      <w:pPr>
        <w:pStyle w:val="ListParagraph"/>
        <w:numPr>
          <w:ilvl w:val="1"/>
          <w:numId w:val="1"/>
        </w:numPr>
        <w:contextualSpacing w:val="0"/>
      </w:pPr>
      <w:r>
        <w:t>C</w:t>
      </w:r>
      <w:r w:rsidR="00032E88">
        <w:t>lass C – 11</w:t>
      </w:r>
    </w:p>
    <w:p w14:paraId="23F53412" w14:textId="7E89FDCF" w:rsidR="007E2DFA" w:rsidRDefault="007E2DFA" w:rsidP="00561D25">
      <w:pPr>
        <w:pStyle w:val="ListParagraph"/>
        <w:numPr>
          <w:ilvl w:val="0"/>
          <w:numId w:val="1"/>
        </w:numPr>
        <w:contextualSpacing w:val="0"/>
      </w:pPr>
      <w:r w:rsidRPr="00250DC6">
        <w:t xml:space="preserve">AMI target – </w:t>
      </w:r>
      <w:r w:rsidR="00032E88" w:rsidRPr="00032E88">
        <w:t xml:space="preserve">7 units at </w:t>
      </w:r>
      <w:r w:rsidR="00F65BAB">
        <w:t>60</w:t>
      </w:r>
      <w:r w:rsidR="00606C70">
        <w:t>% AMI</w:t>
      </w:r>
      <w:r w:rsidR="00032E88" w:rsidRPr="00032E88">
        <w:t xml:space="preserve">, </w:t>
      </w:r>
      <w:r w:rsidR="00F65BAB">
        <w:t>21 units at 80% AMI, 25 units at 90% AMI, three units at 120% AMI, and one unit at 125% AMI.</w:t>
      </w:r>
    </w:p>
    <w:p w14:paraId="4C42358E" w14:textId="77777777" w:rsidR="007E2DFA" w:rsidRDefault="007E2DFA" w:rsidP="00561D25">
      <w:pPr>
        <w:pStyle w:val="MediumGrid1-Accent21"/>
        <w:ind w:left="0"/>
        <w:rPr>
          <w:b/>
          <w:u w:val="single"/>
        </w:rPr>
      </w:pPr>
    </w:p>
    <w:p w14:paraId="77196B6E" w14:textId="615514D1" w:rsidR="0007468E" w:rsidRDefault="00A64C37" w:rsidP="00561D25">
      <w:pPr>
        <w:rPr>
          <w:b/>
          <w:u w:val="single"/>
        </w:rPr>
      </w:pPr>
      <w:r>
        <w:rPr>
          <w:b/>
          <w:u w:val="single"/>
        </w:rPr>
        <w:t>Item 5</w:t>
      </w:r>
      <w:r w:rsidR="0007468E">
        <w:rPr>
          <w:b/>
          <w:u w:val="single"/>
        </w:rPr>
        <w:t xml:space="preserve">: </w:t>
      </w:r>
      <w:r w:rsidR="0007468E" w:rsidRPr="0007468E">
        <w:rPr>
          <w:b/>
          <w:u w:val="single"/>
        </w:rPr>
        <w:t xml:space="preserve">West 141 Street Cluster </w:t>
      </w:r>
    </w:p>
    <w:p w14:paraId="1142FBBE" w14:textId="77777777" w:rsidR="00561D25" w:rsidRDefault="00561D25" w:rsidP="00561D25">
      <w:pPr>
        <w:jc w:val="both"/>
      </w:pPr>
    </w:p>
    <w:p w14:paraId="658C1AFF" w14:textId="53A378A9" w:rsidR="003D00E4" w:rsidRDefault="0013038D" w:rsidP="00561D25">
      <w:pPr>
        <w:jc w:val="both"/>
      </w:pPr>
      <w:r>
        <w:t xml:space="preserve">The </w:t>
      </w:r>
      <w:r w:rsidR="003D00E4" w:rsidRPr="003D00E4">
        <w:t>West 141st Street Cluster</w:t>
      </w:r>
      <w:r w:rsidR="003D00E4">
        <w:t xml:space="preserve"> is </w:t>
      </w:r>
      <w:r w:rsidR="003D00E4" w:rsidRPr="003D00E4">
        <w:t>located at 111 West 141st Street and 148 West 141</w:t>
      </w:r>
      <w:r>
        <w:t xml:space="preserve">st Street in Harlem. It is comprised of </w:t>
      </w:r>
      <w:r w:rsidR="00AE769B">
        <w:t xml:space="preserve">two buildings </w:t>
      </w:r>
      <w:r>
        <w:t xml:space="preserve">with </w:t>
      </w:r>
      <w:r w:rsidR="003D00E4">
        <w:t>89 residential units</w:t>
      </w:r>
      <w:r w:rsidR="00AE769B">
        <w:t>, includ</w:t>
      </w:r>
      <w:r>
        <w:t xml:space="preserve">ing </w:t>
      </w:r>
      <w:r w:rsidR="003D00E4">
        <w:t>38 studio units, 35 one-bedroom units</w:t>
      </w:r>
      <w:r w:rsidR="003D00E4" w:rsidRPr="003D00E4">
        <w:t xml:space="preserve">, </w:t>
      </w:r>
      <w:r w:rsidR="003D00E4">
        <w:t>15</w:t>
      </w:r>
      <w:r w:rsidR="003D00E4" w:rsidRPr="003D00E4">
        <w:t xml:space="preserve"> </w:t>
      </w:r>
      <w:r w:rsidR="003D00E4">
        <w:t xml:space="preserve">two-bedroom units, and one three-bedroom units (inclusive of one superintendent unit). </w:t>
      </w:r>
    </w:p>
    <w:p w14:paraId="7207A6E3" w14:textId="77777777" w:rsidR="00561D25" w:rsidRPr="003D00E4" w:rsidRDefault="00561D25" w:rsidP="00561D25">
      <w:pPr>
        <w:jc w:val="both"/>
      </w:pPr>
    </w:p>
    <w:p w14:paraId="338D1853" w14:textId="67AB6626" w:rsidR="00AE769B" w:rsidRDefault="00AE769B" w:rsidP="00561D25">
      <w:pPr>
        <w:jc w:val="both"/>
      </w:pPr>
      <w:r w:rsidRPr="00AE769B">
        <w:t xml:space="preserve">Under the proposed project, CLOTH Pillars I </w:t>
      </w:r>
      <w:r w:rsidR="0013038D">
        <w:t xml:space="preserve">HDFC </w:t>
      </w:r>
      <w:r w:rsidRPr="00AE769B">
        <w:t xml:space="preserve">will acquire the </w:t>
      </w:r>
      <w:r>
        <w:t>properties</w:t>
      </w:r>
      <w:r w:rsidRPr="00AE769B">
        <w:t xml:space="preserve"> and Monad Pillars I LLC will become the beneficial owner and will operate </w:t>
      </w:r>
      <w:r>
        <w:t>the buildings</w:t>
      </w:r>
      <w:r w:rsidRPr="00AE769B">
        <w:t xml:space="preserve">. The HDFC and </w:t>
      </w:r>
      <w:r>
        <w:t>LLC</w:t>
      </w:r>
      <w:r w:rsidRPr="00AE769B">
        <w:t xml:space="preserve"> will finance the acquisition and rehabilitation of the </w:t>
      </w:r>
      <w:r>
        <w:t>buildings</w:t>
      </w:r>
      <w:r w:rsidR="00472C36" w:rsidRPr="00472C36">
        <w:t xml:space="preserve"> </w:t>
      </w:r>
      <w:r w:rsidR="00472C36" w:rsidRPr="00AE769B">
        <w:t>with loans from HPD and a private lending institution.</w:t>
      </w:r>
    </w:p>
    <w:p w14:paraId="7A09E5A7" w14:textId="77777777" w:rsidR="0013038D" w:rsidRDefault="0013038D" w:rsidP="00561D25">
      <w:pPr>
        <w:pStyle w:val="MediumGrid1-Accent21"/>
        <w:ind w:left="0"/>
        <w:jc w:val="both"/>
      </w:pPr>
    </w:p>
    <w:p w14:paraId="37DFB76A" w14:textId="2D740999" w:rsidR="00AE769B" w:rsidRDefault="00AE769B" w:rsidP="00561D25">
      <w:pPr>
        <w:pStyle w:val="MediumGrid1-Accent21"/>
        <w:ind w:left="0"/>
        <w:jc w:val="both"/>
      </w:pPr>
      <w:r>
        <w:t xml:space="preserve">HPD is requesting that the Council approve a </w:t>
      </w:r>
      <w:r w:rsidR="00472C36">
        <w:t>partial</w:t>
      </w:r>
      <w:r>
        <w:t xml:space="preserve">, 40-year tax exemption to support affordability. </w:t>
      </w:r>
      <w:r w:rsidRPr="00715D53">
        <w:t xml:space="preserve">The </w:t>
      </w:r>
      <w:r>
        <w:t>HDFC</w:t>
      </w:r>
      <w:r w:rsidRPr="00715D53">
        <w:t xml:space="preserve">, </w:t>
      </w:r>
      <w:r w:rsidR="00472C36">
        <w:t xml:space="preserve">LLC, </w:t>
      </w:r>
      <w:r>
        <w:t xml:space="preserve">and HPD would </w:t>
      </w:r>
      <w:r w:rsidRPr="00715D53">
        <w:t xml:space="preserve">enter into a regulatory </w:t>
      </w:r>
      <w:r w:rsidR="00472C36">
        <w:t xml:space="preserve">agreement </w:t>
      </w:r>
      <w:r>
        <w:t xml:space="preserve">that would require that </w:t>
      </w:r>
      <w:r w:rsidR="003669EF">
        <w:t>seven</w:t>
      </w:r>
      <w:r w:rsidR="008F5DA6">
        <w:t xml:space="preserve">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3A3485">
        <w:t>6</w:t>
      </w:r>
      <w:r w:rsidR="008F5DA6">
        <w:t xml:space="preserve">0% AMI, 33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3A3485">
        <w:t xml:space="preserve">85% AMI, 42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3A3485">
        <w:t>9</w:t>
      </w:r>
      <w:r w:rsidR="008F5DA6">
        <w:t>5% AMI</w:t>
      </w:r>
      <w:r w:rsidR="003669EF">
        <w:t>,</w:t>
      </w:r>
      <w:r w:rsidR="008F5DA6">
        <w:t xml:space="preserve"> and six </w:t>
      </w:r>
      <w:r w:rsidR="003669EF" w:rsidRPr="00032E88">
        <w:t xml:space="preserve">units </w:t>
      </w:r>
      <w:r w:rsidR="003669EF">
        <w:t>be leased only to households</w:t>
      </w:r>
      <w:r w:rsidR="003669EF" w:rsidRPr="00032E88">
        <w:t xml:space="preserve"> </w:t>
      </w:r>
      <w:r w:rsidR="003669EF">
        <w:t xml:space="preserve">with incomes up to </w:t>
      </w:r>
      <w:r w:rsidR="008F5DA6">
        <w:t>1</w:t>
      </w:r>
      <w:r w:rsidR="003A3485">
        <w:t>3</w:t>
      </w:r>
      <w:r w:rsidR="008F5DA6">
        <w:t xml:space="preserve">0% </w:t>
      </w:r>
      <w:r w:rsidR="00472C36">
        <w:t>AMI.</w:t>
      </w:r>
      <w:r>
        <w:t xml:space="preserve">  </w:t>
      </w:r>
    </w:p>
    <w:p w14:paraId="475C3293" w14:textId="505E0916" w:rsidR="00E26F95" w:rsidRDefault="00E26F95" w:rsidP="00561D25">
      <w:pPr>
        <w:pStyle w:val="MediumGrid1-Accent21"/>
        <w:ind w:left="0"/>
        <w:jc w:val="both"/>
      </w:pPr>
    </w:p>
    <w:p w14:paraId="7F19B60F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2CCF2A10" w14:textId="5160C4E7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Borough – Manhattan </w:t>
      </w:r>
    </w:p>
    <w:p w14:paraId="086EBE45" w14:textId="545F78F9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Block 2009, Lot 45; Block 2010, Lot 21</w:t>
      </w:r>
    </w:p>
    <w:p w14:paraId="6DB0BFF9" w14:textId="69E65436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Council District – 9</w:t>
      </w:r>
    </w:p>
    <w:p w14:paraId="08EC3547" w14:textId="3BEB5421" w:rsidR="006C439E" w:rsidRPr="00B906D6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 xml:space="preserve">Council Member </w:t>
      </w:r>
      <w:r w:rsidR="00146777">
        <w:t xml:space="preserve">– </w:t>
      </w:r>
      <w:r w:rsidRPr="00B906D6">
        <w:t>Perkins</w:t>
      </w:r>
    </w:p>
    <w:p w14:paraId="539E3542" w14:textId="26D7619A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 xml:space="preserve">Council Member approval – </w:t>
      </w:r>
      <w:r w:rsidR="00B906D6" w:rsidRPr="00B906D6">
        <w:t>Yes</w:t>
      </w:r>
    </w:p>
    <w:p w14:paraId="38143BAF" w14:textId="77777777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Number of buildings – 2</w:t>
      </w:r>
    </w:p>
    <w:p w14:paraId="326DFF58" w14:textId="77777777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Number of units – 89 (including one superintendent unit)</w:t>
      </w:r>
    </w:p>
    <w:p w14:paraId="13258B46" w14:textId="2E96EF7E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Type of exemption – Article XI, partial, 40 years</w:t>
      </w:r>
    </w:p>
    <w:p w14:paraId="0FB667B6" w14:textId="122733C6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Population – affordable rental housing</w:t>
      </w:r>
    </w:p>
    <w:p w14:paraId="04F9E1D7" w14:textId="1EF23D7C" w:rsidR="006C439E" w:rsidRDefault="00146777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Sponsor – </w:t>
      </w:r>
      <w:r w:rsidR="006C439E" w:rsidRPr="006C439E">
        <w:t xml:space="preserve">CLOTH Pillars I </w:t>
      </w:r>
      <w:r w:rsidR="0013038D">
        <w:t>HDFC</w:t>
      </w:r>
      <w:r w:rsidR="006C439E">
        <w:t xml:space="preserve">; </w:t>
      </w:r>
      <w:r w:rsidR="006C439E" w:rsidRPr="006C439E">
        <w:t>Monad Pillars I LLC</w:t>
      </w:r>
      <w:r w:rsidR="006C439E">
        <w:t xml:space="preserve">; </w:t>
      </w:r>
      <w:proofErr w:type="spellStart"/>
      <w:r w:rsidR="006C439E" w:rsidRPr="006C439E">
        <w:t>Monadnock</w:t>
      </w:r>
      <w:proofErr w:type="spellEnd"/>
      <w:r w:rsidR="006C439E" w:rsidRPr="006C439E">
        <w:t xml:space="preserve"> Development</w:t>
      </w:r>
    </w:p>
    <w:p w14:paraId="03DB715A" w14:textId="77777777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Purpose – preservation</w:t>
      </w:r>
    </w:p>
    <w:p w14:paraId="5D6330C9" w14:textId="5225DD1B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Cost to the city – $6.6 million </w:t>
      </w:r>
    </w:p>
    <w:p w14:paraId="11A0401C" w14:textId="0AABBE58" w:rsidR="006C439E" w:rsidRDefault="006C439E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Housing Code Violations </w:t>
      </w:r>
    </w:p>
    <w:p w14:paraId="79B1DDC1" w14:textId="02D4F3AA" w:rsidR="006C439E" w:rsidRDefault="006C439E" w:rsidP="00561D25">
      <w:pPr>
        <w:pStyle w:val="ListParagraph"/>
        <w:numPr>
          <w:ilvl w:val="1"/>
          <w:numId w:val="3"/>
        </w:numPr>
        <w:contextualSpacing w:val="0"/>
        <w:jc w:val="both"/>
      </w:pPr>
      <w:r>
        <w:t xml:space="preserve">Class A – 28 </w:t>
      </w:r>
    </w:p>
    <w:p w14:paraId="6A3B829B" w14:textId="7A10AF32" w:rsidR="006C439E" w:rsidRDefault="006C439E" w:rsidP="00561D25">
      <w:pPr>
        <w:pStyle w:val="ListParagraph"/>
        <w:numPr>
          <w:ilvl w:val="1"/>
          <w:numId w:val="3"/>
        </w:numPr>
        <w:contextualSpacing w:val="0"/>
        <w:jc w:val="both"/>
      </w:pPr>
      <w:r>
        <w:t xml:space="preserve">Class B – 64 </w:t>
      </w:r>
    </w:p>
    <w:p w14:paraId="4C96F14B" w14:textId="0C6176AE" w:rsidR="006C439E" w:rsidRDefault="006C439E" w:rsidP="00561D25">
      <w:pPr>
        <w:pStyle w:val="ListParagraph"/>
        <w:numPr>
          <w:ilvl w:val="1"/>
          <w:numId w:val="3"/>
        </w:numPr>
        <w:contextualSpacing w:val="0"/>
        <w:jc w:val="both"/>
      </w:pPr>
      <w:r>
        <w:t xml:space="preserve">Class C – 9 </w:t>
      </w:r>
    </w:p>
    <w:p w14:paraId="212BB57C" w14:textId="093BAB94" w:rsidR="006C439E" w:rsidRDefault="003A3485" w:rsidP="00561D25">
      <w:pPr>
        <w:pStyle w:val="ListParagraph"/>
        <w:numPr>
          <w:ilvl w:val="0"/>
          <w:numId w:val="3"/>
        </w:numPr>
        <w:contextualSpacing w:val="0"/>
        <w:jc w:val="both"/>
      </w:pPr>
      <w:r>
        <w:t>AMI targets – 7 units at 6</w:t>
      </w:r>
      <w:r w:rsidR="006C439E">
        <w:t>0</w:t>
      </w:r>
      <w:r w:rsidR="00606C70">
        <w:t>% AMI</w:t>
      </w:r>
      <w:r w:rsidR="008F5DA6">
        <w:t xml:space="preserve">, 33 units at </w:t>
      </w:r>
      <w:r>
        <w:t>8</w:t>
      </w:r>
      <w:r w:rsidR="006C439E">
        <w:t>5</w:t>
      </w:r>
      <w:r w:rsidR="00606C70">
        <w:t>% AMI</w:t>
      </w:r>
      <w:r w:rsidR="006C439E">
        <w:t xml:space="preserve">, 42 units at </w:t>
      </w:r>
      <w:r>
        <w:t>9</w:t>
      </w:r>
      <w:r w:rsidR="006C439E">
        <w:t>5</w:t>
      </w:r>
      <w:r w:rsidR="00606C70">
        <w:t>% AMI</w:t>
      </w:r>
      <w:r>
        <w:t>, and 6 units at 130</w:t>
      </w:r>
      <w:r w:rsidR="00606C70">
        <w:t>% AMI</w:t>
      </w:r>
      <w:r w:rsidR="006C439E">
        <w:t>.</w:t>
      </w:r>
    </w:p>
    <w:p w14:paraId="2171A854" w14:textId="18EBDAFC" w:rsidR="007E00ED" w:rsidRDefault="007E00ED" w:rsidP="00561D25">
      <w:pPr>
        <w:rPr>
          <w:b/>
          <w:u w:val="single"/>
        </w:rPr>
      </w:pPr>
    </w:p>
    <w:p w14:paraId="26576D3F" w14:textId="2E0EF0C9" w:rsidR="00EE3418" w:rsidRDefault="00EE3418" w:rsidP="00EE3418">
      <w:pPr>
        <w:rPr>
          <w:b/>
          <w:u w:val="single"/>
        </w:rPr>
      </w:pPr>
      <w:r>
        <w:rPr>
          <w:b/>
          <w:u w:val="single"/>
        </w:rPr>
        <w:t>Item 6: 1015 Anderson Avenue</w:t>
      </w:r>
      <w:r w:rsidRPr="0007468E">
        <w:rPr>
          <w:b/>
          <w:u w:val="single"/>
        </w:rPr>
        <w:t xml:space="preserve"> </w:t>
      </w:r>
    </w:p>
    <w:p w14:paraId="0306C89B" w14:textId="77777777" w:rsidR="00EE3418" w:rsidRDefault="00EE3418" w:rsidP="00EE3418">
      <w:pPr>
        <w:jc w:val="both"/>
      </w:pPr>
    </w:p>
    <w:p w14:paraId="3630D78F" w14:textId="01495589" w:rsidR="00EE3418" w:rsidRDefault="00EE3418" w:rsidP="00EE3418">
      <w:pPr>
        <w:jc w:val="both"/>
      </w:pPr>
      <w:r w:rsidRPr="00EE3418">
        <w:t xml:space="preserve">1015 Anderson Avenue </w:t>
      </w:r>
      <w:r>
        <w:t>is a single</w:t>
      </w:r>
      <w:r w:rsidR="00146777">
        <w:t>-</w:t>
      </w:r>
      <w:r>
        <w:t xml:space="preserve">building limited equity HDFC located in </w:t>
      </w:r>
      <w:proofErr w:type="spellStart"/>
      <w:r>
        <w:t>Highbridge</w:t>
      </w:r>
      <w:proofErr w:type="spellEnd"/>
      <w:r>
        <w:t xml:space="preserve">. Its 22 units </w:t>
      </w:r>
      <w:r w:rsidR="004F23DD">
        <w:t xml:space="preserve">include </w:t>
      </w:r>
      <w:r>
        <w:t>one one-bedroom</w:t>
      </w:r>
      <w:r w:rsidR="004F23DD">
        <w:t xml:space="preserve"> unit</w:t>
      </w:r>
      <w:r>
        <w:t>, 16 two-bedroom units, and five three-bedroom units.</w:t>
      </w:r>
    </w:p>
    <w:p w14:paraId="46373986" w14:textId="77777777" w:rsidR="00EE3418" w:rsidRDefault="00EE3418" w:rsidP="00EE3418">
      <w:pPr>
        <w:jc w:val="both"/>
      </w:pPr>
    </w:p>
    <w:p w14:paraId="63481A63" w14:textId="4C16F58D" w:rsidR="00146777" w:rsidRDefault="00146777" w:rsidP="00BA1D77">
      <w:pPr>
        <w:jc w:val="both"/>
      </w:pPr>
      <w:r>
        <w:t xml:space="preserve">HPD is requesting that the Council approve a full, 40-year </w:t>
      </w:r>
      <w:r w:rsidR="003669EF">
        <w:t xml:space="preserve">Article XI </w:t>
      </w:r>
      <w:r>
        <w:t xml:space="preserve">tax exemption. HPD would finance </w:t>
      </w:r>
      <w:r w:rsidR="005927E2">
        <w:t>a</w:t>
      </w:r>
      <w:r w:rsidR="005927E2" w:rsidRPr="00C575B5">
        <w:t xml:space="preserve"> </w:t>
      </w:r>
      <w:r w:rsidR="00BA1D77" w:rsidRPr="00C575B5">
        <w:t xml:space="preserve">moderate rehabilitation </w:t>
      </w:r>
      <w:r w:rsidR="005927E2">
        <w:t xml:space="preserve">of the building </w:t>
      </w:r>
      <w:r w:rsidR="00BA1D77" w:rsidRPr="00C575B5">
        <w:t>and</w:t>
      </w:r>
      <w:r w:rsidR="005927E2">
        <w:t xml:space="preserve"> address the</w:t>
      </w:r>
      <w:r w:rsidR="00BA1D77" w:rsidRPr="00C575B5">
        <w:t xml:space="preserve"> energy and water efficiency needs of the building</w:t>
      </w:r>
      <w:r w:rsidR="00BA1D77">
        <w:t>. The HDFC</w:t>
      </w:r>
      <w:r>
        <w:t xml:space="preserve"> would enter into a </w:t>
      </w:r>
      <w:r w:rsidRPr="00146777">
        <w:t xml:space="preserve">regulatory agreement </w:t>
      </w:r>
      <w:r w:rsidR="00BA1D77">
        <w:t xml:space="preserve">with HPD </w:t>
      </w:r>
      <w:r w:rsidR="008F5DA6">
        <w:t xml:space="preserve">that would require that the all </w:t>
      </w:r>
      <w:r w:rsidR="003669EF" w:rsidRPr="00032E88">
        <w:t xml:space="preserve">units </w:t>
      </w:r>
      <w:r w:rsidR="003669EF">
        <w:t xml:space="preserve">be </w:t>
      </w:r>
      <w:r w:rsidR="00E004F6">
        <w:t>sold</w:t>
      </w:r>
      <w:r w:rsidR="003669EF">
        <w:t xml:space="preserve"> only to households</w:t>
      </w:r>
      <w:r w:rsidR="003669EF" w:rsidRPr="00032E88">
        <w:t xml:space="preserve"> </w:t>
      </w:r>
      <w:r w:rsidR="003669EF">
        <w:t>with incomes up to</w:t>
      </w:r>
      <w:r w:rsidR="00D00912">
        <w:t xml:space="preserve"> 12</w:t>
      </w:r>
      <w:r w:rsidR="008F5DA6">
        <w:t xml:space="preserve">0% AMI. </w:t>
      </w:r>
      <w:r w:rsidRPr="00146777">
        <w:t>The project currently receives a</w:t>
      </w:r>
      <w:r w:rsidR="005927E2">
        <w:t xml:space="preserve"> partial Article XI property</w:t>
      </w:r>
      <w:r w:rsidRPr="00146777">
        <w:t xml:space="preserve"> tax exemption</w:t>
      </w:r>
      <w:r>
        <w:t xml:space="preserve">, which would terminate upon </w:t>
      </w:r>
      <w:r w:rsidR="008E67A0">
        <w:t>commencement of the new exemption</w:t>
      </w:r>
      <w:r>
        <w:t>.</w:t>
      </w:r>
    </w:p>
    <w:p w14:paraId="3B627F9C" w14:textId="00324FB3" w:rsidR="00146777" w:rsidRDefault="00146777" w:rsidP="00337397">
      <w:pPr>
        <w:jc w:val="both"/>
      </w:pPr>
    </w:p>
    <w:p w14:paraId="17BF32B0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2F7F01C9" w14:textId="7D8DF016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Borough – </w:t>
      </w:r>
      <w:r w:rsidR="00146777">
        <w:t>Bronx</w:t>
      </w:r>
    </w:p>
    <w:p w14:paraId="367435DE" w14:textId="2B3FE3FC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Block </w:t>
      </w:r>
      <w:r w:rsidR="00146777">
        <w:t>2508</w:t>
      </w:r>
      <w:r>
        <w:t xml:space="preserve">, Lot </w:t>
      </w:r>
      <w:r w:rsidR="00146777">
        <w:t>41</w:t>
      </w:r>
    </w:p>
    <w:p w14:paraId="23434D52" w14:textId="4BB65923" w:rsidR="00EE3418" w:rsidRDefault="00146777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>Council District – 8</w:t>
      </w:r>
    </w:p>
    <w:p w14:paraId="67F9FF7B" w14:textId="65E943A9" w:rsidR="00EE3418" w:rsidRPr="00B906D6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 xml:space="preserve">Council Member </w:t>
      </w:r>
      <w:r w:rsidR="00146777">
        <w:t>–</w:t>
      </w:r>
      <w:r w:rsidRPr="00B906D6">
        <w:t xml:space="preserve"> </w:t>
      </w:r>
      <w:r w:rsidR="00146777">
        <w:t>Ayala</w:t>
      </w:r>
    </w:p>
    <w:p w14:paraId="7CCAF077" w14:textId="77777777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>Council Member approval – Yes</w:t>
      </w:r>
    </w:p>
    <w:p w14:paraId="1077FCD2" w14:textId="2850C0DA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Number of buildings – </w:t>
      </w:r>
      <w:r w:rsidR="00146777">
        <w:t>1</w:t>
      </w:r>
    </w:p>
    <w:p w14:paraId="662AB3DE" w14:textId="510D5D19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Number of units – </w:t>
      </w:r>
      <w:r w:rsidR="00146777">
        <w:t>22</w:t>
      </w:r>
      <w:r>
        <w:t xml:space="preserve"> </w:t>
      </w:r>
    </w:p>
    <w:p w14:paraId="0F43329A" w14:textId="07512D74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Type of exemption – Article XI, </w:t>
      </w:r>
      <w:r w:rsidR="00146777">
        <w:t>full</w:t>
      </w:r>
      <w:r>
        <w:t>, 40 years</w:t>
      </w:r>
    </w:p>
    <w:p w14:paraId="161D738D" w14:textId="77777777" w:rsidR="00606C70" w:rsidRDefault="00EE3418" w:rsidP="00EB15BC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Population – affordable </w:t>
      </w:r>
      <w:r w:rsidR="00606C70">
        <w:t xml:space="preserve">homeownership </w:t>
      </w:r>
    </w:p>
    <w:p w14:paraId="2F9FA7E3" w14:textId="7B841B6F" w:rsidR="00EE3418" w:rsidRDefault="00EE3418" w:rsidP="00EB15BC">
      <w:pPr>
        <w:pStyle w:val="ListParagraph"/>
        <w:numPr>
          <w:ilvl w:val="0"/>
          <w:numId w:val="3"/>
        </w:numPr>
        <w:contextualSpacing w:val="0"/>
        <w:jc w:val="both"/>
      </w:pPr>
      <w:r>
        <w:t>Sponsor</w:t>
      </w:r>
      <w:r w:rsidR="00146777">
        <w:t xml:space="preserve"> – </w:t>
      </w:r>
      <w:r w:rsidR="00146777" w:rsidRPr="00146777">
        <w:t>1015 Anderson Avenue HDFC</w:t>
      </w:r>
    </w:p>
    <w:p w14:paraId="1AF87287" w14:textId="77777777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>Purpose – preservation</w:t>
      </w:r>
    </w:p>
    <w:p w14:paraId="484E6E53" w14:textId="4D32446A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>Cost to the city – $</w:t>
      </w:r>
      <w:r w:rsidR="00570305">
        <w:t>900,000</w:t>
      </w:r>
      <w:r>
        <w:t xml:space="preserve"> </w:t>
      </w:r>
    </w:p>
    <w:p w14:paraId="03EB325C" w14:textId="77777777" w:rsidR="00EE3418" w:rsidRDefault="00EE3418" w:rsidP="00EE3418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Housing Code Violations </w:t>
      </w:r>
    </w:p>
    <w:p w14:paraId="70F79C7B" w14:textId="4778CF0D" w:rsidR="00EE3418" w:rsidRDefault="00EE3418" w:rsidP="00EE3418">
      <w:pPr>
        <w:pStyle w:val="ListParagraph"/>
        <w:numPr>
          <w:ilvl w:val="1"/>
          <w:numId w:val="3"/>
        </w:numPr>
        <w:contextualSpacing w:val="0"/>
        <w:jc w:val="both"/>
      </w:pPr>
      <w:r>
        <w:t xml:space="preserve">Class A – </w:t>
      </w:r>
      <w:r w:rsidR="00570305">
        <w:t>6</w:t>
      </w:r>
      <w:r>
        <w:t xml:space="preserve"> </w:t>
      </w:r>
    </w:p>
    <w:p w14:paraId="663B0933" w14:textId="567798E1" w:rsidR="00EE3418" w:rsidRDefault="00570305" w:rsidP="00EE3418">
      <w:pPr>
        <w:pStyle w:val="ListParagraph"/>
        <w:numPr>
          <w:ilvl w:val="1"/>
          <w:numId w:val="3"/>
        </w:numPr>
        <w:contextualSpacing w:val="0"/>
        <w:jc w:val="both"/>
      </w:pPr>
      <w:r>
        <w:t>Class B – 3</w:t>
      </w:r>
      <w:r w:rsidR="00EE3418">
        <w:t xml:space="preserve"> </w:t>
      </w:r>
    </w:p>
    <w:p w14:paraId="01DCE6BD" w14:textId="3DEC41C7" w:rsidR="00EE3418" w:rsidRDefault="00570305" w:rsidP="00EE3418">
      <w:pPr>
        <w:pStyle w:val="ListParagraph"/>
        <w:numPr>
          <w:ilvl w:val="1"/>
          <w:numId w:val="3"/>
        </w:numPr>
        <w:contextualSpacing w:val="0"/>
        <w:jc w:val="both"/>
      </w:pPr>
      <w:r>
        <w:t>Class C – 9</w:t>
      </w:r>
      <w:r w:rsidR="00EE3418">
        <w:t xml:space="preserve"> </w:t>
      </w:r>
    </w:p>
    <w:p w14:paraId="2B3CA55A" w14:textId="3160BDD8" w:rsidR="00601891" w:rsidRPr="004F23DD" w:rsidRDefault="00EE3418" w:rsidP="00C45031">
      <w:pPr>
        <w:pStyle w:val="ListParagraph"/>
        <w:numPr>
          <w:ilvl w:val="0"/>
          <w:numId w:val="3"/>
        </w:numPr>
        <w:contextualSpacing w:val="0"/>
        <w:jc w:val="both"/>
        <w:rPr>
          <w:b/>
          <w:u w:val="single"/>
        </w:rPr>
      </w:pPr>
      <w:r>
        <w:t xml:space="preserve">AMI targets – </w:t>
      </w:r>
      <w:r w:rsidR="00D00912">
        <w:t>22 units at 120% AMI</w:t>
      </w:r>
    </w:p>
    <w:p w14:paraId="14315CE3" w14:textId="77777777" w:rsidR="004F23DD" w:rsidRDefault="004F23DD" w:rsidP="00C575B5">
      <w:pPr>
        <w:ind w:left="360"/>
        <w:jc w:val="both"/>
        <w:rPr>
          <w:b/>
          <w:u w:val="single"/>
        </w:rPr>
      </w:pPr>
    </w:p>
    <w:p w14:paraId="5FD73939" w14:textId="749DDCA8" w:rsidR="00C575B5" w:rsidRDefault="004F23DD" w:rsidP="00C575B5">
      <w:pPr>
        <w:rPr>
          <w:b/>
          <w:u w:val="single"/>
        </w:rPr>
      </w:pPr>
      <w:r>
        <w:rPr>
          <w:b/>
          <w:u w:val="single"/>
        </w:rPr>
        <w:t>Item 7</w:t>
      </w:r>
      <w:r w:rsidR="00C575B5">
        <w:rPr>
          <w:b/>
          <w:u w:val="single"/>
        </w:rPr>
        <w:t>: 1045 Anderson Avenue</w:t>
      </w:r>
      <w:r w:rsidR="00C575B5" w:rsidRPr="0007468E">
        <w:rPr>
          <w:b/>
          <w:u w:val="single"/>
        </w:rPr>
        <w:t xml:space="preserve"> </w:t>
      </w:r>
    </w:p>
    <w:p w14:paraId="5EBB2F80" w14:textId="77777777" w:rsidR="00C575B5" w:rsidRDefault="00C575B5" w:rsidP="00C575B5">
      <w:pPr>
        <w:jc w:val="both"/>
      </w:pPr>
    </w:p>
    <w:p w14:paraId="5AA329C2" w14:textId="0A5DF075" w:rsidR="00C575B5" w:rsidRDefault="00C575B5" w:rsidP="00C575B5">
      <w:pPr>
        <w:jc w:val="both"/>
      </w:pPr>
      <w:r>
        <w:t>104</w:t>
      </w:r>
      <w:r w:rsidRPr="00EE3418">
        <w:t xml:space="preserve">5 Anderson Avenue </w:t>
      </w:r>
      <w:r>
        <w:t xml:space="preserve">is a single-building limited equity HDFC located in </w:t>
      </w:r>
      <w:proofErr w:type="spellStart"/>
      <w:r>
        <w:t>Highbridge</w:t>
      </w:r>
      <w:proofErr w:type="spellEnd"/>
      <w:r>
        <w:t xml:space="preserve">. Its 49 units </w:t>
      </w:r>
      <w:r w:rsidR="004F23DD">
        <w:t xml:space="preserve">include </w:t>
      </w:r>
      <w:r>
        <w:t xml:space="preserve">two studio units, 34 one-bedroom units, and 13 two-bedroom units (inclusive of </w:t>
      </w:r>
      <w:r w:rsidR="004F23DD">
        <w:t>one</w:t>
      </w:r>
      <w:r>
        <w:t xml:space="preserve"> superintendent unit).</w:t>
      </w:r>
    </w:p>
    <w:p w14:paraId="0B90C03B" w14:textId="77777777" w:rsidR="004F23DD" w:rsidRDefault="004F23DD" w:rsidP="00C575B5">
      <w:pPr>
        <w:jc w:val="both"/>
      </w:pPr>
    </w:p>
    <w:p w14:paraId="3D87FF34" w14:textId="3E4F5A33" w:rsidR="00C575B5" w:rsidRDefault="00C575B5" w:rsidP="00C575B5">
      <w:pPr>
        <w:jc w:val="both"/>
      </w:pPr>
      <w:r>
        <w:t>HPD is requesting that the Council approve a full, 40-year tax exemption. Existing HPD debt would be modified and extended though a purchase and sale agreement with HDC</w:t>
      </w:r>
      <w:r w:rsidR="00E004F6">
        <w:t>.</w:t>
      </w:r>
      <w:r>
        <w:t xml:space="preserve"> </w:t>
      </w:r>
      <w:r w:rsidR="00E004F6">
        <w:t xml:space="preserve">Other City </w:t>
      </w:r>
      <w:r>
        <w:t>arrears would be refin</w:t>
      </w:r>
      <w:r w:rsidR="008E67A0">
        <w:t>anc</w:t>
      </w:r>
      <w:r>
        <w:t xml:space="preserve">ed with two loans from Habitat for Humanity NYC and Leviticus Fund. The HDFC would use the savings to finance </w:t>
      </w:r>
      <w:r w:rsidR="008E67A0">
        <w:t>a</w:t>
      </w:r>
      <w:r w:rsidR="008E67A0" w:rsidRPr="00C575B5">
        <w:t xml:space="preserve"> </w:t>
      </w:r>
      <w:r w:rsidRPr="00C575B5">
        <w:t>moderate rehabilitation</w:t>
      </w:r>
      <w:r w:rsidR="008E67A0">
        <w:t xml:space="preserve"> of the building</w:t>
      </w:r>
      <w:r w:rsidRPr="00C575B5">
        <w:t xml:space="preserve"> and</w:t>
      </w:r>
      <w:r w:rsidR="008E67A0">
        <w:t xml:space="preserve"> address the</w:t>
      </w:r>
      <w:r w:rsidRPr="00C575B5">
        <w:t xml:space="preserve"> energy and water efficiency needs of the building</w:t>
      </w:r>
      <w:r>
        <w:t xml:space="preserve">. The HDFC would enter into a </w:t>
      </w:r>
      <w:r w:rsidRPr="00146777">
        <w:t xml:space="preserve">regulatory agreement </w:t>
      </w:r>
      <w:r w:rsidR="008657EC">
        <w:t xml:space="preserve">with HPD </w:t>
      </w:r>
      <w:r w:rsidR="00D00912">
        <w:t xml:space="preserve">that would require that the all </w:t>
      </w:r>
      <w:r w:rsidR="00E004F6" w:rsidRPr="00032E88">
        <w:t xml:space="preserve">units </w:t>
      </w:r>
      <w:r w:rsidR="00E004F6">
        <w:t>be sold only to households</w:t>
      </w:r>
      <w:r w:rsidR="00E004F6" w:rsidRPr="00032E88">
        <w:t xml:space="preserve"> </w:t>
      </w:r>
      <w:r w:rsidR="00E004F6">
        <w:t xml:space="preserve">with incomes up to </w:t>
      </w:r>
      <w:r w:rsidR="00D00912">
        <w:t>120% AMI.</w:t>
      </w:r>
      <w:r>
        <w:t xml:space="preserve"> </w:t>
      </w:r>
      <w:r w:rsidRPr="00146777">
        <w:t xml:space="preserve">The project currently receives </w:t>
      </w:r>
      <w:proofErr w:type="gramStart"/>
      <w:r w:rsidRPr="00146777">
        <w:t>a</w:t>
      </w:r>
      <w:proofErr w:type="gramEnd"/>
      <w:r w:rsidRPr="00146777">
        <w:t xml:space="preserve"> </w:t>
      </w:r>
      <w:proofErr w:type="spellStart"/>
      <w:r w:rsidR="00E004F6" w:rsidRPr="00146777">
        <w:t>a</w:t>
      </w:r>
      <w:proofErr w:type="spellEnd"/>
      <w:r w:rsidR="00E004F6">
        <w:t xml:space="preserve"> partial Article XI property</w:t>
      </w:r>
      <w:r w:rsidR="00E004F6" w:rsidRPr="00146777">
        <w:t xml:space="preserve"> tax exemption</w:t>
      </w:r>
      <w:r>
        <w:t>, which would terminate upon closing.</w:t>
      </w:r>
    </w:p>
    <w:p w14:paraId="25563440" w14:textId="5B6AE52E" w:rsidR="00C575B5" w:rsidRDefault="00C575B5" w:rsidP="00337397">
      <w:pPr>
        <w:jc w:val="both"/>
      </w:pPr>
    </w:p>
    <w:p w14:paraId="747CF5DC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771F443A" w14:textId="7777777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>Borough – Bronx</w:t>
      </w:r>
    </w:p>
    <w:p w14:paraId="05896221" w14:textId="21AB8760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>Block 2508, Lot 26</w:t>
      </w:r>
    </w:p>
    <w:p w14:paraId="0286459D" w14:textId="7777777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>Council District – 8</w:t>
      </w:r>
    </w:p>
    <w:p w14:paraId="74293F4B" w14:textId="77777777" w:rsidR="00C575B5" w:rsidRPr="00B906D6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 xml:space="preserve">Council Member </w:t>
      </w:r>
      <w:r>
        <w:t>–</w:t>
      </w:r>
      <w:r w:rsidRPr="00B906D6">
        <w:t xml:space="preserve"> </w:t>
      </w:r>
      <w:r>
        <w:t>Ayala</w:t>
      </w:r>
    </w:p>
    <w:p w14:paraId="6D6E2757" w14:textId="7777777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>Council Member approval – Yes</w:t>
      </w:r>
    </w:p>
    <w:p w14:paraId="35E8388E" w14:textId="7777777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>Number of buildings – 1</w:t>
      </w:r>
    </w:p>
    <w:p w14:paraId="28CE747B" w14:textId="6E2CA88A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Number of units – 49 (inclusive of one superintendent unit) </w:t>
      </w:r>
    </w:p>
    <w:p w14:paraId="135764CF" w14:textId="7777777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>Type of exemption – Article XI, full, 40 years</w:t>
      </w:r>
    </w:p>
    <w:p w14:paraId="1AC30FAD" w14:textId="1143ED65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Population – affordable </w:t>
      </w:r>
      <w:r w:rsidR="00606C70">
        <w:t>homeownership</w:t>
      </w:r>
    </w:p>
    <w:p w14:paraId="483D1559" w14:textId="0EE560C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Sponsor – </w:t>
      </w:r>
      <w:r w:rsidRPr="00146777">
        <w:t>10</w:t>
      </w:r>
      <w:r>
        <w:t>4</w:t>
      </w:r>
      <w:r w:rsidRPr="00146777">
        <w:t>5 Anderson Avenue HDFC</w:t>
      </w:r>
    </w:p>
    <w:p w14:paraId="6A68C555" w14:textId="7777777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>Purpose – preservation</w:t>
      </w:r>
    </w:p>
    <w:p w14:paraId="50672B17" w14:textId="0074028A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>Cost to the city – $1.9 million</w:t>
      </w:r>
    </w:p>
    <w:p w14:paraId="20ECE9B3" w14:textId="77777777" w:rsidR="00C575B5" w:rsidRDefault="00C575B5" w:rsidP="00C575B5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Housing Code Violations </w:t>
      </w:r>
    </w:p>
    <w:p w14:paraId="3BCE316C" w14:textId="30D150FD" w:rsidR="00C575B5" w:rsidRDefault="00C575B5" w:rsidP="00C575B5">
      <w:pPr>
        <w:pStyle w:val="ListParagraph"/>
        <w:numPr>
          <w:ilvl w:val="1"/>
          <w:numId w:val="3"/>
        </w:numPr>
        <w:contextualSpacing w:val="0"/>
        <w:jc w:val="both"/>
      </w:pPr>
      <w:r>
        <w:t>Class A – 27</w:t>
      </w:r>
    </w:p>
    <w:p w14:paraId="704ADB51" w14:textId="05A7E49B" w:rsidR="00C575B5" w:rsidRDefault="00C575B5" w:rsidP="00C575B5">
      <w:pPr>
        <w:pStyle w:val="ListParagraph"/>
        <w:numPr>
          <w:ilvl w:val="1"/>
          <w:numId w:val="3"/>
        </w:numPr>
        <w:contextualSpacing w:val="0"/>
        <w:jc w:val="both"/>
      </w:pPr>
      <w:r>
        <w:t>Class B – 191</w:t>
      </w:r>
    </w:p>
    <w:p w14:paraId="02CC9F87" w14:textId="314DD4E1" w:rsidR="00C575B5" w:rsidRDefault="00C575B5" w:rsidP="00C575B5">
      <w:pPr>
        <w:pStyle w:val="ListParagraph"/>
        <w:numPr>
          <w:ilvl w:val="1"/>
          <w:numId w:val="3"/>
        </w:numPr>
        <w:contextualSpacing w:val="0"/>
        <w:jc w:val="both"/>
      </w:pPr>
      <w:r>
        <w:t>Class C – 9</w:t>
      </w:r>
    </w:p>
    <w:p w14:paraId="66534225" w14:textId="483C814E" w:rsidR="00C575B5" w:rsidRPr="004F23DD" w:rsidRDefault="00C575B5" w:rsidP="00C575B5">
      <w:pPr>
        <w:pStyle w:val="ListParagraph"/>
        <w:numPr>
          <w:ilvl w:val="0"/>
          <w:numId w:val="3"/>
        </w:numPr>
        <w:contextualSpacing w:val="0"/>
        <w:jc w:val="both"/>
        <w:rPr>
          <w:b/>
          <w:u w:val="single"/>
        </w:rPr>
      </w:pPr>
      <w:r>
        <w:t xml:space="preserve">AMI targets – </w:t>
      </w:r>
      <w:r w:rsidR="00D00912">
        <w:t>48 units at 120% AMI</w:t>
      </w:r>
    </w:p>
    <w:p w14:paraId="69A87616" w14:textId="60BBA89E" w:rsidR="004F23DD" w:rsidRDefault="004F23DD" w:rsidP="004F23DD">
      <w:pPr>
        <w:jc w:val="both"/>
        <w:rPr>
          <w:b/>
          <w:u w:val="single"/>
        </w:rPr>
      </w:pPr>
    </w:p>
    <w:p w14:paraId="562F49A6" w14:textId="6CC32BEA" w:rsidR="004F23DD" w:rsidRDefault="004F23DD" w:rsidP="004F23DD">
      <w:pPr>
        <w:rPr>
          <w:b/>
          <w:u w:val="single"/>
        </w:rPr>
      </w:pPr>
      <w:r>
        <w:rPr>
          <w:b/>
          <w:u w:val="single"/>
        </w:rPr>
        <w:t>Item 8: Timpson</w:t>
      </w:r>
    </w:p>
    <w:p w14:paraId="6F2953AC" w14:textId="77777777" w:rsidR="004F23DD" w:rsidRDefault="004F23DD" w:rsidP="004F23DD">
      <w:pPr>
        <w:jc w:val="both"/>
      </w:pPr>
    </w:p>
    <w:p w14:paraId="1F7BDCAE" w14:textId="06C843FB" w:rsidR="004F23DD" w:rsidRDefault="004F23DD" w:rsidP="004F23DD">
      <w:pPr>
        <w:jc w:val="both"/>
      </w:pPr>
      <w:r>
        <w:t xml:space="preserve">Timpson HDFC is a portfolio of four buildings comprised of 178 residential units and three commercial units located across four separate lots in the Woodstock neighborhood. Its residential units include two one-bedroom units, 101 two-bedroom units (inclusive of one superintendent unit), 68 three-bedroom units </w:t>
      </w:r>
      <w:r w:rsidR="00606C70">
        <w:t>(inclusive of one superintendent unit)</w:t>
      </w:r>
      <w:r w:rsidR="00DA59BA">
        <w:t>,</w:t>
      </w:r>
      <w:r w:rsidR="00606C70">
        <w:t xml:space="preserve"> </w:t>
      </w:r>
      <w:r>
        <w:t>and seven four-bedroom units.</w:t>
      </w:r>
    </w:p>
    <w:p w14:paraId="387CE1A7" w14:textId="6F798B09" w:rsidR="004F23DD" w:rsidRDefault="004F23DD" w:rsidP="004F23DD">
      <w:pPr>
        <w:jc w:val="both"/>
      </w:pPr>
    </w:p>
    <w:p w14:paraId="24D7BACD" w14:textId="1D6B5AB5" w:rsidR="004F23DD" w:rsidRDefault="004F23DD" w:rsidP="004F23DD">
      <w:pPr>
        <w:jc w:val="both"/>
      </w:pPr>
      <w:r>
        <w:t xml:space="preserve">Timpson HDFC is a </w:t>
      </w:r>
      <w:r w:rsidRPr="004F23DD">
        <w:t>subsid</w:t>
      </w:r>
      <w:r>
        <w:t xml:space="preserve">iary of SEBCO Development, Inc., </w:t>
      </w:r>
      <w:r w:rsidRPr="004F23DD">
        <w:t>a not-for-profit organization formed in 1978 to create and rehabilitate low income housing in the South Bronx</w:t>
      </w:r>
    </w:p>
    <w:p w14:paraId="131C2DC6" w14:textId="07326AF1" w:rsidR="004F23DD" w:rsidRDefault="004F23DD" w:rsidP="004F23DD">
      <w:pPr>
        <w:jc w:val="both"/>
      </w:pPr>
    </w:p>
    <w:p w14:paraId="7C0E0B03" w14:textId="5143DEF1" w:rsidR="00606C70" w:rsidRDefault="00606C70" w:rsidP="00606C70">
      <w:pPr>
        <w:jc w:val="both"/>
        <w:rPr>
          <w:rFonts w:ascii="Arial" w:eastAsia="Arial" w:hAnsi="Arial" w:cs="Arial"/>
        </w:rPr>
      </w:pPr>
      <w:r>
        <w:t xml:space="preserve">HPD is requesting that Council approve a full, 32-year </w:t>
      </w:r>
      <w:r w:rsidR="00DA59BA">
        <w:t xml:space="preserve">Article XI </w:t>
      </w:r>
      <w:r>
        <w:t>tax exemption. The HDFC would enter into a regulatory agreement with HPD</w:t>
      </w:r>
      <w:r w:rsidR="00F361B6">
        <w:t xml:space="preserve"> requiring that 69 </w:t>
      </w:r>
      <w:r w:rsidR="00E004F6" w:rsidRPr="00032E88">
        <w:t xml:space="preserve">units </w:t>
      </w:r>
      <w:r w:rsidR="00E004F6">
        <w:t>be leased only to households</w:t>
      </w:r>
      <w:r w:rsidR="00E004F6" w:rsidRPr="00032E88">
        <w:t xml:space="preserve"> </w:t>
      </w:r>
      <w:r w:rsidR="00E004F6">
        <w:t>with incomes up to</w:t>
      </w:r>
      <w:r w:rsidR="00F361B6">
        <w:t xml:space="preserve"> 50% AMI, 66 </w:t>
      </w:r>
      <w:r w:rsidR="00E004F6" w:rsidRPr="00032E88">
        <w:t xml:space="preserve">units </w:t>
      </w:r>
      <w:r w:rsidR="00E004F6">
        <w:t>be leased only to households</w:t>
      </w:r>
      <w:r w:rsidR="00E004F6" w:rsidRPr="00032E88">
        <w:t xml:space="preserve"> </w:t>
      </w:r>
      <w:r w:rsidR="00E004F6">
        <w:t xml:space="preserve">with incomes up to </w:t>
      </w:r>
      <w:r w:rsidR="00F361B6">
        <w:t xml:space="preserve">60% AMI, and 41 </w:t>
      </w:r>
      <w:r w:rsidR="00E004F6" w:rsidRPr="00032E88">
        <w:t xml:space="preserve">units </w:t>
      </w:r>
      <w:r w:rsidR="00E004F6">
        <w:t>be leased only to households</w:t>
      </w:r>
      <w:r w:rsidR="00E004F6" w:rsidRPr="00032E88">
        <w:t xml:space="preserve"> </w:t>
      </w:r>
      <w:r w:rsidR="00E004F6">
        <w:t xml:space="preserve">with incomes up to </w:t>
      </w:r>
      <w:r w:rsidR="00F361B6">
        <w:t>105% AMI</w:t>
      </w:r>
      <w:r>
        <w:t xml:space="preserve">. HPD would provide subsidy to finance </w:t>
      </w:r>
      <w:r w:rsidRPr="00C575B5">
        <w:t>the moderate rehabilitation and energy and water efficiency needs of the building</w:t>
      </w:r>
      <w:r>
        <w:t xml:space="preserve">s, and would extend and modify an existing </w:t>
      </w:r>
      <w:r w:rsidRPr="00606C70">
        <w:t>loan through a Purchase and Sale Agreement with HDC.</w:t>
      </w:r>
    </w:p>
    <w:p w14:paraId="2D659DF6" w14:textId="6E74FF61" w:rsidR="00606C70" w:rsidRDefault="00606C70" w:rsidP="00606C70">
      <w:pPr>
        <w:jc w:val="both"/>
      </w:pPr>
    </w:p>
    <w:p w14:paraId="2608E7DF" w14:textId="77777777" w:rsidR="00337397" w:rsidRPr="00FB415C" w:rsidRDefault="00337397" w:rsidP="00337397">
      <w:pPr>
        <w:pStyle w:val="MediumGrid1-Accent21"/>
        <w:ind w:left="0"/>
        <w:rPr>
          <w:u w:val="single"/>
        </w:rPr>
      </w:pPr>
      <w:r w:rsidRPr="00FB415C">
        <w:rPr>
          <w:u w:val="single"/>
        </w:rPr>
        <w:t xml:space="preserve">Summary: </w:t>
      </w:r>
    </w:p>
    <w:p w14:paraId="6D23C0F6" w14:textId="77777777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>Borough – Bronx</w:t>
      </w:r>
    </w:p>
    <w:p w14:paraId="0FAE873F" w14:textId="0B258DD7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Block </w:t>
      </w:r>
      <w:r w:rsidR="00606C70">
        <w:t>2573</w:t>
      </w:r>
      <w:r>
        <w:t>, Lot</w:t>
      </w:r>
      <w:r w:rsidR="00606C70">
        <w:t>s</w:t>
      </w:r>
      <w:r>
        <w:t xml:space="preserve"> </w:t>
      </w:r>
      <w:r w:rsidR="00606C70">
        <w:t>49 and 71; Block 2603, Lot 35; Block 2691, Lot 67</w:t>
      </w:r>
    </w:p>
    <w:p w14:paraId="35872253" w14:textId="1442BFC4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>Council District</w:t>
      </w:r>
      <w:r w:rsidR="00606C70">
        <w:t>s</w:t>
      </w:r>
      <w:r>
        <w:t xml:space="preserve"> – 8</w:t>
      </w:r>
      <w:r w:rsidR="00606C70">
        <w:t xml:space="preserve"> and 17</w:t>
      </w:r>
    </w:p>
    <w:p w14:paraId="1C3CAAF6" w14:textId="55CB4B22" w:rsidR="004F23DD" w:rsidRPr="00B906D6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 xml:space="preserve">Council Member </w:t>
      </w:r>
      <w:r>
        <w:t>–</w:t>
      </w:r>
      <w:r w:rsidRPr="00B906D6">
        <w:t xml:space="preserve"> </w:t>
      </w:r>
      <w:r>
        <w:t>Ayala</w:t>
      </w:r>
      <w:r w:rsidR="00606C70">
        <w:t xml:space="preserve"> and Salamanca</w:t>
      </w:r>
    </w:p>
    <w:p w14:paraId="5E776CEB" w14:textId="7DC7059A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 w:rsidRPr="00B906D6">
        <w:t>Council Member</w:t>
      </w:r>
      <w:r w:rsidR="00606C70">
        <w:t>s</w:t>
      </w:r>
      <w:r w:rsidRPr="00B906D6">
        <w:t xml:space="preserve"> approval – Yes</w:t>
      </w:r>
    </w:p>
    <w:p w14:paraId="269A4D23" w14:textId="22238FEF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Number of buildings – </w:t>
      </w:r>
      <w:r w:rsidR="00606C70">
        <w:t>4</w:t>
      </w:r>
    </w:p>
    <w:p w14:paraId="088E026C" w14:textId="0B225038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Number of units – </w:t>
      </w:r>
      <w:r w:rsidR="00606C70">
        <w:t>178</w:t>
      </w:r>
      <w:r>
        <w:t xml:space="preserve"> (inclusive of </w:t>
      </w:r>
      <w:r w:rsidR="00606C70">
        <w:t>two</w:t>
      </w:r>
      <w:r>
        <w:t xml:space="preserve"> superintendent unit</w:t>
      </w:r>
      <w:r w:rsidR="00606C70">
        <w:t>s</w:t>
      </w:r>
      <w:r>
        <w:t xml:space="preserve">) </w:t>
      </w:r>
    </w:p>
    <w:p w14:paraId="4AFFA062" w14:textId="057A8022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Type of exemption – Article XI, full, </w:t>
      </w:r>
      <w:r w:rsidR="00606C70">
        <w:t>32</w:t>
      </w:r>
      <w:r>
        <w:t xml:space="preserve"> years</w:t>
      </w:r>
    </w:p>
    <w:p w14:paraId="4BB89D74" w14:textId="77777777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>Population – affordable rental housing</w:t>
      </w:r>
    </w:p>
    <w:p w14:paraId="047D3A6B" w14:textId="7BC621CF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Sponsor – </w:t>
      </w:r>
      <w:r w:rsidR="00606C70">
        <w:t xml:space="preserve">Timpson </w:t>
      </w:r>
      <w:r w:rsidRPr="00146777">
        <w:t>HDFC</w:t>
      </w:r>
      <w:r w:rsidR="00606C70">
        <w:t>, SEBCO Development, Inc.</w:t>
      </w:r>
    </w:p>
    <w:p w14:paraId="5336D517" w14:textId="77777777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>Purpose – preservation</w:t>
      </w:r>
    </w:p>
    <w:p w14:paraId="7999B25D" w14:textId="3B94C8A7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>Cost to the city – $</w:t>
      </w:r>
      <w:r w:rsidR="00606C70">
        <w:t>9.1</w:t>
      </w:r>
      <w:r>
        <w:t xml:space="preserve"> million</w:t>
      </w:r>
    </w:p>
    <w:p w14:paraId="185C7FEA" w14:textId="77777777" w:rsidR="004F23DD" w:rsidRDefault="004F23DD" w:rsidP="004F23DD">
      <w:pPr>
        <w:pStyle w:val="ListParagraph"/>
        <w:numPr>
          <w:ilvl w:val="0"/>
          <w:numId w:val="3"/>
        </w:numPr>
        <w:contextualSpacing w:val="0"/>
        <w:jc w:val="both"/>
      </w:pPr>
      <w:r>
        <w:t xml:space="preserve">Housing Code Violations </w:t>
      </w:r>
    </w:p>
    <w:p w14:paraId="2FA3FDAA" w14:textId="0B016480" w:rsidR="004F23DD" w:rsidRDefault="004F23DD" w:rsidP="004F23DD">
      <w:pPr>
        <w:pStyle w:val="ListParagraph"/>
        <w:numPr>
          <w:ilvl w:val="1"/>
          <w:numId w:val="3"/>
        </w:numPr>
        <w:contextualSpacing w:val="0"/>
        <w:jc w:val="both"/>
      </w:pPr>
      <w:r>
        <w:t xml:space="preserve">Class A – </w:t>
      </w:r>
      <w:r w:rsidR="00606C70">
        <w:t>13</w:t>
      </w:r>
    </w:p>
    <w:p w14:paraId="41472B70" w14:textId="1118E46D" w:rsidR="004F23DD" w:rsidRDefault="004F23DD" w:rsidP="004F23DD">
      <w:pPr>
        <w:pStyle w:val="ListParagraph"/>
        <w:numPr>
          <w:ilvl w:val="1"/>
          <w:numId w:val="3"/>
        </w:numPr>
        <w:contextualSpacing w:val="0"/>
        <w:jc w:val="both"/>
      </w:pPr>
      <w:r>
        <w:t>Class B – 1</w:t>
      </w:r>
      <w:r w:rsidR="00606C70">
        <w:t>4</w:t>
      </w:r>
    </w:p>
    <w:p w14:paraId="625A48DE" w14:textId="655A77AB" w:rsidR="004F23DD" w:rsidRDefault="00606C70" w:rsidP="004F23DD">
      <w:pPr>
        <w:pStyle w:val="ListParagraph"/>
        <w:numPr>
          <w:ilvl w:val="1"/>
          <w:numId w:val="3"/>
        </w:numPr>
        <w:contextualSpacing w:val="0"/>
        <w:jc w:val="both"/>
      </w:pPr>
      <w:r>
        <w:t>Class C – 5</w:t>
      </w:r>
    </w:p>
    <w:p w14:paraId="1A408D11" w14:textId="7AB8BB7B" w:rsidR="004F23DD" w:rsidRPr="007A5EAA" w:rsidRDefault="004F23DD" w:rsidP="004F23DD">
      <w:pPr>
        <w:pStyle w:val="ListParagraph"/>
        <w:numPr>
          <w:ilvl w:val="0"/>
          <w:numId w:val="3"/>
        </w:numPr>
        <w:contextualSpacing w:val="0"/>
        <w:jc w:val="both"/>
        <w:rPr>
          <w:b/>
          <w:u w:val="single"/>
        </w:rPr>
      </w:pPr>
      <w:r>
        <w:t xml:space="preserve">AMI targets – </w:t>
      </w:r>
      <w:r w:rsidR="00F361B6">
        <w:t xml:space="preserve">69 units at 50% AMI, 66 units at 60%, </w:t>
      </w:r>
      <w:r w:rsidR="00DA59BA">
        <w:t>41</w:t>
      </w:r>
      <w:r w:rsidR="00F361B6">
        <w:t xml:space="preserve"> units 105% </w:t>
      </w:r>
      <w:r>
        <w:t>AMI</w:t>
      </w:r>
      <w:r w:rsidR="00F361B6">
        <w:t>.</w:t>
      </w:r>
    </w:p>
    <w:sectPr w:rsidR="004F23DD" w:rsidRPr="007A5EAA" w:rsidSect="00561D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5747" w14:textId="77777777" w:rsidR="00D65276" w:rsidRDefault="00D65276" w:rsidP="00D65276">
      <w:r>
        <w:separator/>
      </w:r>
    </w:p>
  </w:endnote>
  <w:endnote w:type="continuationSeparator" w:id="0">
    <w:p w14:paraId="4FAF2682" w14:textId="77777777" w:rsidR="00D65276" w:rsidRDefault="00D65276" w:rsidP="00D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1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F4A9" w14:textId="5062C0A9" w:rsidR="004D7CE5" w:rsidRDefault="004D7C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62992B" w14:textId="77777777" w:rsidR="004D7CE5" w:rsidRDefault="004D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1135" w14:textId="77777777" w:rsidR="00D65276" w:rsidRDefault="00D65276" w:rsidP="00D65276">
      <w:r>
        <w:separator/>
      </w:r>
    </w:p>
  </w:footnote>
  <w:footnote w:type="continuationSeparator" w:id="0">
    <w:p w14:paraId="4E3754C1" w14:textId="77777777" w:rsidR="00D65276" w:rsidRDefault="00D65276" w:rsidP="00D6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FB9"/>
    <w:multiLevelType w:val="hybridMultilevel"/>
    <w:tmpl w:val="33C8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4103"/>
    <w:multiLevelType w:val="hybridMultilevel"/>
    <w:tmpl w:val="BEC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F12"/>
    <w:multiLevelType w:val="hybridMultilevel"/>
    <w:tmpl w:val="02F492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5"/>
    <w:rsid w:val="00001062"/>
    <w:rsid w:val="000268E4"/>
    <w:rsid w:val="00030CAB"/>
    <w:rsid w:val="00032E88"/>
    <w:rsid w:val="00054E34"/>
    <w:rsid w:val="000578FE"/>
    <w:rsid w:val="00070D53"/>
    <w:rsid w:val="000710F0"/>
    <w:rsid w:val="0007468E"/>
    <w:rsid w:val="00074EB9"/>
    <w:rsid w:val="00085863"/>
    <w:rsid w:val="00094D8D"/>
    <w:rsid w:val="000B5972"/>
    <w:rsid w:val="000B75E9"/>
    <w:rsid w:val="000E2083"/>
    <w:rsid w:val="00102485"/>
    <w:rsid w:val="0013038D"/>
    <w:rsid w:val="001347D3"/>
    <w:rsid w:val="00137849"/>
    <w:rsid w:val="00146777"/>
    <w:rsid w:val="001571F0"/>
    <w:rsid w:val="00171E42"/>
    <w:rsid w:val="00173996"/>
    <w:rsid w:val="00176F74"/>
    <w:rsid w:val="001A20B2"/>
    <w:rsid w:val="001D7AC0"/>
    <w:rsid w:val="001F77B4"/>
    <w:rsid w:val="00226A1D"/>
    <w:rsid w:val="002467F5"/>
    <w:rsid w:val="00250DC6"/>
    <w:rsid w:val="00284631"/>
    <w:rsid w:val="002A1F9D"/>
    <w:rsid w:val="002C6253"/>
    <w:rsid w:val="002E6B2D"/>
    <w:rsid w:val="002E7EFA"/>
    <w:rsid w:val="00337397"/>
    <w:rsid w:val="00362436"/>
    <w:rsid w:val="003669EF"/>
    <w:rsid w:val="00392777"/>
    <w:rsid w:val="003A3485"/>
    <w:rsid w:val="003D00E4"/>
    <w:rsid w:val="003F0F98"/>
    <w:rsid w:val="004020DE"/>
    <w:rsid w:val="00441340"/>
    <w:rsid w:val="00443E0E"/>
    <w:rsid w:val="00472C36"/>
    <w:rsid w:val="00486012"/>
    <w:rsid w:val="00493DA6"/>
    <w:rsid w:val="004A665C"/>
    <w:rsid w:val="004B0977"/>
    <w:rsid w:val="004D4D54"/>
    <w:rsid w:val="004D7CE5"/>
    <w:rsid w:val="004F23DD"/>
    <w:rsid w:val="004F7334"/>
    <w:rsid w:val="0052067A"/>
    <w:rsid w:val="00561D25"/>
    <w:rsid w:val="005642E3"/>
    <w:rsid w:val="00567787"/>
    <w:rsid w:val="00570305"/>
    <w:rsid w:val="00571E2D"/>
    <w:rsid w:val="005927E2"/>
    <w:rsid w:val="00593F9E"/>
    <w:rsid w:val="005A025C"/>
    <w:rsid w:val="005A4B86"/>
    <w:rsid w:val="005A6C68"/>
    <w:rsid w:val="005B61C7"/>
    <w:rsid w:val="005F627C"/>
    <w:rsid w:val="00601891"/>
    <w:rsid w:val="00606C70"/>
    <w:rsid w:val="006227A8"/>
    <w:rsid w:val="006230D4"/>
    <w:rsid w:val="00651CC6"/>
    <w:rsid w:val="00657C11"/>
    <w:rsid w:val="00693878"/>
    <w:rsid w:val="006C439E"/>
    <w:rsid w:val="006F604A"/>
    <w:rsid w:val="006F78B6"/>
    <w:rsid w:val="006F78C3"/>
    <w:rsid w:val="007000AC"/>
    <w:rsid w:val="0071134C"/>
    <w:rsid w:val="00715D53"/>
    <w:rsid w:val="007245CD"/>
    <w:rsid w:val="00730F05"/>
    <w:rsid w:val="00777653"/>
    <w:rsid w:val="007A5EAA"/>
    <w:rsid w:val="007E00ED"/>
    <w:rsid w:val="007E2DFA"/>
    <w:rsid w:val="007E54E7"/>
    <w:rsid w:val="00822E6C"/>
    <w:rsid w:val="008254B5"/>
    <w:rsid w:val="00830E5C"/>
    <w:rsid w:val="00852F21"/>
    <w:rsid w:val="008657EC"/>
    <w:rsid w:val="00886740"/>
    <w:rsid w:val="008A6F15"/>
    <w:rsid w:val="008D4437"/>
    <w:rsid w:val="008E67A0"/>
    <w:rsid w:val="008E6810"/>
    <w:rsid w:val="008F5DA6"/>
    <w:rsid w:val="009151CD"/>
    <w:rsid w:val="00956501"/>
    <w:rsid w:val="0097088B"/>
    <w:rsid w:val="00991682"/>
    <w:rsid w:val="009F7480"/>
    <w:rsid w:val="00A1341E"/>
    <w:rsid w:val="00A14BDB"/>
    <w:rsid w:val="00A54018"/>
    <w:rsid w:val="00A62778"/>
    <w:rsid w:val="00A64C37"/>
    <w:rsid w:val="00A92B2D"/>
    <w:rsid w:val="00AB09FA"/>
    <w:rsid w:val="00AB17C1"/>
    <w:rsid w:val="00AC565C"/>
    <w:rsid w:val="00AD7F20"/>
    <w:rsid w:val="00AE4543"/>
    <w:rsid w:val="00AE6573"/>
    <w:rsid w:val="00AE769B"/>
    <w:rsid w:val="00B164C0"/>
    <w:rsid w:val="00B23E9C"/>
    <w:rsid w:val="00B56C17"/>
    <w:rsid w:val="00B906D6"/>
    <w:rsid w:val="00BA1D77"/>
    <w:rsid w:val="00BE6E7F"/>
    <w:rsid w:val="00BF58D8"/>
    <w:rsid w:val="00C0172B"/>
    <w:rsid w:val="00C16512"/>
    <w:rsid w:val="00C168DE"/>
    <w:rsid w:val="00C3424F"/>
    <w:rsid w:val="00C575B5"/>
    <w:rsid w:val="00CA72CF"/>
    <w:rsid w:val="00CD1D0A"/>
    <w:rsid w:val="00CF518B"/>
    <w:rsid w:val="00D007DF"/>
    <w:rsid w:val="00D00912"/>
    <w:rsid w:val="00D045E0"/>
    <w:rsid w:val="00D44C43"/>
    <w:rsid w:val="00D60D33"/>
    <w:rsid w:val="00D65276"/>
    <w:rsid w:val="00D6640E"/>
    <w:rsid w:val="00D665F0"/>
    <w:rsid w:val="00D75FD3"/>
    <w:rsid w:val="00D91808"/>
    <w:rsid w:val="00DA59BA"/>
    <w:rsid w:val="00E004F6"/>
    <w:rsid w:val="00E167F5"/>
    <w:rsid w:val="00E26F95"/>
    <w:rsid w:val="00E74CFE"/>
    <w:rsid w:val="00E97562"/>
    <w:rsid w:val="00ED1F73"/>
    <w:rsid w:val="00EE3418"/>
    <w:rsid w:val="00EF39FD"/>
    <w:rsid w:val="00F3448D"/>
    <w:rsid w:val="00F361B6"/>
    <w:rsid w:val="00F467F8"/>
    <w:rsid w:val="00F50186"/>
    <w:rsid w:val="00F54AAD"/>
    <w:rsid w:val="00F65BAB"/>
    <w:rsid w:val="00F73291"/>
    <w:rsid w:val="00F85840"/>
    <w:rsid w:val="00FA0E06"/>
    <w:rsid w:val="00FA711D"/>
    <w:rsid w:val="00FB577B"/>
    <w:rsid w:val="00FB57FE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B74CF5"/>
  <w15:chartTrackingRefBased/>
  <w15:docId w15:val="{EDFBACD3-A5A9-42CD-9656-687A90C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254B5"/>
    <w:pPr>
      <w:ind w:left="720"/>
    </w:pPr>
  </w:style>
  <w:style w:type="paragraph" w:styleId="ListParagraph">
    <w:name w:val="List Paragraph"/>
    <w:basedOn w:val="Normal"/>
    <w:uiPriority w:val="34"/>
    <w:qFormat/>
    <w:rsid w:val="00825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27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52CB-B264-4F94-801B-F195155B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Ruiz, Stephanie</dc:creator>
  <cp:keywords/>
  <dc:description/>
  <cp:lastModifiedBy>DelFranco, Ruthie</cp:lastModifiedBy>
  <cp:revision>2</cp:revision>
  <cp:lastPrinted>2019-11-25T21:41:00Z</cp:lastPrinted>
  <dcterms:created xsi:type="dcterms:W3CDTF">2019-11-25T22:55:00Z</dcterms:created>
  <dcterms:modified xsi:type="dcterms:W3CDTF">2019-11-25T22:55:00Z</dcterms:modified>
</cp:coreProperties>
</file>