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5C" w:rsidRDefault="00F3535C" w:rsidP="00F3535C">
      <w:pPr>
        <w:tabs>
          <w:tab w:val="left" w:pos="720"/>
        </w:tabs>
        <w:ind w:firstLine="0"/>
        <w:jc w:val="center"/>
      </w:pPr>
      <w:bookmarkStart w:id="0" w:name="_GoBack"/>
      <w:bookmarkEnd w:id="0"/>
      <w:r>
        <w:t>Int. No. 1410-B</w:t>
      </w:r>
    </w:p>
    <w:p w:rsidR="00F3535C" w:rsidRDefault="00F3535C" w:rsidP="00F3535C">
      <w:pPr>
        <w:ind w:firstLine="0"/>
        <w:jc w:val="center"/>
      </w:pPr>
    </w:p>
    <w:p w:rsidR="00952280" w:rsidRDefault="00952280" w:rsidP="00952280">
      <w:pPr>
        <w:ind w:firstLine="0"/>
        <w:jc w:val="both"/>
      </w:pPr>
      <w:r>
        <w:t>By Council Members Gibson, Salamanca, King, Ayala, Rosenthal, Rivera</w:t>
      </w:r>
      <w:r w:rsidR="006250BA">
        <w:t>,</w:t>
      </w:r>
      <w:r>
        <w:t xml:space="preserve"> Kallos</w:t>
      </w:r>
      <w:r w:rsidR="008C4DF8">
        <w:t>,</w:t>
      </w:r>
      <w:r w:rsidR="006250BA">
        <w:t xml:space="preserve"> Levin</w:t>
      </w:r>
      <w:r w:rsidR="008C4DF8">
        <w:t xml:space="preserve"> and Espinal</w:t>
      </w:r>
    </w:p>
    <w:p w:rsidR="00F3535C" w:rsidRDefault="00F3535C" w:rsidP="00F3535C">
      <w:pPr>
        <w:pStyle w:val="BodyText"/>
        <w:spacing w:line="240" w:lineRule="auto"/>
        <w:ind w:firstLine="0"/>
      </w:pPr>
    </w:p>
    <w:p w:rsidR="00952280" w:rsidRPr="00952280" w:rsidRDefault="00952280" w:rsidP="00F3535C">
      <w:pPr>
        <w:pStyle w:val="BodyText"/>
        <w:spacing w:line="240" w:lineRule="auto"/>
        <w:ind w:firstLine="0"/>
        <w:rPr>
          <w:vanish/>
        </w:rPr>
      </w:pPr>
      <w:r w:rsidRPr="00952280">
        <w:rPr>
          <w:vanish/>
        </w:rPr>
        <w:t>..Title</w:t>
      </w:r>
    </w:p>
    <w:p w:rsidR="00952280" w:rsidRDefault="00952280" w:rsidP="00F3535C">
      <w:pPr>
        <w:pStyle w:val="BodyText"/>
        <w:spacing w:line="240" w:lineRule="auto"/>
        <w:ind w:firstLine="0"/>
      </w:pPr>
      <w:r>
        <w:t>A Local Law t</w:t>
      </w:r>
      <w:r w:rsidR="00F3535C" w:rsidRPr="0057323E">
        <w:t xml:space="preserve">o amend the </w:t>
      </w:r>
      <w:sdt>
        <w:sdtPr>
          <w:id w:val="1993222445"/>
          <w:placeholder>
            <w:docPart w:val="20F01AE1837C4476A237116FF4443AC1"/>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F3535C" w:rsidRPr="0057323E">
            <w:t>administrative code of the city of New York</w:t>
          </w:r>
        </w:sdtContent>
      </w:sdt>
      <w:r w:rsidR="00F3535C" w:rsidRPr="0057323E">
        <w:t xml:space="preserve">, in relation to </w:t>
      </w:r>
      <w:r w:rsidR="00F3535C">
        <w:t>commercial</w:t>
      </w:r>
      <w:r w:rsidR="00F3535C" w:rsidRPr="00DE79A6">
        <w:t xml:space="preserve"> tenant harassment</w:t>
      </w:r>
    </w:p>
    <w:p w:rsidR="00F3535C" w:rsidRPr="00952280" w:rsidRDefault="00952280" w:rsidP="00F3535C">
      <w:pPr>
        <w:pStyle w:val="BodyText"/>
        <w:spacing w:line="240" w:lineRule="auto"/>
        <w:ind w:firstLine="0"/>
        <w:rPr>
          <w:vanish/>
        </w:rPr>
      </w:pPr>
      <w:r w:rsidRPr="00952280">
        <w:rPr>
          <w:vanish/>
        </w:rPr>
        <w:t>..Body</w:t>
      </w:r>
    </w:p>
    <w:p w:rsidR="00F3535C" w:rsidRDefault="00F3535C" w:rsidP="00F3535C">
      <w:pPr>
        <w:pStyle w:val="BodyText"/>
        <w:spacing w:line="240" w:lineRule="auto"/>
        <w:ind w:firstLine="0"/>
        <w:rPr>
          <w:u w:val="single"/>
        </w:rPr>
      </w:pPr>
    </w:p>
    <w:p w:rsidR="00F3535C" w:rsidRDefault="00F3535C" w:rsidP="00F3535C">
      <w:pPr>
        <w:ind w:firstLine="0"/>
        <w:jc w:val="both"/>
      </w:pPr>
      <w:r>
        <w:rPr>
          <w:u w:val="single"/>
        </w:rPr>
        <w:t>Be it enacted by the Council as follows</w:t>
      </w:r>
      <w:r w:rsidRPr="005B5DE4">
        <w:rPr>
          <w:u w:val="single"/>
        </w:rPr>
        <w:t>:</w:t>
      </w:r>
    </w:p>
    <w:p w:rsidR="00F3535C" w:rsidRDefault="00F3535C" w:rsidP="00F3535C">
      <w:pPr>
        <w:jc w:val="both"/>
      </w:pPr>
    </w:p>
    <w:p w:rsidR="00F3535C" w:rsidRDefault="00F3535C" w:rsidP="00F3535C">
      <w:pPr>
        <w:spacing w:line="480" w:lineRule="auto"/>
        <w:jc w:val="both"/>
        <w:sectPr w:rsidR="00F3535C" w:rsidSect="008F0B17">
          <w:footerReference w:type="default" r:id="rId8"/>
          <w:footerReference w:type="first" r:id="rId9"/>
          <w:pgSz w:w="12240" w:h="15840"/>
          <w:pgMar w:top="1440" w:right="1440" w:bottom="1440" w:left="1440" w:header="720" w:footer="720" w:gutter="0"/>
          <w:cols w:space="720"/>
          <w:docGrid w:linePitch="360"/>
        </w:sectPr>
      </w:pPr>
    </w:p>
    <w:p w:rsidR="00F3535C" w:rsidRPr="006D7669" w:rsidRDefault="00F3535C" w:rsidP="00F3535C">
      <w:pPr>
        <w:spacing w:line="480" w:lineRule="auto"/>
        <w:jc w:val="both"/>
      </w:pPr>
      <w:r w:rsidRPr="006D7669">
        <w:t xml:space="preserve">Section 1. </w:t>
      </w:r>
      <w:r w:rsidR="00BC3930">
        <w:t>Section 22-901 of the administrative code of the city of New York, as added by local law number 77 for the year 2016, is amended by adding a new definition of “covered categories of work” in alphabetical order to read as follows</w:t>
      </w:r>
      <w:r w:rsidRPr="006D7669">
        <w:t>:</w:t>
      </w:r>
    </w:p>
    <w:p w:rsidR="00F3535C" w:rsidRDefault="00F3535C" w:rsidP="00F3535C">
      <w:pPr>
        <w:ind w:firstLine="0"/>
        <w:jc w:val="both"/>
        <w:rPr>
          <w:u w:val="single"/>
        </w:rPr>
      </w:pPr>
    </w:p>
    <w:p w:rsidR="00F3535C" w:rsidRPr="00D40672" w:rsidRDefault="00BC3930" w:rsidP="00F3535C">
      <w:pPr>
        <w:ind w:left="360" w:firstLine="0"/>
        <w:jc w:val="both"/>
        <w:rPr>
          <w:u w:val="single"/>
        </w:rPr>
      </w:pPr>
      <w:r>
        <w:rPr>
          <w:b/>
          <w:u w:val="single"/>
        </w:rPr>
        <w:t>Covered categories of work</w:t>
      </w:r>
      <w:r w:rsidR="00F3535C" w:rsidRPr="00070744">
        <w:rPr>
          <w:b/>
          <w:u w:val="single"/>
        </w:rPr>
        <w:t>.</w:t>
      </w:r>
      <w:r w:rsidR="00F3535C" w:rsidRPr="00263910">
        <w:rPr>
          <w:u w:val="single"/>
        </w:rPr>
        <w:t xml:space="preserve"> The term “covered categories of work” </w:t>
      </w:r>
      <w:r w:rsidR="00F3535C">
        <w:rPr>
          <w:u w:val="single"/>
        </w:rPr>
        <w:t xml:space="preserve">means </w:t>
      </w:r>
      <w:r w:rsidR="00F3535C" w:rsidRPr="00D40672">
        <w:rPr>
          <w:u w:val="single"/>
        </w:rPr>
        <w:t xml:space="preserve">the following categories of work at </w:t>
      </w:r>
      <w:r w:rsidR="00F3535C">
        <w:rPr>
          <w:u w:val="single"/>
        </w:rPr>
        <w:t xml:space="preserve">a </w:t>
      </w:r>
      <w:r w:rsidR="009430AC">
        <w:rPr>
          <w:u w:val="single"/>
        </w:rPr>
        <w:t>covered property</w:t>
      </w:r>
      <w:r w:rsidR="00F3535C" w:rsidRPr="00D40672">
        <w:rPr>
          <w:u w:val="single"/>
        </w:rPr>
        <w:t>:</w:t>
      </w:r>
    </w:p>
    <w:p w:rsidR="00F3535C" w:rsidRPr="00D40672" w:rsidRDefault="00F3535C" w:rsidP="00F3535C">
      <w:pPr>
        <w:ind w:firstLine="0"/>
        <w:jc w:val="both"/>
        <w:rPr>
          <w:u w:val="single"/>
        </w:rPr>
      </w:pPr>
    </w:p>
    <w:p w:rsidR="00F3535C" w:rsidRPr="00D40672" w:rsidRDefault="00F3535C" w:rsidP="00F3535C">
      <w:pPr>
        <w:tabs>
          <w:tab w:val="left" w:pos="1080"/>
        </w:tabs>
        <w:ind w:left="720" w:firstLine="0"/>
        <w:jc w:val="both"/>
        <w:rPr>
          <w:u w:val="single"/>
        </w:rPr>
      </w:pPr>
      <w:r w:rsidRPr="00D40672">
        <w:rPr>
          <w:u w:val="single"/>
        </w:rPr>
        <w:t>1.</w:t>
      </w:r>
      <w:r>
        <w:rPr>
          <w:u w:val="single"/>
        </w:rPr>
        <w:t xml:space="preserve"> </w:t>
      </w:r>
      <w:r w:rsidRPr="00D40672">
        <w:rPr>
          <w:u w:val="single"/>
        </w:rPr>
        <w:t xml:space="preserve">Demolition of all or part of </w:t>
      </w:r>
      <w:r>
        <w:rPr>
          <w:u w:val="single"/>
        </w:rPr>
        <w:t>such</w:t>
      </w:r>
      <w:r w:rsidR="00937699">
        <w:rPr>
          <w:u w:val="single"/>
        </w:rPr>
        <w:t xml:space="preserve"> </w:t>
      </w:r>
      <w:r w:rsidR="009430AC">
        <w:rPr>
          <w:u w:val="single"/>
        </w:rPr>
        <w:t>covered property</w:t>
      </w:r>
      <w:r w:rsidRPr="00D40672">
        <w:rPr>
          <w:u w:val="single"/>
        </w:rPr>
        <w:t>;</w:t>
      </w:r>
    </w:p>
    <w:p w:rsidR="00F3535C" w:rsidRPr="00D40672" w:rsidRDefault="00F3535C" w:rsidP="00F3535C">
      <w:pPr>
        <w:ind w:left="360" w:firstLine="360"/>
        <w:jc w:val="both"/>
        <w:rPr>
          <w:u w:val="single"/>
        </w:rPr>
      </w:pPr>
    </w:p>
    <w:p w:rsidR="00F3535C" w:rsidRPr="00D40672" w:rsidRDefault="00F3535C" w:rsidP="00F3535C">
      <w:pPr>
        <w:tabs>
          <w:tab w:val="left" w:pos="990"/>
        </w:tabs>
        <w:ind w:left="720" w:firstLine="0"/>
        <w:jc w:val="both"/>
        <w:rPr>
          <w:u w:val="single"/>
        </w:rPr>
      </w:pPr>
      <w:r w:rsidRPr="00D40672">
        <w:rPr>
          <w:u w:val="single"/>
        </w:rPr>
        <w:t>2.</w:t>
      </w:r>
      <w:r>
        <w:rPr>
          <w:u w:val="single"/>
        </w:rPr>
        <w:t xml:space="preserve"> </w:t>
      </w:r>
      <w:r>
        <w:rPr>
          <w:u w:val="single"/>
        </w:rPr>
        <w:tab/>
      </w:r>
      <w:r w:rsidRPr="00D40672">
        <w:rPr>
          <w:u w:val="single"/>
        </w:rPr>
        <w:t xml:space="preserve">Change of use or occupancy of all or part of </w:t>
      </w:r>
      <w:r>
        <w:rPr>
          <w:u w:val="single"/>
        </w:rPr>
        <w:t>such</w:t>
      </w:r>
      <w:r w:rsidR="00937699">
        <w:rPr>
          <w:u w:val="single"/>
        </w:rPr>
        <w:t xml:space="preserve"> </w:t>
      </w:r>
      <w:r w:rsidR="009430AC">
        <w:rPr>
          <w:u w:val="single"/>
        </w:rPr>
        <w:t>covered property</w:t>
      </w:r>
      <w:r w:rsidRPr="00D40672">
        <w:rPr>
          <w:u w:val="single"/>
        </w:rPr>
        <w:t>;</w:t>
      </w:r>
      <w:r w:rsidR="00BC3930">
        <w:rPr>
          <w:u w:val="single"/>
        </w:rPr>
        <w:t xml:space="preserve"> or</w:t>
      </w:r>
    </w:p>
    <w:p w:rsidR="00F3535C" w:rsidRPr="00D40672" w:rsidRDefault="00F3535C" w:rsidP="00F3535C">
      <w:pPr>
        <w:ind w:left="360" w:firstLine="360"/>
        <w:jc w:val="both"/>
        <w:rPr>
          <w:u w:val="single"/>
        </w:rPr>
      </w:pPr>
    </w:p>
    <w:p w:rsidR="00F3535C" w:rsidRPr="00D40672" w:rsidRDefault="00F3535C" w:rsidP="00640EDB">
      <w:pPr>
        <w:ind w:left="720" w:firstLine="0"/>
        <w:jc w:val="both"/>
        <w:rPr>
          <w:u w:val="single"/>
        </w:rPr>
      </w:pPr>
      <w:r w:rsidRPr="00D40672">
        <w:rPr>
          <w:u w:val="single"/>
        </w:rPr>
        <w:t>3.</w:t>
      </w:r>
      <w:r>
        <w:rPr>
          <w:u w:val="single"/>
        </w:rPr>
        <w:t xml:space="preserve"> </w:t>
      </w:r>
      <w:r w:rsidRPr="00D40672">
        <w:rPr>
          <w:u w:val="single"/>
        </w:rPr>
        <w:t xml:space="preserve">Any change to the layout, configuration, or location of any portion of </w:t>
      </w:r>
      <w:r>
        <w:rPr>
          <w:u w:val="single"/>
        </w:rPr>
        <w:t>such</w:t>
      </w:r>
      <w:r w:rsidR="00937699">
        <w:rPr>
          <w:u w:val="single"/>
        </w:rPr>
        <w:t xml:space="preserve"> </w:t>
      </w:r>
      <w:r w:rsidR="009430AC">
        <w:rPr>
          <w:u w:val="single"/>
        </w:rPr>
        <w:t>covered property</w:t>
      </w:r>
      <w:r w:rsidRPr="00D40672">
        <w:rPr>
          <w:u w:val="single"/>
        </w:rPr>
        <w:t>.</w:t>
      </w:r>
    </w:p>
    <w:p w:rsidR="00F3535C" w:rsidRPr="00DC3310" w:rsidRDefault="00F3535C" w:rsidP="00F3535C">
      <w:pPr>
        <w:ind w:left="360" w:firstLine="0"/>
        <w:jc w:val="both"/>
        <w:rPr>
          <w:strike/>
          <w:color w:val="FF0000"/>
          <w:u w:val="single"/>
        </w:rPr>
      </w:pPr>
    </w:p>
    <w:p w:rsidR="00F3535C" w:rsidRPr="001D67C9" w:rsidRDefault="00F3535C" w:rsidP="00F3535C">
      <w:pPr>
        <w:ind w:left="360" w:firstLine="360"/>
        <w:jc w:val="both"/>
        <w:rPr>
          <w:u w:val="single"/>
        </w:rPr>
      </w:pPr>
      <w:r w:rsidRPr="001D67C9">
        <w:rPr>
          <w:b/>
          <w:u w:val="single"/>
        </w:rPr>
        <w:t>Exceptions:</w:t>
      </w:r>
    </w:p>
    <w:p w:rsidR="00F3535C" w:rsidRDefault="00F3535C" w:rsidP="00F3535C">
      <w:pPr>
        <w:pStyle w:val="ListParagraph"/>
        <w:ind w:hanging="360"/>
        <w:rPr>
          <w:color w:val="FF0000"/>
          <w:u w:val="single"/>
        </w:rPr>
      </w:pPr>
    </w:p>
    <w:p w:rsidR="00F3535C" w:rsidRPr="0040325F" w:rsidRDefault="00F3535C" w:rsidP="0080476F">
      <w:pPr>
        <w:ind w:left="1440" w:hanging="360"/>
        <w:jc w:val="both"/>
        <w:rPr>
          <w:color w:val="FF0000"/>
          <w:u w:val="single"/>
        </w:rPr>
      </w:pPr>
      <w:r>
        <w:rPr>
          <w:u w:val="single"/>
        </w:rPr>
        <w:t>1.</w:t>
      </w:r>
      <w:r>
        <w:rPr>
          <w:u w:val="single"/>
        </w:rPr>
        <w:tab/>
      </w:r>
      <w:r w:rsidRPr="006D7669">
        <w:rPr>
          <w:u w:val="single"/>
        </w:rPr>
        <w:t xml:space="preserve">Work </w:t>
      </w:r>
      <w:r w:rsidR="00FB397E">
        <w:rPr>
          <w:u w:val="single"/>
        </w:rPr>
        <w:t xml:space="preserve">conducted in whole or in part </w:t>
      </w:r>
      <w:r w:rsidRPr="006D7669">
        <w:rPr>
          <w:u w:val="single"/>
        </w:rPr>
        <w:t xml:space="preserve">for the purpose of making </w:t>
      </w:r>
      <w:r w:rsidR="00FB397E">
        <w:rPr>
          <w:u w:val="single"/>
        </w:rPr>
        <w:t xml:space="preserve">any portion of such </w:t>
      </w:r>
      <w:r w:rsidR="009430AC">
        <w:rPr>
          <w:u w:val="single"/>
        </w:rPr>
        <w:t xml:space="preserve">covered property </w:t>
      </w:r>
      <w:r w:rsidR="00FB397E">
        <w:rPr>
          <w:u w:val="single"/>
        </w:rPr>
        <w:t xml:space="preserve">accessible </w:t>
      </w:r>
      <w:r w:rsidRPr="006B33BA">
        <w:rPr>
          <w:u w:val="single"/>
        </w:rPr>
        <w:t>to persons with disabilities.</w:t>
      </w:r>
      <w:r w:rsidR="00A01CF5">
        <w:rPr>
          <w:u w:val="single"/>
        </w:rPr>
        <w:t xml:space="preserve"> </w:t>
      </w:r>
    </w:p>
    <w:p w:rsidR="00F3535C" w:rsidRDefault="00F3535C" w:rsidP="00F3535C">
      <w:pPr>
        <w:ind w:left="1440" w:hanging="360"/>
        <w:jc w:val="both"/>
        <w:rPr>
          <w:u w:val="single"/>
        </w:rPr>
      </w:pPr>
      <w:r>
        <w:rPr>
          <w:u w:val="single"/>
        </w:rPr>
        <w:t xml:space="preserve">2. </w:t>
      </w:r>
      <w:r>
        <w:rPr>
          <w:u w:val="single"/>
        </w:rPr>
        <w:tab/>
        <w:t xml:space="preserve">Work </w:t>
      </w:r>
      <w:r w:rsidR="00FB397E">
        <w:rPr>
          <w:u w:val="single"/>
        </w:rPr>
        <w:t xml:space="preserve">conducted </w:t>
      </w:r>
      <w:r>
        <w:rPr>
          <w:u w:val="single"/>
        </w:rPr>
        <w:t>solely for the purpose of remediating hazardous or impending hazardous conditions</w:t>
      </w:r>
      <w:r w:rsidR="00CB516B">
        <w:rPr>
          <w:u w:val="single"/>
        </w:rPr>
        <w:t xml:space="preserve">, or </w:t>
      </w:r>
      <w:r w:rsidR="00A01CF5">
        <w:rPr>
          <w:u w:val="single"/>
        </w:rPr>
        <w:t xml:space="preserve">protecting </w:t>
      </w:r>
      <w:r w:rsidR="00CB516B">
        <w:rPr>
          <w:u w:val="single"/>
        </w:rPr>
        <w:t>public health and safety</w:t>
      </w:r>
      <w:r>
        <w:rPr>
          <w:u w:val="single"/>
        </w:rPr>
        <w:t xml:space="preserve">. </w:t>
      </w:r>
    </w:p>
    <w:p w:rsidR="00FB397E" w:rsidRDefault="00FB397E" w:rsidP="00F3535C">
      <w:pPr>
        <w:ind w:left="1440" w:hanging="360"/>
        <w:jc w:val="both"/>
        <w:rPr>
          <w:u w:val="single"/>
        </w:rPr>
      </w:pPr>
      <w:r>
        <w:rPr>
          <w:u w:val="single"/>
        </w:rPr>
        <w:t>3.</w:t>
      </w:r>
      <w:r>
        <w:rPr>
          <w:u w:val="single"/>
        </w:rPr>
        <w:tab/>
        <w:t>Work performed pursuant to a lease or other agreement executed prior to the issuance of an order pursuant to paragraph (2) of subdivision a of section 22-903.</w:t>
      </w:r>
    </w:p>
    <w:p w:rsidR="00FB397E" w:rsidRDefault="00FB397E" w:rsidP="00F3535C">
      <w:pPr>
        <w:ind w:left="1440" w:hanging="360"/>
        <w:jc w:val="both"/>
        <w:rPr>
          <w:u w:val="single"/>
        </w:rPr>
      </w:pPr>
      <w:r>
        <w:rPr>
          <w:u w:val="single"/>
        </w:rPr>
        <w:t xml:space="preserve">4. </w:t>
      </w:r>
      <w:r>
        <w:rPr>
          <w:u w:val="single"/>
        </w:rPr>
        <w:tab/>
        <w:t>Work performed pursuant to an agreement entered into by a tenant of such</w:t>
      </w:r>
      <w:r w:rsidR="009430AC">
        <w:rPr>
          <w:u w:val="single"/>
        </w:rPr>
        <w:t xml:space="preserve"> covered property</w:t>
      </w:r>
      <w:r>
        <w:rPr>
          <w:u w:val="single"/>
        </w:rPr>
        <w:t>.</w:t>
      </w:r>
    </w:p>
    <w:p w:rsidR="00F3535C" w:rsidRDefault="00F3535C" w:rsidP="00F3535C">
      <w:pPr>
        <w:ind w:left="1440" w:hanging="360"/>
        <w:jc w:val="both"/>
        <w:rPr>
          <w:u w:val="single"/>
        </w:rPr>
      </w:pPr>
    </w:p>
    <w:p w:rsidR="00F3535C" w:rsidRPr="006B33BA" w:rsidRDefault="00FB397E" w:rsidP="00F3535C">
      <w:pPr>
        <w:ind w:left="1440" w:hanging="360"/>
        <w:jc w:val="both"/>
        <w:rPr>
          <w:u w:val="single"/>
        </w:rPr>
      </w:pPr>
      <w:r>
        <w:rPr>
          <w:u w:val="single"/>
        </w:rPr>
        <w:t>5</w:t>
      </w:r>
      <w:r w:rsidR="00F3535C">
        <w:rPr>
          <w:u w:val="single"/>
        </w:rPr>
        <w:t xml:space="preserve">. </w:t>
      </w:r>
      <w:r w:rsidR="00F3535C" w:rsidRPr="006D7669">
        <w:rPr>
          <w:u w:val="single"/>
        </w:rPr>
        <w:t>Other categories of work that are excluded from the definition of covered categories</w:t>
      </w:r>
      <w:r w:rsidR="00F3535C">
        <w:rPr>
          <w:u w:val="single"/>
        </w:rPr>
        <w:t xml:space="preserve"> </w:t>
      </w:r>
      <w:r w:rsidR="00F3535C" w:rsidRPr="006B33BA">
        <w:rPr>
          <w:u w:val="single"/>
        </w:rPr>
        <w:t>of work by rule of the department.</w:t>
      </w:r>
    </w:p>
    <w:p w:rsidR="00F3535C" w:rsidRPr="00263910" w:rsidRDefault="00F3535C" w:rsidP="00F3535C">
      <w:pPr>
        <w:ind w:left="360" w:firstLine="0"/>
        <w:jc w:val="both"/>
        <w:rPr>
          <w:u w:val="single"/>
        </w:rPr>
      </w:pPr>
    </w:p>
    <w:p w:rsidR="00F3535C" w:rsidRPr="00801FBA" w:rsidRDefault="00F3535C" w:rsidP="00F3535C">
      <w:pPr>
        <w:ind w:firstLine="0"/>
        <w:jc w:val="both"/>
        <w:rPr>
          <w:u w:val="single"/>
        </w:rPr>
      </w:pPr>
      <w:r>
        <w:rPr>
          <w:u w:val="single"/>
        </w:rPr>
        <w:t xml:space="preserve">    </w:t>
      </w:r>
    </w:p>
    <w:p w:rsidR="00F3535C" w:rsidRPr="00070744" w:rsidRDefault="00F3535C" w:rsidP="00F3535C">
      <w:pPr>
        <w:ind w:firstLine="0"/>
        <w:jc w:val="both"/>
        <w:rPr>
          <w:u w:val="single"/>
        </w:rPr>
      </w:pPr>
    </w:p>
    <w:p w:rsidR="00F3535C" w:rsidRDefault="00F3535C" w:rsidP="00F3535C">
      <w:pPr>
        <w:ind w:firstLine="0"/>
        <w:jc w:val="both"/>
        <w:rPr>
          <w:b/>
          <w:i/>
          <w:u w:val="single"/>
        </w:rPr>
      </w:pPr>
    </w:p>
    <w:p w:rsidR="00F3535C" w:rsidRDefault="00F3535C" w:rsidP="00F3535C">
      <w:pPr>
        <w:spacing w:line="480" w:lineRule="auto"/>
        <w:jc w:val="both"/>
      </w:pPr>
      <w:r>
        <w:lastRenderedPageBreak/>
        <w:t>§</w:t>
      </w:r>
      <w:r w:rsidR="00FB397E">
        <w:t xml:space="preserve"> 2</w:t>
      </w:r>
      <w:r>
        <w:t>.</w:t>
      </w:r>
      <w:r w:rsidRPr="00A903E2">
        <w:t xml:space="preserve"> </w:t>
      </w:r>
      <w:r>
        <w:t>S</w:t>
      </w:r>
      <w:r w:rsidR="00FB397E">
        <w:t>ubdivision a of s</w:t>
      </w:r>
      <w:r>
        <w:t>ection 22-902 of the administrative code of the city of New York,</w:t>
      </w:r>
      <w:r w:rsidRPr="001B36D8">
        <w:t xml:space="preserve"> </w:t>
      </w:r>
      <w:r>
        <w:t xml:space="preserve">as added by local law </w:t>
      </w:r>
      <w:r w:rsidR="00FB397E">
        <w:t xml:space="preserve">number </w:t>
      </w:r>
      <w:r>
        <w:t>77 for the year 2016, is amended to read as follows:</w:t>
      </w:r>
    </w:p>
    <w:p w:rsidR="00F3535C" w:rsidRPr="00000D51" w:rsidRDefault="00F3535C" w:rsidP="00F3535C">
      <w:pPr>
        <w:spacing w:line="480" w:lineRule="auto"/>
        <w:jc w:val="both"/>
      </w:pPr>
      <w:r w:rsidRPr="00000D51">
        <w:t>a. A landlord shall not engage</w:t>
      </w:r>
      <w:r>
        <w:t xml:space="preserve"> </w:t>
      </w:r>
      <w:r w:rsidRPr="00000D51">
        <w:t>in commercial tenant harassment. Except as provided in subdivision b of this section, commercial tenant harassment is any act or omission by or on behalf of a landlord</w:t>
      </w:r>
      <w:r>
        <w:t xml:space="preserve"> </w:t>
      </w:r>
      <w:r w:rsidRPr="00000D51">
        <w:t xml:space="preserve">that (i) </w:t>
      </w:r>
      <w:r w:rsidR="005C784A">
        <w:t>[</w:t>
      </w:r>
      <w:r w:rsidRPr="00000D51">
        <w:t>is intended to</w:t>
      </w:r>
      <w:r w:rsidR="005C784A">
        <w:t>]</w:t>
      </w:r>
      <w:r w:rsidRPr="00000D51">
        <w:t xml:space="preserve"> </w:t>
      </w:r>
      <w:r w:rsidR="00CF341B">
        <w:rPr>
          <w:u w:val="single"/>
        </w:rPr>
        <w:t>would reasonably</w:t>
      </w:r>
      <w:r w:rsidRPr="00BC3FE9">
        <w:t xml:space="preserve"> </w:t>
      </w:r>
      <w:r w:rsidRPr="00000D51">
        <w:t>cause a commercial tenant to vacate covered property, or to surrender or waive any rights under a lease</w:t>
      </w:r>
      <w:r>
        <w:t xml:space="preserve"> </w:t>
      </w:r>
      <w:r w:rsidRPr="00000D51">
        <w:t>or other rental agreement</w:t>
      </w:r>
      <w:r>
        <w:t xml:space="preserve"> </w:t>
      </w:r>
      <w:r w:rsidRPr="00000D51">
        <w:t>or under</w:t>
      </w:r>
      <w:r>
        <w:t xml:space="preserve"> </w:t>
      </w:r>
      <w:r w:rsidRPr="00000D51">
        <w:t>applicable law in relation to</w:t>
      </w:r>
      <w:r>
        <w:t xml:space="preserve"> </w:t>
      </w:r>
      <w:r w:rsidRPr="00000D51">
        <w:t>such covered property, and (ii) includes</w:t>
      </w:r>
      <w:r w:rsidR="00CF341B">
        <w:t xml:space="preserve"> </w:t>
      </w:r>
      <w:r w:rsidRPr="00000D51">
        <w:t>one or more of the following:</w:t>
      </w:r>
    </w:p>
    <w:p w:rsidR="00F3535C" w:rsidRPr="00000D51" w:rsidRDefault="00F3535C" w:rsidP="00F3535C">
      <w:pPr>
        <w:spacing w:line="480" w:lineRule="auto"/>
        <w:jc w:val="both"/>
      </w:pPr>
      <w:r w:rsidRPr="00000D51">
        <w:t>1. using force against or making express</w:t>
      </w:r>
      <w:r>
        <w:t xml:space="preserve"> </w:t>
      </w:r>
      <w:r w:rsidRPr="00000D51">
        <w:t>or implied threats that force will be used against a commercial tenant or such tenant</w:t>
      </w:r>
      <w:r>
        <w:t>’</w:t>
      </w:r>
      <w:r w:rsidRPr="00000D51">
        <w:t>s invitee;</w:t>
      </w:r>
    </w:p>
    <w:p w:rsidR="00F3535C" w:rsidRPr="00000D51" w:rsidRDefault="00F3535C" w:rsidP="00F3535C">
      <w:pPr>
        <w:spacing w:line="480" w:lineRule="auto"/>
        <w:jc w:val="both"/>
      </w:pPr>
      <w:r w:rsidRPr="00000D51">
        <w:t>2. causing repeated interruptions or discontinuances of one or more essential services;</w:t>
      </w:r>
    </w:p>
    <w:p w:rsidR="00F3535C" w:rsidRPr="00000D51" w:rsidRDefault="00F3535C" w:rsidP="00F3535C">
      <w:pPr>
        <w:spacing w:line="480" w:lineRule="auto"/>
        <w:jc w:val="both"/>
      </w:pPr>
      <w:r>
        <w:t xml:space="preserve">3. </w:t>
      </w:r>
      <w:r w:rsidRPr="00000D51">
        <w:t>causing</w:t>
      </w:r>
      <w:r>
        <w:t xml:space="preserve"> </w:t>
      </w:r>
      <w:r w:rsidRPr="00000D51">
        <w:t>an interruption or discontinuance of an essential service for an extended period of time;</w:t>
      </w:r>
    </w:p>
    <w:p w:rsidR="00F3535C" w:rsidRPr="00000D51" w:rsidRDefault="00F3535C" w:rsidP="00F3535C">
      <w:pPr>
        <w:spacing w:line="480" w:lineRule="auto"/>
        <w:jc w:val="both"/>
      </w:pPr>
      <w:r>
        <w:t xml:space="preserve">4. </w:t>
      </w:r>
      <w:r w:rsidRPr="00000D51">
        <w:t>causing an interruption or discontinuance of an essential service where such interruption or discontinuance substantially interferes with a commercial tenant</w:t>
      </w:r>
      <w:r>
        <w:t>’</w:t>
      </w:r>
      <w:r w:rsidRPr="00000D51">
        <w:t>s business;</w:t>
      </w:r>
    </w:p>
    <w:p w:rsidR="00F3535C" w:rsidRPr="00000D51" w:rsidRDefault="00F3535C" w:rsidP="00F3535C">
      <w:pPr>
        <w:spacing w:line="480" w:lineRule="auto"/>
        <w:jc w:val="both"/>
      </w:pPr>
      <w:r w:rsidRPr="00000D51">
        <w:t>5.  repeatedly</w:t>
      </w:r>
      <w:r>
        <w:t xml:space="preserve"> </w:t>
      </w:r>
      <w:r w:rsidRPr="00000D51">
        <w:t>commencing frivolous court proceedings against a commercial tenant;</w:t>
      </w:r>
    </w:p>
    <w:p w:rsidR="00F3535C" w:rsidRPr="00000D51" w:rsidRDefault="00F3535C" w:rsidP="00F3535C">
      <w:pPr>
        <w:spacing w:line="480" w:lineRule="auto"/>
        <w:jc w:val="both"/>
      </w:pPr>
      <w:r w:rsidRPr="00000D51">
        <w:t>6. removing</w:t>
      </w:r>
      <w:r>
        <w:t xml:space="preserve"> </w:t>
      </w:r>
      <w:r w:rsidRPr="00000D51">
        <w:t>from a covered property any personal property belonging to a commercial tenant or such tenant</w:t>
      </w:r>
      <w:r>
        <w:t>’</w:t>
      </w:r>
      <w:r w:rsidRPr="00000D51">
        <w:t>s invitee;</w:t>
      </w:r>
    </w:p>
    <w:p w:rsidR="00F3535C" w:rsidRPr="00000D51" w:rsidRDefault="00F3535C" w:rsidP="00F3535C">
      <w:pPr>
        <w:spacing w:line="480" w:lineRule="auto"/>
        <w:jc w:val="both"/>
      </w:pPr>
      <w:r w:rsidRPr="00000D51">
        <w:t>7. removing the door at the entrance to a covered property occupied by a</w:t>
      </w:r>
      <w:r>
        <w:t xml:space="preserve"> </w:t>
      </w:r>
      <w:r w:rsidRPr="00000D51">
        <w:t>commercial tenant; removing, plugging or otherwise rendering the lock on such entrance door inoperable; or changing the lock on such</w:t>
      </w:r>
      <w:r>
        <w:t xml:space="preserve"> </w:t>
      </w:r>
      <w:r w:rsidRPr="00000D51">
        <w:t>entrance door</w:t>
      </w:r>
      <w:r>
        <w:t xml:space="preserve"> </w:t>
      </w:r>
      <w:r w:rsidRPr="00000D51">
        <w:t>without</w:t>
      </w:r>
      <w:r>
        <w:t xml:space="preserve"> </w:t>
      </w:r>
      <w:r w:rsidRPr="00000D51">
        <w:t>supplying a key to the new lock to the commercial tenant occupying the covered property;</w:t>
      </w:r>
    </w:p>
    <w:p w:rsidR="00F3535C" w:rsidRPr="00000D51" w:rsidRDefault="00F3535C" w:rsidP="00F3535C">
      <w:pPr>
        <w:spacing w:line="480" w:lineRule="auto"/>
        <w:jc w:val="both"/>
      </w:pPr>
      <w:r w:rsidRPr="00000D51">
        <w:t>8. preventing a commercial tenant or such</w:t>
      </w:r>
      <w:r>
        <w:t xml:space="preserve"> tenant’</w:t>
      </w:r>
      <w:r w:rsidRPr="00000D51">
        <w:t>s invitee from entering a covered property occupied by such tenant;</w:t>
      </w:r>
    </w:p>
    <w:p w:rsidR="00F3535C" w:rsidRPr="00000D51" w:rsidRDefault="00F3535C" w:rsidP="00F3535C">
      <w:pPr>
        <w:spacing w:line="480" w:lineRule="auto"/>
        <w:jc w:val="both"/>
      </w:pPr>
      <w:r w:rsidRPr="00000D51">
        <w:t>9.</w:t>
      </w:r>
      <w:r>
        <w:t xml:space="preserve"> </w:t>
      </w:r>
      <w:r w:rsidRPr="00000D51">
        <w:t>substantially</w:t>
      </w:r>
      <w:r>
        <w:t xml:space="preserve"> </w:t>
      </w:r>
      <w:r w:rsidRPr="00000D51">
        <w:t>interfering</w:t>
      </w:r>
      <w:r>
        <w:t xml:space="preserve"> </w:t>
      </w:r>
      <w:r w:rsidRPr="00000D51">
        <w:t>with</w:t>
      </w:r>
      <w:r>
        <w:t xml:space="preserve"> </w:t>
      </w:r>
      <w:r w:rsidRPr="00000D51">
        <w:t>a</w:t>
      </w:r>
      <w:r>
        <w:t xml:space="preserve"> </w:t>
      </w:r>
      <w:r w:rsidRPr="00000D51">
        <w:t>commercial</w:t>
      </w:r>
      <w:r>
        <w:t xml:space="preserve"> </w:t>
      </w:r>
      <w:r w:rsidRPr="00000D51">
        <w:t>tenan</w:t>
      </w:r>
      <w:r>
        <w:t>t’</w:t>
      </w:r>
      <w:r w:rsidRPr="00000D51">
        <w:t>s</w:t>
      </w:r>
      <w:r>
        <w:t xml:space="preserve"> </w:t>
      </w:r>
      <w:r w:rsidRPr="00000D51">
        <w:t>business</w:t>
      </w:r>
      <w:r>
        <w:t xml:space="preserve"> </w:t>
      </w:r>
      <w:r w:rsidRPr="00000D51">
        <w:t>by</w:t>
      </w:r>
      <w:r>
        <w:t xml:space="preserve"> </w:t>
      </w:r>
      <w:r w:rsidRPr="00000D51">
        <w:t xml:space="preserve">commencing unnecessary construction or repairs on or near covered property; </w:t>
      </w:r>
      <w:r>
        <w:t>[</w:t>
      </w:r>
      <w:r w:rsidRPr="00000D51">
        <w:t>or</w:t>
      </w:r>
      <w:r>
        <w:t>]</w:t>
      </w:r>
    </w:p>
    <w:p w:rsidR="00F3535C" w:rsidRDefault="00F3535C" w:rsidP="00F3535C">
      <w:pPr>
        <w:spacing w:line="480" w:lineRule="auto"/>
        <w:jc w:val="both"/>
      </w:pPr>
      <w:r>
        <w:t xml:space="preserve">10. </w:t>
      </w:r>
      <w:r w:rsidRPr="00000D51">
        <w:t>engaging in any other repeated or enduring acts or omissions that</w:t>
      </w:r>
      <w:r>
        <w:t xml:space="preserve"> </w:t>
      </w:r>
      <w:r w:rsidRPr="00000D51">
        <w:t>substantially interfere with the opera</w:t>
      </w:r>
      <w:r>
        <w:t>tion of a commercial tenant’</w:t>
      </w:r>
      <w:r w:rsidRPr="00000D51">
        <w:t>s business</w:t>
      </w:r>
      <w:r w:rsidR="00924B6D" w:rsidDel="00924B6D">
        <w:t xml:space="preserve"> </w:t>
      </w:r>
      <w:r>
        <w:t>[</w:t>
      </w:r>
      <w:r w:rsidRPr="00000D51">
        <w:t>.</w:t>
      </w:r>
      <w:r>
        <w:t xml:space="preserve">] </w:t>
      </w:r>
      <w:r w:rsidRPr="00521C19">
        <w:rPr>
          <w:u w:val="single"/>
        </w:rPr>
        <w:t>;</w:t>
      </w:r>
    </w:p>
    <w:p w:rsidR="00F3535C" w:rsidRPr="00521C19" w:rsidRDefault="00F3535C" w:rsidP="00640EDB">
      <w:pPr>
        <w:spacing w:line="480" w:lineRule="auto"/>
        <w:jc w:val="both"/>
        <w:rPr>
          <w:u w:val="single"/>
        </w:rPr>
      </w:pPr>
      <w:r w:rsidRPr="00521C19">
        <w:rPr>
          <w:u w:val="single"/>
        </w:rPr>
        <w:t>11.</w:t>
      </w:r>
      <w:r>
        <w:rPr>
          <w:u w:val="single"/>
        </w:rPr>
        <w:t xml:space="preserve"> t</w:t>
      </w:r>
      <w:r w:rsidRPr="00521C19">
        <w:rPr>
          <w:u w:val="single"/>
        </w:rPr>
        <w:t xml:space="preserve">hreatening </w:t>
      </w:r>
      <w:r w:rsidR="00FB397E">
        <w:rPr>
          <w:u w:val="single"/>
        </w:rPr>
        <w:t xml:space="preserve">a commercial tenant </w:t>
      </w:r>
      <w:r w:rsidRPr="00521C19">
        <w:rPr>
          <w:u w:val="single"/>
        </w:rPr>
        <w:t xml:space="preserve">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w:t>
      </w:r>
    </w:p>
    <w:p w:rsidR="00F3535C" w:rsidRDefault="00F3535C" w:rsidP="00F3535C">
      <w:pPr>
        <w:spacing w:line="480" w:lineRule="auto"/>
        <w:jc w:val="both"/>
        <w:rPr>
          <w:bCs/>
          <w:u w:val="single"/>
        </w:rPr>
      </w:pPr>
      <w:r>
        <w:rPr>
          <w:u w:val="single"/>
        </w:rPr>
        <w:t xml:space="preserve">12. </w:t>
      </w:r>
      <w:r>
        <w:rPr>
          <w:bCs/>
          <w:u w:val="single"/>
        </w:rPr>
        <w:t>r</w:t>
      </w:r>
      <w:r w:rsidRPr="00521C19">
        <w:rPr>
          <w:bCs/>
          <w:u w:val="single"/>
        </w:rPr>
        <w:t>equesting identifying documentation that would disclose the citizenship status of</w:t>
      </w:r>
      <w:r w:rsidR="008F5F77">
        <w:rPr>
          <w:bCs/>
          <w:u w:val="single"/>
        </w:rPr>
        <w:t xml:space="preserve"> </w:t>
      </w:r>
      <w:r w:rsidR="00924B6D">
        <w:rPr>
          <w:bCs/>
          <w:u w:val="single"/>
        </w:rPr>
        <w:t>a commercial tenant, an invitee of a commercial tenant or any person seeking entry to the covered property in order to patronize such commercial tenant; or</w:t>
      </w:r>
    </w:p>
    <w:p w:rsidR="00F3535C" w:rsidRPr="00CC736D" w:rsidRDefault="00924B6D" w:rsidP="00640EDB">
      <w:pPr>
        <w:spacing w:line="480" w:lineRule="auto"/>
        <w:jc w:val="both"/>
        <w:rPr>
          <w:u w:val="single"/>
        </w:rPr>
      </w:pPr>
      <w:r>
        <w:rPr>
          <w:bCs/>
          <w:u w:val="single"/>
        </w:rPr>
        <w:t>13</w:t>
      </w:r>
      <w:r w:rsidR="00F3535C">
        <w:rPr>
          <w:bCs/>
          <w:u w:val="single"/>
        </w:rPr>
        <w:t xml:space="preserve">. </w:t>
      </w:r>
      <w:r>
        <w:rPr>
          <w:bCs/>
          <w:u w:val="single"/>
        </w:rPr>
        <w:t xml:space="preserve">unreasonably </w:t>
      </w:r>
      <w:r w:rsidR="00F3535C">
        <w:rPr>
          <w:bCs/>
          <w:u w:val="single"/>
        </w:rPr>
        <w:t>refusing to cooperate with a tenant’s permitted repairs or construction activities.</w:t>
      </w:r>
    </w:p>
    <w:p w:rsidR="00F3535C" w:rsidRDefault="00F3535C" w:rsidP="00F3535C">
      <w:pPr>
        <w:spacing w:line="480" w:lineRule="auto"/>
        <w:jc w:val="both"/>
      </w:pPr>
      <w:r>
        <w:t>§</w:t>
      </w:r>
      <w:r w:rsidR="00924B6D">
        <w:t xml:space="preserve"> 3</w:t>
      </w:r>
      <w:r>
        <w:t>.</w:t>
      </w:r>
      <w:r w:rsidR="00924B6D">
        <w:t xml:space="preserve"> Subdivision a of section 22-903 of the administrative code of the city of Ne</w:t>
      </w:r>
      <w:r w:rsidR="008F5F77">
        <w:t>w</w:t>
      </w:r>
      <w:r w:rsidR="00924B6D">
        <w:t xml:space="preserve"> York, as added by local law number 77 for the year 2016, is amended to read as follows</w:t>
      </w:r>
      <w:r>
        <w:t>:</w:t>
      </w:r>
    </w:p>
    <w:p w:rsidR="00924B6D" w:rsidRPr="00F94870" w:rsidRDefault="00924B6D" w:rsidP="00924B6D">
      <w:pPr>
        <w:spacing w:line="480" w:lineRule="auto"/>
        <w:jc w:val="both"/>
      </w:pPr>
      <w:r w:rsidRPr="00F94870">
        <w:t>a. A commercial tenant may bring an action in any court of competent jurisdiction for a claim of commercial tenant harassment. If a court of competent jurisdiction finds that a landlord has engaged in commercial tenant harassment in relation to such commercial tenant, the court shall impose a civil penalty in an amount not</w:t>
      </w:r>
      <w:r w:rsidRPr="000C5C33">
        <w:t xml:space="preserve"> less</w:t>
      </w:r>
      <w:r w:rsidRPr="00F94870">
        <w:t xml:space="preserve"> than </w:t>
      </w:r>
      <w:r w:rsidR="00F94870" w:rsidRPr="00F94870">
        <w:t>[</w:t>
      </w:r>
      <w:r w:rsidRPr="00F94870">
        <w:t>one</w:t>
      </w:r>
      <w:r w:rsidR="00F94870" w:rsidRPr="00F94870">
        <w:t xml:space="preserve">] </w:t>
      </w:r>
      <w:r w:rsidR="00F94870" w:rsidRPr="00640EDB">
        <w:rPr>
          <w:u w:val="single"/>
        </w:rPr>
        <w:t>ten</w:t>
      </w:r>
      <w:r w:rsidRPr="00F94870">
        <w:t xml:space="preserve"> thousand </w:t>
      </w:r>
      <w:r w:rsidRPr="000C5C33">
        <w:t xml:space="preserve">dollars </w:t>
      </w:r>
      <w:r w:rsidRPr="00F94870">
        <w:t xml:space="preserve">and not more than </w:t>
      </w:r>
      <w:r w:rsidR="00F94870" w:rsidRPr="00F94870">
        <w:t>[</w:t>
      </w:r>
      <w:r w:rsidRPr="00F94870">
        <w:t>ten</w:t>
      </w:r>
      <w:r w:rsidR="00F94870" w:rsidRPr="00F94870">
        <w:t>]</w:t>
      </w:r>
      <w:r w:rsidR="00F94870" w:rsidRPr="000C5C33">
        <w:t xml:space="preserve"> </w:t>
      </w:r>
      <w:r w:rsidR="00F94870" w:rsidRPr="00640EDB">
        <w:rPr>
          <w:u w:val="single"/>
        </w:rPr>
        <w:t>fifty</w:t>
      </w:r>
      <w:r w:rsidRPr="00F94870">
        <w:t xml:space="preserve"> thousand dollars for each covered property in which such</w:t>
      </w:r>
      <w:r w:rsidRPr="000C5C33">
        <w:t xml:space="preserve"> commercial</w:t>
      </w:r>
      <w:r w:rsidRPr="00F94870">
        <w:t xml:space="preserve"> tenant has been the subject of commercial tenant harassment and may further:</w:t>
      </w:r>
    </w:p>
    <w:p w:rsidR="00924B6D" w:rsidRPr="00F94870" w:rsidRDefault="00924B6D" w:rsidP="00924B6D">
      <w:pPr>
        <w:spacing w:line="480" w:lineRule="auto"/>
        <w:jc w:val="both"/>
      </w:pPr>
      <w:r w:rsidRPr="00F94870">
        <w:t xml:space="preserve">1. issue an order restraining the landlord from engaging in commercial tenant harassment and directing the landlord to ensure that no further violation occurs; </w:t>
      </w:r>
      <w:r w:rsidR="000C5C33">
        <w:t>[</w:t>
      </w:r>
      <w:r w:rsidRPr="00F94870">
        <w:t>and</w:t>
      </w:r>
      <w:r w:rsidR="000C5C33">
        <w:t>]</w:t>
      </w:r>
    </w:p>
    <w:p w:rsidR="000C5C33" w:rsidRDefault="00924B6D" w:rsidP="00924B6D">
      <w:pPr>
        <w:spacing w:line="480" w:lineRule="auto"/>
        <w:jc w:val="both"/>
      </w:pPr>
      <w:r w:rsidRPr="00F94870">
        <w:t xml:space="preserve">2. </w:t>
      </w:r>
      <w:r w:rsidR="000C5C33" w:rsidRPr="00640EDB">
        <w:rPr>
          <w:u w:val="single"/>
        </w:rPr>
        <w:t>issue an order to the department of buildings directing such department not to approve construction documents for, or not to issue or renew permits for, covered categories of work in the covered property in which such commercial tenant has been the subject of commercial tenant harassment</w:t>
      </w:r>
      <w:r w:rsidR="0025357D">
        <w:rPr>
          <w:u w:val="single"/>
        </w:rPr>
        <w:t>,</w:t>
      </w:r>
      <w:r w:rsidR="00ED1E76">
        <w:rPr>
          <w:u w:val="single"/>
        </w:rPr>
        <w:t xml:space="preserve"> for a period of time deemed appropriate by the court</w:t>
      </w:r>
      <w:r w:rsidR="000C5C33" w:rsidRPr="00640EDB">
        <w:rPr>
          <w:u w:val="single"/>
        </w:rPr>
        <w:t>; and</w:t>
      </w:r>
    </w:p>
    <w:p w:rsidR="00924B6D" w:rsidRPr="00924B6D" w:rsidRDefault="000C5C33" w:rsidP="00924B6D">
      <w:pPr>
        <w:spacing w:line="480" w:lineRule="auto"/>
        <w:jc w:val="both"/>
        <w:rPr>
          <w:u w:val="single"/>
        </w:rPr>
      </w:pPr>
      <w:r w:rsidRPr="00640EDB">
        <w:rPr>
          <w:u w:val="single"/>
        </w:rPr>
        <w:t>3.</w:t>
      </w:r>
      <w:r>
        <w:t xml:space="preserve"> </w:t>
      </w:r>
      <w:r w:rsidR="00924B6D" w:rsidRPr="00F94870">
        <w:t>award such other relief as the court deems appropriate, including but not limited to injunctive relief, equitable relief, compensatory damages, punitive damages and reasonable attorneys' fees and court costs.</w:t>
      </w:r>
    </w:p>
    <w:p w:rsidR="00F3535C" w:rsidRPr="001D67C9" w:rsidRDefault="00F3535C">
      <w:pPr>
        <w:spacing w:line="480" w:lineRule="auto"/>
        <w:jc w:val="both"/>
      </w:pPr>
      <w:r w:rsidRPr="00E27BD7">
        <w:t>§</w:t>
      </w:r>
      <w:r w:rsidR="000C5C33">
        <w:t xml:space="preserve"> 4</w:t>
      </w:r>
      <w:r w:rsidRPr="00E27BD7">
        <w:t xml:space="preserve">. </w:t>
      </w:r>
      <w:r w:rsidR="000C5C33">
        <w:t>This local law takes effect immediately.</w:t>
      </w:r>
    </w:p>
    <w:p w:rsidR="00F3535C" w:rsidRDefault="00F3535C" w:rsidP="00F3535C">
      <w:pPr>
        <w:ind w:firstLine="0"/>
        <w:jc w:val="both"/>
        <w:rPr>
          <w:sz w:val="18"/>
          <w:szCs w:val="18"/>
        </w:rPr>
      </w:pPr>
    </w:p>
    <w:p w:rsidR="00F3535C" w:rsidRDefault="00F3535C" w:rsidP="00F3535C">
      <w:pPr>
        <w:ind w:firstLine="0"/>
        <w:jc w:val="both"/>
        <w:rPr>
          <w:sz w:val="18"/>
          <w:szCs w:val="18"/>
        </w:rPr>
      </w:pPr>
    </w:p>
    <w:p w:rsidR="00F3535C" w:rsidRDefault="00F3535C" w:rsidP="00F3535C">
      <w:pPr>
        <w:ind w:firstLine="0"/>
        <w:jc w:val="both"/>
        <w:rPr>
          <w:sz w:val="18"/>
          <w:szCs w:val="18"/>
        </w:rPr>
      </w:pPr>
    </w:p>
    <w:p w:rsidR="00F3535C" w:rsidRDefault="00F3535C" w:rsidP="00F3535C">
      <w:pPr>
        <w:ind w:firstLine="0"/>
        <w:jc w:val="both"/>
        <w:rPr>
          <w:sz w:val="18"/>
          <w:szCs w:val="18"/>
        </w:rPr>
      </w:pPr>
    </w:p>
    <w:p w:rsidR="00F3535C" w:rsidRPr="002D5998" w:rsidRDefault="00F3535C" w:rsidP="00F3535C">
      <w:pPr>
        <w:ind w:firstLine="0"/>
        <w:jc w:val="both"/>
        <w:rPr>
          <w:sz w:val="18"/>
          <w:szCs w:val="18"/>
        </w:rPr>
      </w:pPr>
      <w:r w:rsidRPr="002D5998">
        <w:rPr>
          <w:sz w:val="18"/>
          <w:szCs w:val="18"/>
        </w:rPr>
        <w:t>NLB</w:t>
      </w:r>
    </w:p>
    <w:p w:rsidR="00F3535C" w:rsidRPr="002D5998" w:rsidRDefault="00F3535C" w:rsidP="00F3535C">
      <w:pPr>
        <w:ind w:firstLine="0"/>
        <w:jc w:val="both"/>
        <w:rPr>
          <w:sz w:val="18"/>
          <w:szCs w:val="18"/>
        </w:rPr>
      </w:pPr>
      <w:r w:rsidRPr="002D5998">
        <w:rPr>
          <w:sz w:val="18"/>
          <w:szCs w:val="18"/>
        </w:rPr>
        <w:t>LS 7582 7918</w:t>
      </w:r>
    </w:p>
    <w:p w:rsidR="00F3535C" w:rsidRDefault="00F3535C" w:rsidP="00F3535C">
      <w:pPr>
        <w:ind w:firstLine="0"/>
        <w:rPr>
          <w:sz w:val="18"/>
          <w:szCs w:val="18"/>
        </w:rPr>
      </w:pPr>
      <w:r>
        <w:rPr>
          <w:sz w:val="18"/>
          <w:szCs w:val="18"/>
        </w:rPr>
        <w:t>3/4/2019</w:t>
      </w:r>
    </w:p>
    <w:p w:rsidR="004D478C" w:rsidRDefault="00B30B7C"/>
    <w:sectPr w:rsidR="004D478C"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CB" w:rsidRDefault="00E624CB" w:rsidP="00F3535C">
      <w:r>
        <w:separator/>
      </w:r>
    </w:p>
  </w:endnote>
  <w:endnote w:type="continuationSeparator" w:id="0">
    <w:p w:rsidR="00E624CB" w:rsidRDefault="00E624CB" w:rsidP="00F3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F30779" w:rsidRDefault="00B81C89">
        <w:pPr>
          <w:pStyle w:val="Footer"/>
          <w:jc w:val="center"/>
        </w:pPr>
        <w:r>
          <w:fldChar w:fldCharType="begin"/>
        </w:r>
        <w:r>
          <w:instrText xml:space="preserve"> PAGE   \* MERGEFORMAT </w:instrText>
        </w:r>
        <w:r>
          <w:fldChar w:fldCharType="separate"/>
        </w:r>
        <w:r w:rsidR="00B30B7C">
          <w:rPr>
            <w:noProof/>
          </w:rPr>
          <w:t>1</w:t>
        </w:r>
        <w:r>
          <w:rPr>
            <w:noProof/>
          </w:rPr>
          <w:fldChar w:fldCharType="end"/>
        </w:r>
      </w:p>
    </w:sdtContent>
  </w:sdt>
  <w:p w:rsidR="00F30779" w:rsidRDefault="00B30B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F30779" w:rsidRDefault="00B81C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30779" w:rsidRDefault="00B3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CB" w:rsidRDefault="00E624CB" w:rsidP="00F3535C">
      <w:r>
        <w:separator/>
      </w:r>
    </w:p>
  </w:footnote>
  <w:footnote w:type="continuationSeparator" w:id="0">
    <w:p w:rsidR="00E624CB" w:rsidRDefault="00E624CB" w:rsidP="00F3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05F"/>
    <w:multiLevelType w:val="hybridMultilevel"/>
    <w:tmpl w:val="C5EA5746"/>
    <w:lvl w:ilvl="0" w:tplc="9DF0A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B13BE"/>
    <w:multiLevelType w:val="hybridMultilevel"/>
    <w:tmpl w:val="F104E740"/>
    <w:lvl w:ilvl="0" w:tplc="B872A73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4EBE"/>
    <w:multiLevelType w:val="hybridMultilevel"/>
    <w:tmpl w:val="2110A992"/>
    <w:lvl w:ilvl="0" w:tplc="5E3E046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F13A4"/>
    <w:multiLevelType w:val="multilevel"/>
    <w:tmpl w:val="5F862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802D9D"/>
    <w:multiLevelType w:val="hybridMultilevel"/>
    <w:tmpl w:val="EF88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22CE1"/>
    <w:multiLevelType w:val="multilevel"/>
    <w:tmpl w:val="889682E4"/>
    <w:lvl w:ilvl="0">
      <w:start w:val="1"/>
      <w:numFmt w:val="decimal"/>
      <w:lvlText w:val="%1."/>
      <w:lvlJc w:val="left"/>
      <w:pPr>
        <w:ind w:left="111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6" w15:restartNumberingAfterBreak="0">
    <w:nsid w:val="4610256E"/>
    <w:multiLevelType w:val="multilevel"/>
    <w:tmpl w:val="4F9463EE"/>
    <w:lvl w:ilvl="0">
      <w:start w:val="1"/>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488F56AF"/>
    <w:multiLevelType w:val="hybridMultilevel"/>
    <w:tmpl w:val="077C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B0ACD"/>
    <w:multiLevelType w:val="hybridMultilevel"/>
    <w:tmpl w:val="3F7E226C"/>
    <w:lvl w:ilvl="0" w:tplc="F3DE1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0115E"/>
    <w:multiLevelType w:val="multilevel"/>
    <w:tmpl w:val="ECCE39A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21F94"/>
    <w:multiLevelType w:val="hybridMultilevel"/>
    <w:tmpl w:val="E06E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D3AFF"/>
    <w:multiLevelType w:val="hybridMultilevel"/>
    <w:tmpl w:val="8CE0E9AA"/>
    <w:lvl w:ilvl="0" w:tplc="103420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6C2466D9"/>
    <w:multiLevelType w:val="hybridMultilevel"/>
    <w:tmpl w:val="882EF686"/>
    <w:lvl w:ilvl="0" w:tplc="DA8A7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253EC"/>
    <w:multiLevelType w:val="multilevel"/>
    <w:tmpl w:val="7846A8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num>
  <w:num w:numId="3">
    <w:abstractNumId w:val="12"/>
  </w:num>
  <w:num w:numId="4">
    <w:abstractNumId w:val="1"/>
  </w:num>
  <w:num w:numId="5">
    <w:abstractNumId w:val="11"/>
  </w:num>
  <w:num w:numId="6">
    <w:abstractNumId w:val="5"/>
  </w:num>
  <w:num w:numId="7">
    <w:abstractNumId w:val="8"/>
  </w:num>
  <w:num w:numId="8">
    <w:abstractNumId w:val="9"/>
  </w:num>
  <w:num w:numId="9">
    <w:abstractNumId w:val="7"/>
  </w:num>
  <w:num w:numId="10">
    <w:abstractNumId w:val="13"/>
  </w:num>
  <w:num w:numId="11">
    <w:abstractNumId w:val="2"/>
  </w:num>
  <w:num w:numId="12">
    <w:abstractNumId w:val="14"/>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5C"/>
    <w:rsid w:val="000349A0"/>
    <w:rsid w:val="000362A5"/>
    <w:rsid w:val="000629A1"/>
    <w:rsid w:val="000C5C33"/>
    <w:rsid w:val="001C1409"/>
    <w:rsid w:val="001E1334"/>
    <w:rsid w:val="00214EA8"/>
    <w:rsid w:val="0025357D"/>
    <w:rsid w:val="002A6A83"/>
    <w:rsid w:val="002D1338"/>
    <w:rsid w:val="00332E89"/>
    <w:rsid w:val="00375E63"/>
    <w:rsid w:val="003D5B92"/>
    <w:rsid w:val="00413895"/>
    <w:rsid w:val="00415987"/>
    <w:rsid w:val="00441B81"/>
    <w:rsid w:val="004508FC"/>
    <w:rsid w:val="00597D0E"/>
    <w:rsid w:val="005C784A"/>
    <w:rsid w:val="006250BA"/>
    <w:rsid w:val="0062658F"/>
    <w:rsid w:val="00640EDB"/>
    <w:rsid w:val="0066683C"/>
    <w:rsid w:val="006B5973"/>
    <w:rsid w:val="006D5922"/>
    <w:rsid w:val="006F725D"/>
    <w:rsid w:val="00767A3A"/>
    <w:rsid w:val="007C58C8"/>
    <w:rsid w:val="0080476F"/>
    <w:rsid w:val="008B3A1C"/>
    <w:rsid w:val="008B6664"/>
    <w:rsid w:val="008C4DF8"/>
    <w:rsid w:val="008D0E2D"/>
    <w:rsid w:val="008E58AF"/>
    <w:rsid w:val="008F3DDD"/>
    <w:rsid w:val="008F5F77"/>
    <w:rsid w:val="00916B27"/>
    <w:rsid w:val="00924B6D"/>
    <w:rsid w:val="00937699"/>
    <w:rsid w:val="009430AC"/>
    <w:rsid w:val="00952280"/>
    <w:rsid w:val="00A01CF5"/>
    <w:rsid w:val="00A71070"/>
    <w:rsid w:val="00AA107F"/>
    <w:rsid w:val="00AC6E36"/>
    <w:rsid w:val="00B069C5"/>
    <w:rsid w:val="00B26382"/>
    <w:rsid w:val="00B30B7C"/>
    <w:rsid w:val="00B5146E"/>
    <w:rsid w:val="00B81C89"/>
    <w:rsid w:val="00BC3930"/>
    <w:rsid w:val="00C15362"/>
    <w:rsid w:val="00C46E88"/>
    <w:rsid w:val="00CB516B"/>
    <w:rsid w:val="00CD781F"/>
    <w:rsid w:val="00CF27A1"/>
    <w:rsid w:val="00CF341B"/>
    <w:rsid w:val="00D911AF"/>
    <w:rsid w:val="00D92627"/>
    <w:rsid w:val="00E624CB"/>
    <w:rsid w:val="00ED1E76"/>
    <w:rsid w:val="00F3535C"/>
    <w:rsid w:val="00F80422"/>
    <w:rsid w:val="00F94870"/>
    <w:rsid w:val="00FA2C5D"/>
    <w:rsid w:val="00FB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44A23D-D1F4-4B80-90CD-930465C0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5C"/>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35C"/>
    <w:pPr>
      <w:tabs>
        <w:tab w:val="center" w:pos="4320"/>
        <w:tab w:val="right" w:pos="8640"/>
      </w:tabs>
    </w:pPr>
  </w:style>
  <w:style w:type="character" w:customStyle="1" w:styleId="FooterChar">
    <w:name w:val="Footer Char"/>
    <w:basedOn w:val="DefaultParagraphFont"/>
    <w:link w:val="Footer"/>
    <w:uiPriority w:val="99"/>
    <w:rsid w:val="00F3535C"/>
    <w:rPr>
      <w:rFonts w:ascii="Times New Roman" w:eastAsia="Times New Roman" w:hAnsi="Times New Roman" w:cs="Times New Roman"/>
      <w:sz w:val="24"/>
      <w:szCs w:val="24"/>
    </w:rPr>
  </w:style>
  <w:style w:type="character" w:styleId="PageNumber">
    <w:name w:val="page number"/>
    <w:basedOn w:val="DefaultParagraphFont"/>
    <w:uiPriority w:val="99"/>
    <w:rsid w:val="00F3535C"/>
  </w:style>
  <w:style w:type="paragraph" w:styleId="BodyText">
    <w:name w:val="Body Text"/>
    <w:basedOn w:val="Normal"/>
    <w:link w:val="BodyTextChar"/>
    <w:uiPriority w:val="99"/>
    <w:rsid w:val="00F3535C"/>
    <w:pPr>
      <w:spacing w:line="480" w:lineRule="auto"/>
      <w:jc w:val="both"/>
    </w:pPr>
  </w:style>
  <w:style w:type="character" w:customStyle="1" w:styleId="BodyTextChar">
    <w:name w:val="Body Text Char"/>
    <w:basedOn w:val="DefaultParagraphFont"/>
    <w:link w:val="BodyText"/>
    <w:uiPriority w:val="99"/>
    <w:rsid w:val="00F3535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3535C"/>
    <w:pPr>
      <w:spacing w:line="480" w:lineRule="auto"/>
    </w:pPr>
  </w:style>
  <w:style w:type="character" w:customStyle="1" w:styleId="BodyTextIndentChar">
    <w:name w:val="Body Text Indent Char"/>
    <w:basedOn w:val="DefaultParagraphFont"/>
    <w:link w:val="BodyTextIndent"/>
    <w:uiPriority w:val="99"/>
    <w:rsid w:val="00F3535C"/>
    <w:rPr>
      <w:rFonts w:ascii="Times New Roman" w:eastAsia="Times New Roman" w:hAnsi="Times New Roman" w:cs="Times New Roman"/>
      <w:sz w:val="24"/>
      <w:szCs w:val="24"/>
    </w:rPr>
  </w:style>
  <w:style w:type="paragraph" w:customStyle="1" w:styleId="Default">
    <w:name w:val="Default"/>
    <w:uiPriority w:val="99"/>
    <w:rsid w:val="00F3535C"/>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rsid w:val="00F3535C"/>
    <w:rPr>
      <w:rFonts w:ascii="Tahoma" w:hAnsi="Tahoma" w:cs="Tahoma"/>
      <w:sz w:val="16"/>
      <w:szCs w:val="16"/>
    </w:rPr>
  </w:style>
  <w:style w:type="character" w:customStyle="1" w:styleId="BalloonTextChar">
    <w:name w:val="Balloon Text Char"/>
    <w:basedOn w:val="DefaultParagraphFont"/>
    <w:link w:val="BalloonText"/>
    <w:uiPriority w:val="99"/>
    <w:semiHidden/>
    <w:rsid w:val="00F3535C"/>
    <w:rPr>
      <w:rFonts w:ascii="Tahoma" w:eastAsia="Times New Roman" w:hAnsi="Tahoma" w:cs="Tahoma"/>
      <w:sz w:val="16"/>
      <w:szCs w:val="16"/>
    </w:rPr>
  </w:style>
  <w:style w:type="character" w:customStyle="1" w:styleId="apple-style-span">
    <w:name w:val="apple-style-span"/>
    <w:basedOn w:val="DefaultParagraphFont"/>
    <w:uiPriority w:val="99"/>
    <w:rsid w:val="00F3535C"/>
  </w:style>
  <w:style w:type="character" w:styleId="Strong">
    <w:name w:val="Strong"/>
    <w:basedOn w:val="DefaultParagraphFont"/>
    <w:uiPriority w:val="22"/>
    <w:qFormat/>
    <w:rsid w:val="00F3535C"/>
    <w:rPr>
      <w:b/>
      <w:bCs/>
    </w:rPr>
  </w:style>
  <w:style w:type="paragraph" w:styleId="ListParagraph">
    <w:name w:val="List Paragraph"/>
    <w:basedOn w:val="Normal"/>
    <w:uiPriority w:val="34"/>
    <w:qFormat/>
    <w:rsid w:val="00F3535C"/>
    <w:pPr>
      <w:ind w:left="720"/>
      <w:contextualSpacing/>
    </w:pPr>
  </w:style>
  <w:style w:type="character" w:customStyle="1" w:styleId="apple-converted-space">
    <w:name w:val="apple-converted-space"/>
    <w:basedOn w:val="DefaultParagraphFont"/>
    <w:rsid w:val="00F3535C"/>
  </w:style>
  <w:style w:type="paragraph" w:customStyle="1" w:styleId="smalltext">
    <w:name w:val="smalltext"/>
    <w:basedOn w:val="Normal"/>
    <w:rsid w:val="00F3535C"/>
    <w:pPr>
      <w:spacing w:before="100" w:beforeAutospacing="1" w:after="100" w:afterAutospacing="1"/>
    </w:pPr>
  </w:style>
  <w:style w:type="character" w:styleId="PlaceholderText">
    <w:name w:val="Placeholder Text"/>
    <w:basedOn w:val="DefaultParagraphFont"/>
    <w:uiPriority w:val="99"/>
    <w:semiHidden/>
    <w:rsid w:val="00F3535C"/>
    <w:rPr>
      <w:color w:val="808080"/>
    </w:rPr>
  </w:style>
  <w:style w:type="character" w:styleId="LineNumber">
    <w:name w:val="line number"/>
    <w:basedOn w:val="DefaultParagraphFont"/>
    <w:uiPriority w:val="99"/>
    <w:semiHidden/>
    <w:unhideWhenUsed/>
    <w:rsid w:val="00F3535C"/>
  </w:style>
  <w:style w:type="paragraph" w:styleId="Header">
    <w:name w:val="header"/>
    <w:basedOn w:val="Normal"/>
    <w:link w:val="HeaderChar"/>
    <w:uiPriority w:val="99"/>
    <w:unhideWhenUsed/>
    <w:rsid w:val="00F3535C"/>
    <w:pPr>
      <w:tabs>
        <w:tab w:val="center" w:pos="4680"/>
        <w:tab w:val="right" w:pos="9360"/>
      </w:tabs>
    </w:pPr>
  </w:style>
  <w:style w:type="character" w:customStyle="1" w:styleId="HeaderChar">
    <w:name w:val="Header Char"/>
    <w:basedOn w:val="DefaultParagraphFont"/>
    <w:link w:val="Header"/>
    <w:uiPriority w:val="99"/>
    <w:rsid w:val="00F3535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535C"/>
    <w:rPr>
      <w:sz w:val="16"/>
      <w:szCs w:val="16"/>
    </w:rPr>
  </w:style>
  <w:style w:type="paragraph" w:styleId="CommentText">
    <w:name w:val="annotation text"/>
    <w:basedOn w:val="Normal"/>
    <w:link w:val="CommentTextChar"/>
    <w:uiPriority w:val="99"/>
    <w:semiHidden/>
    <w:unhideWhenUsed/>
    <w:rsid w:val="00F3535C"/>
    <w:rPr>
      <w:sz w:val="20"/>
      <w:szCs w:val="20"/>
    </w:rPr>
  </w:style>
  <w:style w:type="character" w:customStyle="1" w:styleId="CommentTextChar">
    <w:name w:val="Comment Text Char"/>
    <w:basedOn w:val="DefaultParagraphFont"/>
    <w:link w:val="CommentText"/>
    <w:uiPriority w:val="99"/>
    <w:semiHidden/>
    <w:rsid w:val="00F35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35C"/>
    <w:rPr>
      <w:b/>
      <w:bCs/>
    </w:rPr>
  </w:style>
  <w:style w:type="character" w:customStyle="1" w:styleId="CommentSubjectChar">
    <w:name w:val="Comment Subject Char"/>
    <w:basedOn w:val="CommentTextChar"/>
    <w:link w:val="CommentSubject"/>
    <w:uiPriority w:val="99"/>
    <w:semiHidden/>
    <w:rsid w:val="00F3535C"/>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F3535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535C"/>
    <w:rPr>
      <w:rFonts w:ascii="Consolas" w:eastAsia="Times New Roman" w:hAnsi="Consolas" w:cs="Times New Roman"/>
      <w:sz w:val="20"/>
      <w:szCs w:val="20"/>
    </w:rPr>
  </w:style>
  <w:style w:type="paragraph" w:styleId="Revision">
    <w:name w:val="Revision"/>
    <w:hidden/>
    <w:uiPriority w:val="99"/>
    <w:semiHidden/>
    <w:rsid w:val="00F353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5108">
      <w:bodyDiv w:val="1"/>
      <w:marLeft w:val="0"/>
      <w:marRight w:val="0"/>
      <w:marTop w:val="0"/>
      <w:marBottom w:val="0"/>
      <w:divBdr>
        <w:top w:val="none" w:sz="0" w:space="0" w:color="auto"/>
        <w:left w:val="none" w:sz="0" w:space="0" w:color="auto"/>
        <w:bottom w:val="none" w:sz="0" w:space="0" w:color="auto"/>
        <w:right w:val="none" w:sz="0" w:space="0" w:color="auto"/>
      </w:divBdr>
    </w:div>
    <w:div w:id="1018122175">
      <w:bodyDiv w:val="1"/>
      <w:marLeft w:val="0"/>
      <w:marRight w:val="0"/>
      <w:marTop w:val="0"/>
      <w:marBottom w:val="0"/>
      <w:divBdr>
        <w:top w:val="none" w:sz="0" w:space="0" w:color="auto"/>
        <w:left w:val="none" w:sz="0" w:space="0" w:color="auto"/>
        <w:bottom w:val="none" w:sz="0" w:space="0" w:color="auto"/>
        <w:right w:val="none" w:sz="0" w:space="0" w:color="auto"/>
      </w:divBdr>
      <w:divsChild>
        <w:div w:id="175809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F01AE1837C4476A237116FF4443AC1"/>
        <w:category>
          <w:name w:val="General"/>
          <w:gallery w:val="placeholder"/>
        </w:category>
        <w:types>
          <w:type w:val="bbPlcHdr"/>
        </w:types>
        <w:behaviors>
          <w:behavior w:val="content"/>
        </w:behaviors>
        <w:guid w:val="{5F566B16-C1A4-4647-B01B-581453BFD90D}"/>
      </w:docPartPr>
      <w:docPartBody>
        <w:p w:rsidR="00B61867" w:rsidRDefault="00A218CF" w:rsidP="00A218CF">
          <w:pPr>
            <w:pStyle w:val="20F01AE1837C4476A237116FF4443AC1"/>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F"/>
    <w:rsid w:val="000020BC"/>
    <w:rsid w:val="000D01F0"/>
    <w:rsid w:val="0028591A"/>
    <w:rsid w:val="004C4A6C"/>
    <w:rsid w:val="007656A3"/>
    <w:rsid w:val="00A218CF"/>
    <w:rsid w:val="00B61867"/>
    <w:rsid w:val="00BD5298"/>
    <w:rsid w:val="00D45618"/>
    <w:rsid w:val="00EF2E38"/>
    <w:rsid w:val="00F23F12"/>
    <w:rsid w:val="00F2549A"/>
    <w:rsid w:val="00F36598"/>
    <w:rsid w:val="00FE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8CF"/>
    <w:rPr>
      <w:color w:val="808080"/>
    </w:rPr>
  </w:style>
  <w:style w:type="paragraph" w:customStyle="1" w:styleId="20F01AE1837C4476A237116FF4443AC1">
    <w:name w:val="20F01AE1837C4476A237116FF4443AC1"/>
    <w:rsid w:val="00A21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Stephanie</dc:creator>
  <cp:lastModifiedBy>DelFranco, Ruthie</cp:lastModifiedBy>
  <cp:revision>2</cp:revision>
  <cp:lastPrinted>2019-09-17T22:44:00Z</cp:lastPrinted>
  <dcterms:created xsi:type="dcterms:W3CDTF">2019-11-19T19:33:00Z</dcterms:created>
  <dcterms:modified xsi:type="dcterms:W3CDTF">2019-11-19T19:33:00Z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ab5816fc-12bb-420c-93a6-15cc55b83bbd</vt:lpwstr>
  </property>
</Properties>
</file>