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086BCC">
        <w:rPr>
          <w:rFonts w:ascii="Times New Roman" w:hAnsi="Times New Roman"/>
          <w:b/>
          <w:szCs w:val="24"/>
        </w:rPr>
        <w:t>1133</w:t>
      </w:r>
    </w:p>
    <w:p w:rsidR="003C3058" w:rsidRPr="007466B0" w:rsidRDefault="003C3058">
      <w:pPr>
        <w:tabs>
          <w:tab w:val="center" w:pos="4680"/>
        </w:tabs>
        <w:jc w:val="both"/>
        <w:rPr>
          <w:rFonts w:ascii="Times New Roman" w:hAnsi="Times New Roman"/>
          <w:b/>
          <w:szCs w:val="24"/>
        </w:rPr>
      </w:pPr>
    </w:p>
    <w:p w:rsidR="007752FA" w:rsidRPr="007752FA" w:rsidRDefault="007752FA" w:rsidP="003B3B47">
      <w:pPr>
        <w:jc w:val="both"/>
        <w:rPr>
          <w:rFonts w:ascii="Times New Roman" w:hAnsi="Times New Roman"/>
          <w:b/>
          <w:vanish/>
          <w:szCs w:val="24"/>
        </w:rPr>
      </w:pPr>
      <w:r w:rsidRPr="007752FA">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AE3898">
        <w:rPr>
          <w:rFonts w:ascii="Times New Roman" w:hAnsi="Times New Roman"/>
          <w:b/>
          <w:szCs w:val="24"/>
        </w:rPr>
        <w:t>190</w:t>
      </w:r>
      <w:r w:rsidR="008C6957">
        <w:rPr>
          <w:rFonts w:ascii="Times New Roman" w:hAnsi="Times New Roman"/>
          <w:b/>
          <w:szCs w:val="24"/>
        </w:rPr>
        <w:t>386</w:t>
      </w:r>
      <w:r w:rsidR="00AE3898">
        <w:rPr>
          <w:rFonts w:ascii="Times New Roman" w:hAnsi="Times New Roman"/>
          <w:b/>
          <w:szCs w:val="24"/>
        </w:rPr>
        <w:t xml:space="preserve"> </w:t>
      </w:r>
      <w:r w:rsidRPr="007466B0">
        <w:rPr>
          <w:rFonts w:ascii="Times New Roman" w:hAnsi="Times New Roman"/>
          <w:b/>
          <w:szCs w:val="24"/>
        </w:rPr>
        <w:t>ZS</w:t>
      </w:r>
      <w:r w:rsidR="008C6957">
        <w:rPr>
          <w:rFonts w:ascii="Times New Roman" w:hAnsi="Times New Roman"/>
          <w:b/>
          <w:szCs w:val="24"/>
        </w:rPr>
        <w:t>Q</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8C6957">
        <w:rPr>
          <w:rFonts w:ascii="Times New Roman" w:hAnsi="Times New Roman"/>
          <w:b/>
          <w:szCs w:val="24"/>
        </w:rPr>
        <w:t>533</w:t>
      </w:r>
      <w:r w:rsidR="00482A4B">
        <w:rPr>
          <w:rFonts w:ascii="Times New Roman" w:hAnsi="Times New Roman"/>
          <w:b/>
          <w:szCs w:val="24"/>
        </w:rPr>
        <w:t>).</w:t>
      </w:r>
    </w:p>
    <w:p w:rsidR="003B3B47" w:rsidRPr="007752FA" w:rsidRDefault="007752FA" w:rsidP="000E0C15">
      <w:pPr>
        <w:jc w:val="both"/>
        <w:rPr>
          <w:rFonts w:ascii="Times New Roman" w:hAnsi="Times New Roman"/>
          <w:b/>
          <w:vanish/>
          <w:szCs w:val="24"/>
        </w:rPr>
      </w:pPr>
      <w:bookmarkStart w:id="0" w:name="_GoBack"/>
      <w:bookmarkEnd w:id="0"/>
      <w:r w:rsidRPr="007752FA">
        <w:rPr>
          <w:rFonts w:ascii="Times New Roman" w:hAnsi="Times New Roman"/>
          <w:b/>
          <w:vanish/>
          <w:szCs w:val="24"/>
        </w:rPr>
        <w:t>..Body</w:t>
      </w:r>
    </w:p>
    <w:p w:rsidR="007752FA" w:rsidRPr="007466B0" w:rsidRDefault="007752FA"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553A30">
        <w:rPr>
          <w:rFonts w:ascii="Times New Roman" w:hAnsi="Times New Roman"/>
          <w:b/>
          <w:szCs w:val="24"/>
        </w:rPr>
        <w:t xml:space="preserve"> </w:t>
      </w:r>
      <w:r w:rsidR="00961B87" w:rsidRPr="007466B0">
        <w:rPr>
          <w:rFonts w:ascii="Times New Roman" w:hAnsi="Times New Roman"/>
          <w:b/>
          <w:szCs w:val="24"/>
        </w:rPr>
        <w:t xml:space="preserve">and </w:t>
      </w:r>
      <w:r w:rsidR="00050E1C">
        <w:rPr>
          <w:rFonts w:ascii="Times New Roman" w:hAnsi="Times New Roman"/>
          <w:b/>
          <w:szCs w:val="24"/>
        </w:rPr>
        <w:t>Moya</w:t>
      </w:r>
    </w:p>
    <w:p w:rsidR="004B1A02" w:rsidRPr="007466B0" w:rsidRDefault="004B1A02" w:rsidP="004B1A02">
      <w:pPr>
        <w:jc w:val="both"/>
        <w:rPr>
          <w:rFonts w:ascii="Times New Roman" w:hAnsi="Times New Roman"/>
          <w:szCs w:val="24"/>
        </w:rPr>
      </w:pPr>
    </w:p>
    <w:p w:rsidR="003B3B47" w:rsidRPr="00EA59BE" w:rsidRDefault="00E548A3" w:rsidP="006D0364">
      <w:pPr>
        <w:ind w:firstLine="720"/>
        <w:jc w:val="both"/>
        <w:rPr>
          <w:rFonts w:ascii="Times New Roman" w:hAnsi="Times New Roman"/>
          <w:snapToGrid/>
          <w:szCs w:val="24"/>
        </w:rPr>
      </w:pPr>
      <w:r w:rsidRPr="00A87B63">
        <w:rPr>
          <w:rFonts w:ascii="Times New Roman" w:hAnsi="Times New Roman"/>
          <w:szCs w:val="24"/>
        </w:rPr>
        <w:t xml:space="preserve">WHEREAS, </w:t>
      </w:r>
      <w:r w:rsidR="00A87B63" w:rsidRPr="00A87B63">
        <w:rPr>
          <w:rFonts w:ascii="Times New Roman" w:hAnsi="Times New Roman"/>
          <w:szCs w:val="24"/>
        </w:rPr>
        <w:t xml:space="preserve">Cipico Construction Inc., </w:t>
      </w:r>
      <w:r w:rsidRPr="00A87B63">
        <w:rPr>
          <w:rFonts w:ascii="Times New Roman" w:hAnsi="Times New Roman"/>
          <w:szCs w:val="24"/>
        </w:rPr>
        <w:t xml:space="preserve">filed an application </w:t>
      </w:r>
      <w:r w:rsidR="003B3B47" w:rsidRPr="00A87B63">
        <w:rPr>
          <w:rFonts w:ascii="Times New Roman" w:hAnsi="Times New Roman"/>
          <w:szCs w:val="24"/>
        </w:rPr>
        <w:t>pursuant to Sections 197-c and 201 of the New York City Charter</w:t>
      </w:r>
      <w:r w:rsidR="00600128" w:rsidRPr="00A87B63">
        <w:rPr>
          <w:rFonts w:ascii="Times New Roman" w:hAnsi="Times New Roman"/>
          <w:szCs w:val="24"/>
        </w:rPr>
        <w:t xml:space="preserve"> </w:t>
      </w:r>
      <w:r w:rsidR="00AE3898" w:rsidRPr="00A87B63">
        <w:rPr>
          <w:rFonts w:ascii="Times New Roman" w:eastAsia="Calibri" w:hAnsi="Times New Roman"/>
          <w:snapToGrid/>
          <w:szCs w:val="24"/>
        </w:rPr>
        <w:t xml:space="preserve">for </w:t>
      </w:r>
      <w:r w:rsidR="00EA59BE" w:rsidRPr="00A87B63">
        <w:rPr>
          <w:rFonts w:ascii="Times New Roman" w:eastAsia="Calibri" w:hAnsi="Times New Roman"/>
          <w:snapToGrid/>
          <w:szCs w:val="24"/>
        </w:rPr>
        <w:t xml:space="preserve">the </w:t>
      </w:r>
      <w:r w:rsidR="00EA59BE" w:rsidRPr="00A87B63">
        <w:rPr>
          <w:rFonts w:ascii="Times New Roman" w:eastAsia="Calibri" w:hAnsi="Times New Roman"/>
          <w:szCs w:val="24"/>
        </w:rPr>
        <w:t xml:space="preserve">grant of a special permit pursuant to </w:t>
      </w:r>
      <w:r w:rsidR="00A87B63" w:rsidRPr="00A87B63">
        <w:rPr>
          <w:rFonts w:ascii="Times New Roman" w:hAnsi="Times New Roman"/>
          <w:snapToGrid/>
          <w:szCs w:val="24"/>
        </w:rPr>
        <w:t xml:space="preserve">Section 74-743 of the Zoning Resolution to permit the distribution of total allowable floor area without regard for zoning lot lines or district boundaries </w:t>
      </w:r>
      <w:bookmarkStart w:id="1" w:name="_Hlk18677535"/>
      <w:r w:rsidR="00A87B63" w:rsidRPr="00A87B63">
        <w:rPr>
          <w:rFonts w:ascii="Times New Roman" w:hAnsi="Times New Roman"/>
          <w:snapToGrid/>
          <w:szCs w:val="24"/>
        </w:rPr>
        <w:t>and to modify the minimum base height requirements of Section 23-664</w:t>
      </w:r>
      <w:bookmarkEnd w:id="1"/>
      <w:r w:rsidR="00A87B63" w:rsidRPr="00A87B63">
        <w:rPr>
          <w:rFonts w:ascii="Times New Roman" w:hAnsi="Times New Roman"/>
          <w:snapToGrid/>
          <w:szCs w:val="24"/>
        </w:rPr>
        <w:t xml:space="preserve"> (Modified height and setback regulations for certain Inclusionary Housing buildings or affordable independent residence for seniors) to facilitate a proposed mixed-use development, within a large-scale general development, on property bounded by 10</w:t>
      </w:r>
      <w:r w:rsidR="00A87B63" w:rsidRPr="00A87B63">
        <w:rPr>
          <w:rFonts w:ascii="Times New Roman" w:hAnsi="Times New Roman"/>
          <w:snapToGrid/>
          <w:szCs w:val="24"/>
          <w:vertAlign w:val="superscript"/>
        </w:rPr>
        <w:t>th</w:t>
      </w:r>
      <w:r w:rsidR="00A87B63" w:rsidRPr="00A87B63">
        <w:rPr>
          <w:rFonts w:ascii="Times New Roman" w:hAnsi="Times New Roman"/>
          <w:snapToGrid/>
          <w:szCs w:val="24"/>
        </w:rPr>
        <w:t xml:space="preserve"> Street, Vernon Boulevard, Broadway, 11</w:t>
      </w:r>
      <w:r w:rsidR="00A87B63" w:rsidRPr="00A87B63">
        <w:rPr>
          <w:rFonts w:ascii="Times New Roman" w:hAnsi="Times New Roman"/>
          <w:snapToGrid/>
          <w:szCs w:val="24"/>
          <w:vertAlign w:val="superscript"/>
        </w:rPr>
        <w:t>th</w:t>
      </w:r>
      <w:r w:rsidR="00A87B63" w:rsidRPr="00A87B63">
        <w:rPr>
          <w:rFonts w:ascii="Times New Roman" w:hAnsi="Times New Roman"/>
          <w:snapToGrid/>
          <w:szCs w:val="24"/>
        </w:rPr>
        <w:t xml:space="preserve"> Street, and 33</w:t>
      </w:r>
      <w:r w:rsidR="00A87B63" w:rsidRPr="00A87B63">
        <w:rPr>
          <w:rFonts w:ascii="Times New Roman" w:hAnsi="Times New Roman"/>
          <w:snapToGrid/>
          <w:szCs w:val="24"/>
          <w:vertAlign w:val="superscript"/>
        </w:rPr>
        <w:t>rd</w:t>
      </w:r>
      <w:r w:rsidR="00A87B63" w:rsidRPr="00A87B63">
        <w:rPr>
          <w:rFonts w:ascii="Times New Roman" w:hAnsi="Times New Roman"/>
          <w:snapToGrid/>
          <w:szCs w:val="24"/>
        </w:rPr>
        <w:t xml:space="preserve"> Road (Block 315, Lot 1), in R6B and R7X/C1-3 Districts, Borough of Queens, Community District 1</w:t>
      </w:r>
      <w:r w:rsidR="00FF43E5">
        <w:rPr>
          <w:rFonts w:ascii="Times New Roman" w:hAnsi="Times New Roman"/>
          <w:snapToGrid/>
          <w:szCs w:val="24"/>
        </w:rPr>
        <w:t xml:space="preserve"> </w:t>
      </w:r>
      <w:r w:rsidR="00F20695" w:rsidRPr="00EA59BE">
        <w:rPr>
          <w:rFonts w:ascii="Times New Roman" w:hAnsi="Times New Roman"/>
          <w:snapToGrid/>
          <w:szCs w:val="24"/>
        </w:rPr>
        <w:t xml:space="preserve">(ULURP No. C </w:t>
      </w:r>
      <w:r w:rsidR="00C27FE8" w:rsidRPr="00EA59BE">
        <w:rPr>
          <w:rFonts w:ascii="Times New Roman" w:hAnsi="Times New Roman"/>
          <w:snapToGrid/>
          <w:szCs w:val="24"/>
        </w:rPr>
        <w:t>190</w:t>
      </w:r>
      <w:r w:rsidR="00FF43E5">
        <w:rPr>
          <w:rFonts w:ascii="Times New Roman" w:hAnsi="Times New Roman"/>
          <w:snapToGrid/>
          <w:szCs w:val="24"/>
        </w:rPr>
        <w:t>386</w:t>
      </w:r>
      <w:r w:rsidR="00F20695" w:rsidRPr="00EA59BE">
        <w:rPr>
          <w:rFonts w:ascii="Times New Roman" w:hAnsi="Times New Roman"/>
          <w:snapToGrid/>
          <w:szCs w:val="24"/>
        </w:rPr>
        <w:t xml:space="preserve"> ZS</w:t>
      </w:r>
      <w:r w:rsidR="00FF43E5">
        <w:rPr>
          <w:rFonts w:ascii="Times New Roman" w:hAnsi="Times New Roman"/>
          <w:snapToGrid/>
          <w:szCs w:val="24"/>
        </w:rPr>
        <w:t>Q</w:t>
      </w:r>
      <w:r w:rsidR="00F20695" w:rsidRPr="00EA59BE">
        <w:rPr>
          <w:rFonts w:ascii="Times New Roman" w:hAnsi="Times New Roman"/>
          <w:snapToGrid/>
          <w:szCs w:val="24"/>
        </w:rPr>
        <w:t xml:space="preserve">) </w:t>
      </w:r>
      <w:r w:rsidR="003B3B47" w:rsidRPr="00EA59BE">
        <w:rPr>
          <w:rFonts w:ascii="Times New Roman" w:hAnsi="Times New Roman"/>
          <w:snapToGrid/>
          <w:szCs w:val="24"/>
        </w:rPr>
        <w:t>(the “Application”);</w:t>
      </w:r>
    </w:p>
    <w:p w:rsidR="00105B53" w:rsidRPr="007466B0" w:rsidRDefault="00105B53" w:rsidP="00A67829">
      <w:pPr>
        <w:ind w:firstLine="720"/>
        <w:jc w:val="both"/>
        <w:rPr>
          <w:rFonts w:ascii="Times New Roman" w:hAnsi="Times New Roman"/>
          <w:snapToGrid/>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FF43E5" w:rsidRPr="00FF43E5">
        <w:rPr>
          <w:rFonts w:ascii="Times New Roman" w:hAnsi="Times New Roman"/>
          <w:szCs w:val="24"/>
        </w:rPr>
        <w:t>September 13</w:t>
      </w:r>
      <w:r w:rsidRPr="00FF43E5">
        <w:rPr>
          <w:rFonts w:ascii="Times New Roman" w:hAnsi="Times New Roman"/>
          <w:szCs w:val="24"/>
        </w:rPr>
        <w:t xml:space="preserve">, 2019, its decision dated </w:t>
      </w:r>
      <w:r w:rsidR="00FF43E5" w:rsidRPr="00FF43E5">
        <w:rPr>
          <w:rFonts w:ascii="Times New Roman" w:hAnsi="Times New Roman"/>
          <w:szCs w:val="24"/>
        </w:rPr>
        <w:t>September 11</w:t>
      </w:r>
      <w:r w:rsidRPr="00FF43E5">
        <w:rPr>
          <w:rFonts w:ascii="Times New Roman" w:hAnsi="Times New Roman"/>
          <w:szCs w:val="24"/>
        </w:rPr>
        <w:t xml:space="preserve">, 2019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FF43E5" w:rsidRDefault="00E548A3" w:rsidP="00FF43E5">
      <w:pPr>
        <w:pStyle w:val="NoSpacing"/>
        <w:tabs>
          <w:tab w:val="left" w:pos="720"/>
        </w:tabs>
        <w:jc w:val="both"/>
        <w:rPr>
          <w:rFonts w:ascii="Times New Roman" w:hAnsi="Times New Roman"/>
          <w:szCs w:val="24"/>
        </w:rPr>
      </w:pPr>
    </w:p>
    <w:p w:rsidR="00FF43E5" w:rsidRDefault="00F20695" w:rsidP="006D0364">
      <w:pPr>
        <w:ind w:firstLine="720"/>
        <w:jc w:val="both"/>
        <w:rPr>
          <w:rFonts w:ascii="Times New Roman" w:eastAsia="Calibri" w:hAnsi="Times New Roman"/>
          <w:snapToGrid/>
          <w:szCs w:val="24"/>
        </w:rPr>
      </w:pPr>
      <w:r w:rsidRPr="00FF43E5">
        <w:rPr>
          <w:rFonts w:ascii="Times New Roman" w:hAnsi="Times New Roman"/>
          <w:szCs w:val="24"/>
        </w:rPr>
        <w:t xml:space="preserve">WHEREAS, the Application is related to applications </w:t>
      </w:r>
      <w:r w:rsidR="00FF43E5" w:rsidRPr="00FF43E5">
        <w:rPr>
          <w:rFonts w:ascii="Times New Roman" w:eastAsia="Calibri" w:hAnsi="Times New Roman"/>
          <w:snapToGrid/>
          <w:szCs w:val="24"/>
        </w:rPr>
        <w:t>C 100421 ZMQ</w:t>
      </w:r>
      <w:r w:rsidR="00FF43E5">
        <w:rPr>
          <w:rFonts w:ascii="Times New Roman" w:eastAsia="Calibri" w:hAnsi="Times New Roman"/>
          <w:snapToGrid/>
          <w:szCs w:val="24"/>
        </w:rPr>
        <w:t xml:space="preserve"> (L.U. No. 531), a </w:t>
      </w:r>
      <w:r w:rsidR="00FF43E5" w:rsidRPr="006D0364">
        <w:rPr>
          <w:rFonts w:ascii="Times New Roman" w:hAnsi="Times New Roman"/>
          <w:snapToGrid/>
          <w:szCs w:val="24"/>
        </w:rPr>
        <w:t>zoning</w:t>
      </w:r>
      <w:r w:rsidR="00FF43E5" w:rsidRPr="00FF43E5">
        <w:rPr>
          <w:rFonts w:ascii="Times New Roman" w:eastAsia="Calibri" w:hAnsi="Times New Roman"/>
          <w:snapToGrid/>
          <w:szCs w:val="24"/>
        </w:rPr>
        <w:t xml:space="preserve"> map amendment changing from an R5 District to an R6B District and an R7X/C1-3 District</w:t>
      </w:r>
      <w:r w:rsidR="00FF43E5">
        <w:rPr>
          <w:rFonts w:ascii="Times New Roman" w:eastAsia="Calibri" w:hAnsi="Times New Roman"/>
          <w:snapToGrid/>
          <w:szCs w:val="24"/>
        </w:rPr>
        <w:t>;</w:t>
      </w:r>
      <w:r w:rsidR="00FF43E5" w:rsidRPr="00FF43E5">
        <w:rPr>
          <w:rFonts w:ascii="Times New Roman" w:eastAsia="Calibri" w:hAnsi="Times New Roman"/>
          <w:snapToGrid/>
          <w:szCs w:val="24"/>
        </w:rPr>
        <w:t xml:space="preserve"> and N 190151 ZRQ</w:t>
      </w:r>
      <w:r w:rsidR="00FF43E5">
        <w:rPr>
          <w:rFonts w:ascii="Times New Roman" w:eastAsia="Calibri" w:hAnsi="Times New Roman"/>
          <w:snapToGrid/>
          <w:szCs w:val="24"/>
        </w:rPr>
        <w:t xml:space="preserve"> (L.U. No. 532), a z</w:t>
      </w:r>
      <w:r w:rsidR="00FF43E5" w:rsidRPr="00FF43E5">
        <w:rPr>
          <w:rFonts w:ascii="Times New Roman" w:eastAsia="Calibri" w:hAnsi="Times New Roman"/>
          <w:snapToGrid/>
          <w:szCs w:val="24"/>
        </w:rPr>
        <w:t xml:space="preserve">oning text amendment to designate a Mandatory Inclusionary Housing (MIH) </w:t>
      </w:r>
      <w:r w:rsidR="00FF43E5">
        <w:rPr>
          <w:rFonts w:ascii="Times New Roman" w:eastAsia="Calibri" w:hAnsi="Times New Roman"/>
          <w:snapToGrid/>
          <w:szCs w:val="24"/>
        </w:rPr>
        <w:t>area;</w:t>
      </w:r>
    </w:p>
    <w:p w:rsidR="00FF43E5" w:rsidRPr="00FF43E5" w:rsidRDefault="00FF43E5" w:rsidP="00FF43E5">
      <w:pPr>
        <w:pStyle w:val="NoSpacing"/>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C103F4">
        <w:rPr>
          <w:rFonts w:ascii="Times New Roman" w:hAnsi="Times New Roman"/>
          <w:bCs/>
          <w:szCs w:val="24"/>
        </w:rPr>
        <w:t>74-</w:t>
      </w:r>
      <w:r w:rsidR="00FF43E5">
        <w:rPr>
          <w:rFonts w:ascii="Times New Roman" w:hAnsi="Times New Roman"/>
          <w:bCs/>
          <w:szCs w:val="24"/>
        </w:rPr>
        <w:t>743</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FF43E5">
        <w:rPr>
          <w:rFonts w:ascii="Times New Roman" w:hAnsi="Times New Roman"/>
          <w:szCs w:val="24"/>
        </w:rPr>
        <w:t>September 18</w:t>
      </w:r>
      <w:r w:rsidR="00B53885">
        <w:rPr>
          <w:rFonts w:ascii="Times New Roman" w:hAnsi="Times New Roman"/>
          <w:szCs w:val="24"/>
        </w:rPr>
        <w:t>, 2018</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FF43E5" w:rsidRPr="00FF43E5" w:rsidRDefault="00FF43E5" w:rsidP="006D0364">
      <w:pPr>
        <w:ind w:firstLine="720"/>
        <w:jc w:val="both"/>
        <w:rPr>
          <w:rFonts w:ascii="Times New Roman" w:hAnsi="Times New Roman"/>
          <w:snapToGrid/>
          <w:szCs w:val="24"/>
        </w:rPr>
      </w:pPr>
      <w:r w:rsidRPr="00FF43E5">
        <w:rPr>
          <w:rFonts w:ascii="Times New Roman" w:hAnsi="Times New Roman"/>
          <w:snapToGrid/>
          <w:szCs w:val="24"/>
        </w:rPr>
        <w:t xml:space="preserve">WHEREAS, the Council has considered the relevant environmental issues, including the negative declaration issued </w:t>
      </w:r>
      <w:r>
        <w:rPr>
          <w:rFonts w:ascii="Times New Roman" w:hAnsi="Times New Roman"/>
          <w:snapToGrid/>
          <w:szCs w:val="24"/>
        </w:rPr>
        <w:t>April 22</w:t>
      </w:r>
      <w:r w:rsidRPr="00FF43E5">
        <w:rPr>
          <w:rFonts w:ascii="Times New Roman" w:hAnsi="Times New Roman"/>
          <w:snapToGrid/>
          <w:szCs w:val="24"/>
          <w:vertAlign w:val="superscript"/>
        </w:rPr>
        <w:t>nd</w:t>
      </w:r>
      <w:r w:rsidRPr="00FF43E5">
        <w:rPr>
          <w:rFonts w:ascii="Times New Roman" w:hAnsi="Times New Roman"/>
          <w:snapToGrid/>
          <w:szCs w:val="24"/>
        </w:rPr>
        <w:t>, 201</w:t>
      </w:r>
      <w:r>
        <w:rPr>
          <w:rFonts w:ascii="Times New Roman" w:hAnsi="Times New Roman"/>
          <w:snapToGrid/>
          <w:szCs w:val="24"/>
        </w:rPr>
        <w:t>9</w:t>
      </w:r>
      <w:r w:rsidRPr="00FF43E5">
        <w:rPr>
          <w:rFonts w:ascii="Times New Roman" w:hAnsi="Times New Roman"/>
          <w:bCs/>
          <w:snapToGrid/>
          <w:szCs w:val="24"/>
        </w:rPr>
        <w:t xml:space="preserve"> </w:t>
      </w:r>
      <w:r w:rsidRPr="00FF43E5">
        <w:rPr>
          <w:rFonts w:ascii="Times New Roman" w:hAnsi="Times New Roman"/>
          <w:snapToGrid/>
          <w:szCs w:val="24"/>
        </w:rPr>
        <w:t xml:space="preserve">(CEQR No. </w:t>
      </w:r>
      <w:r w:rsidRPr="00FF43E5">
        <w:rPr>
          <w:rFonts w:ascii="Times New Roman" w:eastAsia="Calibri" w:hAnsi="Times New Roman"/>
          <w:snapToGrid/>
          <w:szCs w:val="24"/>
        </w:rPr>
        <w:t>12DCP139Q</w:t>
      </w:r>
      <w:r w:rsidRPr="00FF43E5">
        <w:rPr>
          <w:rFonts w:ascii="Times New Roman" w:hAnsi="Times New Roman"/>
          <w:snapToGrid/>
          <w:szCs w:val="24"/>
        </w:rPr>
        <w:t>), which includes an (E) designation to avoid the potential for significant adverse impacts related to air quality</w:t>
      </w:r>
      <w:r w:rsidR="004D33EA">
        <w:rPr>
          <w:rFonts w:ascii="Times New Roman" w:hAnsi="Times New Roman"/>
          <w:snapToGrid/>
          <w:szCs w:val="24"/>
        </w:rPr>
        <w:t>, noise, and hazardous materials</w:t>
      </w:r>
      <w:r w:rsidRPr="00FF43E5">
        <w:rPr>
          <w:rFonts w:ascii="Times New Roman" w:hAnsi="Times New Roman"/>
          <w:snapToGrid/>
          <w:szCs w:val="24"/>
        </w:rPr>
        <w:t xml:space="preserve"> (E-51</w:t>
      </w:r>
      <w:r w:rsidR="004D33EA">
        <w:rPr>
          <w:rFonts w:ascii="Times New Roman" w:hAnsi="Times New Roman"/>
          <w:snapToGrid/>
          <w:szCs w:val="24"/>
        </w:rPr>
        <w:t>8</w:t>
      </w:r>
      <w:r w:rsidRPr="00FF43E5">
        <w:rPr>
          <w:rFonts w:ascii="Times New Roman" w:hAnsi="Times New Roman"/>
          <w:snapToGrid/>
          <w:szCs w:val="24"/>
        </w:rPr>
        <w:t>) (the “Negative Declaration”).</w:t>
      </w:r>
    </w:p>
    <w:p w:rsidR="00FF43E5" w:rsidRPr="00FF43E5" w:rsidRDefault="00FF43E5" w:rsidP="00FF43E5">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FF43E5" w:rsidRPr="00FF43E5" w:rsidRDefault="00FF43E5" w:rsidP="00FF43E5">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r w:rsidRPr="00FF43E5">
        <w:rPr>
          <w:rFonts w:ascii="Times New Roman" w:hAnsi="Times New Roman"/>
          <w:snapToGrid/>
          <w:szCs w:val="24"/>
        </w:rPr>
        <w:lastRenderedPageBreak/>
        <w:t>RESOLVED:</w:t>
      </w:r>
    </w:p>
    <w:p w:rsidR="00FF43E5" w:rsidRPr="00FF43E5" w:rsidRDefault="00FF43E5" w:rsidP="00FF43E5">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FF43E5" w:rsidRPr="00FF43E5" w:rsidRDefault="00FF43E5" w:rsidP="006D0364">
      <w:pPr>
        <w:ind w:firstLine="720"/>
        <w:jc w:val="both"/>
        <w:rPr>
          <w:rFonts w:ascii="Times New Roman" w:hAnsi="Times New Roman"/>
          <w:snapToGrid/>
          <w:szCs w:val="24"/>
        </w:rPr>
      </w:pPr>
      <w:r w:rsidRPr="00FF43E5">
        <w:rPr>
          <w:rFonts w:ascii="Times New Roman" w:hAnsi="Times New Roman"/>
          <w:snapToGrid/>
          <w:szCs w:val="24"/>
        </w:rPr>
        <w:t>The Council finds that the action described herein will have no significant impact on the environment as set forth in the (E) Designation (E-51</w:t>
      </w:r>
      <w:r w:rsidR="004D33EA">
        <w:rPr>
          <w:rFonts w:ascii="Times New Roman" w:hAnsi="Times New Roman"/>
          <w:snapToGrid/>
          <w:szCs w:val="24"/>
        </w:rPr>
        <w:t>8</w:t>
      </w:r>
      <w:r w:rsidRPr="00FF43E5">
        <w:rPr>
          <w:rFonts w:ascii="Times New Roman" w:hAnsi="Times New Roman"/>
          <w:snapToGrid/>
          <w:szCs w:val="24"/>
        </w:rPr>
        <w:t>) and Negative Declaration.</w:t>
      </w:r>
    </w:p>
    <w:p w:rsidR="00FF43E5" w:rsidRDefault="00FF43E5" w:rsidP="00FF43E5">
      <w:pPr>
        <w:tabs>
          <w:tab w:val="left" w:pos="-1440"/>
        </w:tabs>
        <w:jc w:val="both"/>
        <w:rPr>
          <w:rFonts w:ascii="Times New Roman" w:hAnsi="Times New Roman"/>
          <w:szCs w:val="24"/>
        </w:rPr>
      </w:pPr>
    </w:p>
    <w:p w:rsidR="006D5263" w:rsidRDefault="00600128" w:rsidP="004C19D7">
      <w:pPr>
        <w:ind w:firstLine="720"/>
        <w:jc w:val="both"/>
        <w:rPr>
          <w:rFonts w:ascii="Times New Roman" w:hAnsi="Times New Roman"/>
          <w:szCs w:val="24"/>
        </w:rPr>
      </w:pPr>
      <w:r w:rsidRPr="006D0364">
        <w:rPr>
          <w:rFonts w:ascii="Times New Roman" w:hAnsi="Times New Roman"/>
          <w:snapToGrid/>
          <w:szCs w:val="24"/>
        </w:rPr>
        <w:t>Pursuant to Sections 197</w:t>
      </w:r>
      <w:r w:rsidRPr="006D0364">
        <w:rPr>
          <w:rFonts w:ascii="Times New Roman" w:hAnsi="Times New Roman"/>
          <w:snapToGrid/>
          <w:szCs w:val="24"/>
        </w:rPr>
        <w:noBreakHyphen/>
        <w:t>d and 200 of the City Charter</w:t>
      </w:r>
      <w:r w:rsidR="005A3FF5" w:rsidRPr="006D0364">
        <w:rPr>
          <w:rFonts w:ascii="Times New Roman" w:hAnsi="Times New Roman"/>
          <w:snapToGrid/>
          <w:szCs w:val="24"/>
        </w:rPr>
        <w:t xml:space="preserve"> and</w:t>
      </w:r>
      <w:r w:rsidRPr="006D0364">
        <w:rPr>
          <w:rFonts w:ascii="Times New Roman" w:hAnsi="Times New Roman"/>
          <w:snapToGrid/>
          <w:szCs w:val="24"/>
        </w:rPr>
        <w:t xml:space="preserve"> on the basis of the Decision and</w:t>
      </w:r>
      <w:r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C103F4">
        <w:rPr>
          <w:rFonts w:ascii="Times New Roman" w:hAnsi="Times New Roman"/>
          <w:szCs w:val="24"/>
        </w:rPr>
        <w:t>190</w:t>
      </w:r>
      <w:r w:rsidR="004D33EA">
        <w:rPr>
          <w:rFonts w:ascii="Times New Roman" w:hAnsi="Times New Roman"/>
          <w:szCs w:val="24"/>
        </w:rPr>
        <w:t>386</w:t>
      </w:r>
      <w:r w:rsidR="005A3FF5" w:rsidRPr="007466B0">
        <w:rPr>
          <w:rFonts w:ascii="Times New Roman" w:hAnsi="Times New Roman"/>
          <w:szCs w:val="24"/>
        </w:rPr>
        <w:t xml:space="preserve"> Z</w:t>
      </w:r>
      <w:r w:rsidR="001C00C2" w:rsidRPr="007466B0">
        <w:rPr>
          <w:rFonts w:ascii="Times New Roman" w:hAnsi="Times New Roman"/>
          <w:szCs w:val="24"/>
        </w:rPr>
        <w:t>S</w:t>
      </w:r>
      <w:r w:rsidR="004D33EA">
        <w:rPr>
          <w:rFonts w:ascii="Times New Roman" w:hAnsi="Times New Roman"/>
          <w:szCs w:val="24"/>
        </w:rPr>
        <w:t>Q</w:t>
      </w:r>
      <w:r w:rsidR="005A3FF5" w:rsidRPr="007466B0">
        <w:rPr>
          <w:rFonts w:ascii="Times New Roman" w:hAnsi="Times New Roman"/>
          <w:szCs w:val="24"/>
        </w:rPr>
        <w:t>, incorporated by reference herein</w:t>
      </w:r>
      <w:r w:rsidR="00AE35E9" w:rsidRPr="00226572">
        <w:rPr>
          <w:rFonts w:ascii="Times New Roman" w:hAnsi="Times New Roman"/>
        </w:rPr>
        <w:t xml:space="preserve">, </w:t>
      </w:r>
      <w:r w:rsidR="00AE35E9">
        <w:rPr>
          <w:rFonts w:ascii="Times New Roman" w:hAnsi="Times New Roman"/>
        </w:rPr>
        <w:t>and the record before the Council</w:t>
      </w:r>
      <w:r w:rsidRPr="007466B0">
        <w:rPr>
          <w:rFonts w:ascii="Times New Roman" w:hAnsi="Times New Roman"/>
          <w:szCs w:val="24"/>
        </w:rPr>
        <w:t>,</w:t>
      </w:r>
      <w:r w:rsidR="00726E50">
        <w:rPr>
          <w:rFonts w:ascii="Times New Roman" w:hAnsi="Times New Roman"/>
          <w:szCs w:val="24"/>
        </w:rPr>
        <w:t xml:space="preserve"> the Council </w:t>
      </w:r>
      <w:r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4F6D87">
        <w:rPr>
          <w:rFonts w:ascii="Times New Roman" w:hAnsi="Times New Roman"/>
          <w:szCs w:val="24"/>
        </w:rPr>
        <w:t>.</w:t>
      </w:r>
    </w:p>
    <w:p w:rsidR="00F25710" w:rsidRDefault="00F25710" w:rsidP="004D33EA">
      <w:pPr>
        <w:jc w:val="both"/>
        <w:rPr>
          <w:rFonts w:ascii="Times New Roman" w:eastAsia="Batang" w:hAnsi="Times New Roman"/>
          <w:szCs w:val="24"/>
          <w:lang w:eastAsia="ko-KR"/>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The development that is the subject of this application (C 190386 ZSQ) shall be developed in size and arrangement substantially in accordance with the dimensions, specifications and zoning computations indicated on the following approved plans prepared by Gerald J. Caliendo, Architects, and Starr Whitehouse Landscape Architects filed with this application and incorporated in this resolution, and in accordance with the provisions and procedures set forth in the Restrictive Declaration:</w:t>
      </w:r>
    </w:p>
    <w:p w:rsidR="004D33EA" w:rsidRPr="004D33EA" w:rsidRDefault="004D33EA" w:rsidP="004D33EA">
      <w:pPr>
        <w:widowControl/>
        <w:ind w:left="360"/>
        <w:jc w:val="both"/>
        <w:rPr>
          <w:rFonts w:ascii="Times New Roman" w:eastAsia="Calibri" w:hAnsi="Times New Roman"/>
          <w:snapToGrid/>
          <w:szCs w:val="24"/>
        </w:rPr>
      </w:pPr>
    </w:p>
    <w:p w:rsidR="004D33EA" w:rsidRPr="004D33EA" w:rsidRDefault="004D33EA" w:rsidP="006D0364">
      <w:pPr>
        <w:widowControl/>
        <w:tabs>
          <w:tab w:val="left" w:pos="3600"/>
          <w:tab w:val="left" w:pos="6840"/>
        </w:tabs>
        <w:ind w:left="720"/>
        <w:jc w:val="both"/>
        <w:rPr>
          <w:rFonts w:ascii="Times New Roman" w:eastAsia="Calibri" w:hAnsi="Times New Roman"/>
          <w:snapToGrid/>
          <w:szCs w:val="24"/>
          <w:u w:val="single"/>
        </w:rPr>
      </w:pPr>
      <w:r w:rsidRPr="004D33EA">
        <w:rPr>
          <w:rFonts w:ascii="Times New Roman" w:eastAsia="Calibri" w:hAnsi="Times New Roman"/>
          <w:snapToGrid/>
          <w:szCs w:val="24"/>
          <w:u w:val="single"/>
        </w:rPr>
        <w:t>Dwg. No.</w:t>
      </w:r>
      <w:r w:rsidR="006D0364">
        <w:rPr>
          <w:rFonts w:ascii="Times New Roman" w:eastAsia="Calibri" w:hAnsi="Times New Roman"/>
          <w:snapToGrid/>
          <w:szCs w:val="24"/>
        </w:rPr>
        <w:tab/>
      </w:r>
      <w:r w:rsidRPr="004D33EA">
        <w:rPr>
          <w:rFonts w:ascii="Times New Roman" w:eastAsia="Calibri" w:hAnsi="Times New Roman"/>
          <w:snapToGrid/>
          <w:szCs w:val="24"/>
          <w:u w:val="single"/>
        </w:rPr>
        <w:t>Title</w:t>
      </w:r>
      <w:r w:rsidR="006D0364">
        <w:rPr>
          <w:rFonts w:ascii="Times New Roman" w:eastAsia="Calibri" w:hAnsi="Times New Roman"/>
          <w:snapToGrid/>
          <w:szCs w:val="24"/>
        </w:rPr>
        <w:tab/>
      </w:r>
      <w:r w:rsidRPr="004D33EA">
        <w:rPr>
          <w:rFonts w:ascii="Times New Roman" w:eastAsia="Calibri" w:hAnsi="Times New Roman"/>
          <w:snapToGrid/>
          <w:szCs w:val="24"/>
          <w:u w:val="single"/>
        </w:rPr>
        <w:t xml:space="preserve">Last Date Revised </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u w:val="single"/>
        </w:rPr>
      </w:pPr>
      <w:r w:rsidRPr="004D33EA">
        <w:rPr>
          <w:rFonts w:ascii="Times New Roman" w:eastAsia="Calibri" w:hAnsi="Times New Roman"/>
          <w:snapToGrid/>
          <w:szCs w:val="24"/>
        </w:rPr>
        <w:t>Z-300</w:t>
      </w:r>
      <w:r w:rsidRPr="004D33EA">
        <w:rPr>
          <w:rFonts w:ascii="Times New Roman" w:eastAsia="Calibri" w:hAnsi="Times New Roman"/>
          <w:snapToGrid/>
          <w:szCs w:val="24"/>
        </w:rPr>
        <w:tab/>
        <w:t>Zoning Analysis</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Z-400</w:t>
      </w:r>
      <w:r w:rsidR="006D0364">
        <w:rPr>
          <w:rFonts w:ascii="Times New Roman" w:eastAsia="Calibri" w:hAnsi="Times New Roman"/>
          <w:snapToGrid/>
          <w:szCs w:val="24"/>
        </w:rPr>
        <w:tab/>
      </w:r>
      <w:r w:rsidRPr="004D33EA">
        <w:rPr>
          <w:rFonts w:ascii="Times New Roman" w:eastAsia="Calibri" w:hAnsi="Times New Roman"/>
          <w:snapToGrid/>
          <w:szCs w:val="24"/>
        </w:rPr>
        <w:t>Site Plan</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Z-500</w:t>
      </w:r>
      <w:r w:rsidR="006D0364">
        <w:rPr>
          <w:rFonts w:ascii="Times New Roman" w:eastAsia="Calibri" w:hAnsi="Times New Roman"/>
          <w:snapToGrid/>
          <w:szCs w:val="24"/>
        </w:rPr>
        <w:tab/>
      </w:r>
      <w:r w:rsidRPr="004D33EA">
        <w:rPr>
          <w:rFonts w:ascii="Times New Roman" w:eastAsia="Calibri" w:hAnsi="Times New Roman"/>
          <w:snapToGrid/>
          <w:szCs w:val="24"/>
        </w:rPr>
        <w:t>First Floor Plan</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Z-600</w:t>
      </w:r>
      <w:r w:rsidR="006D0364">
        <w:rPr>
          <w:rFonts w:ascii="Times New Roman" w:eastAsia="Calibri" w:hAnsi="Times New Roman"/>
          <w:snapToGrid/>
          <w:szCs w:val="24"/>
        </w:rPr>
        <w:tab/>
      </w:r>
      <w:r w:rsidRPr="004D33EA">
        <w:rPr>
          <w:rFonts w:ascii="Times New Roman" w:eastAsia="Calibri" w:hAnsi="Times New Roman"/>
          <w:snapToGrid/>
          <w:szCs w:val="24"/>
        </w:rPr>
        <w:t>Waiver Plan</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Z-601</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C</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Z-602</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C</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Z-603</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Z-604</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Z-605</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Z-606</w:t>
      </w:r>
      <w:r w:rsidR="006D0364">
        <w:rPr>
          <w:rFonts w:ascii="Times New Roman" w:eastAsia="Calibri" w:hAnsi="Times New Roman"/>
          <w:snapToGrid/>
          <w:szCs w:val="24"/>
        </w:rPr>
        <w:tab/>
      </w:r>
      <w:r w:rsidRPr="004D33EA">
        <w:rPr>
          <w:rFonts w:ascii="Times New Roman" w:eastAsia="Calibri" w:hAnsi="Times New Roman"/>
          <w:snapToGrid/>
          <w:szCs w:val="24"/>
        </w:rPr>
        <w:t>Sections 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Z-700</w:t>
      </w:r>
      <w:r w:rsidR="006D0364">
        <w:rPr>
          <w:rFonts w:ascii="Times New Roman" w:eastAsia="Calibri" w:hAnsi="Times New Roman"/>
          <w:snapToGrid/>
          <w:szCs w:val="24"/>
        </w:rPr>
        <w:tab/>
      </w:r>
      <w:r w:rsidRPr="004D33EA">
        <w:rPr>
          <w:rFonts w:ascii="Times New Roman" w:eastAsia="Calibri" w:hAnsi="Times New Roman"/>
          <w:snapToGrid/>
          <w:szCs w:val="24"/>
        </w:rPr>
        <w:t>Elevations-Building C</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Z-701</w:t>
      </w:r>
      <w:r w:rsidR="006D0364">
        <w:rPr>
          <w:rFonts w:ascii="Times New Roman" w:eastAsia="Calibri" w:hAnsi="Times New Roman"/>
          <w:snapToGrid/>
          <w:szCs w:val="24"/>
        </w:rPr>
        <w:tab/>
      </w:r>
      <w:r w:rsidRPr="004D33EA">
        <w:rPr>
          <w:rFonts w:ascii="Times New Roman" w:eastAsia="Calibri" w:hAnsi="Times New Roman"/>
          <w:snapToGrid/>
          <w:szCs w:val="24"/>
        </w:rPr>
        <w:t>Elevations- Building C</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Z-702</w:t>
      </w:r>
      <w:r w:rsidR="006D0364">
        <w:rPr>
          <w:rFonts w:ascii="Times New Roman" w:eastAsia="Calibri" w:hAnsi="Times New Roman"/>
          <w:snapToGrid/>
          <w:szCs w:val="24"/>
        </w:rPr>
        <w:tab/>
      </w:r>
      <w:r w:rsidRPr="004D33EA">
        <w:rPr>
          <w:rFonts w:ascii="Times New Roman" w:eastAsia="Calibri" w:hAnsi="Times New Roman"/>
          <w:snapToGrid/>
          <w:szCs w:val="24"/>
        </w:rPr>
        <w:t>Elevations- 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Z-703</w:t>
      </w:r>
      <w:r w:rsidR="006D0364">
        <w:rPr>
          <w:rFonts w:ascii="Times New Roman" w:eastAsia="Calibri" w:hAnsi="Times New Roman"/>
          <w:snapToGrid/>
          <w:szCs w:val="24"/>
        </w:rPr>
        <w:tab/>
      </w:r>
      <w:r w:rsidRPr="004D33EA">
        <w:rPr>
          <w:rFonts w:ascii="Times New Roman" w:eastAsia="Calibri" w:hAnsi="Times New Roman"/>
          <w:snapToGrid/>
          <w:szCs w:val="24"/>
        </w:rPr>
        <w:t>Elevations-Building A &amp; B</w:t>
      </w:r>
      <w:r w:rsidR="006D0364">
        <w:rPr>
          <w:rFonts w:ascii="Times New Roman" w:eastAsia="Calibri" w:hAnsi="Times New Roman"/>
          <w:snapToGrid/>
          <w:szCs w:val="24"/>
        </w:rPr>
        <w:tab/>
      </w:r>
      <w:r w:rsidRPr="004D33EA">
        <w:rPr>
          <w:rFonts w:ascii="Times New Roman" w:eastAsia="Calibri" w:hAnsi="Times New Roman"/>
          <w:snapToGrid/>
          <w:szCs w:val="24"/>
        </w:rPr>
        <w:t>4.9.19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L-100</w:t>
      </w:r>
      <w:r w:rsidR="006D0364">
        <w:rPr>
          <w:rFonts w:ascii="Times New Roman" w:eastAsia="Calibri" w:hAnsi="Times New Roman"/>
          <w:snapToGrid/>
          <w:szCs w:val="24"/>
        </w:rPr>
        <w:tab/>
      </w:r>
      <w:r w:rsidRPr="004D33EA">
        <w:rPr>
          <w:rFonts w:ascii="Times New Roman" w:eastAsia="Calibri" w:hAnsi="Times New Roman"/>
          <w:snapToGrid/>
          <w:szCs w:val="24"/>
        </w:rPr>
        <w:t>Schematic Design Materials Plan</w:t>
      </w:r>
      <w:r w:rsidR="006D0364">
        <w:rPr>
          <w:rFonts w:ascii="Times New Roman" w:eastAsia="Calibri" w:hAnsi="Times New Roman"/>
          <w:snapToGrid/>
          <w:szCs w:val="24"/>
        </w:rPr>
        <w:tab/>
      </w:r>
      <w:r w:rsidRPr="004D33EA">
        <w:rPr>
          <w:rFonts w:ascii="Times New Roman" w:eastAsia="Calibri" w:hAnsi="Times New Roman"/>
          <w:snapToGrid/>
          <w:szCs w:val="24"/>
        </w:rPr>
        <w:t>7/26/19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L-101</w:t>
      </w:r>
      <w:r w:rsidR="006D0364">
        <w:rPr>
          <w:rFonts w:ascii="Times New Roman" w:eastAsia="Calibri" w:hAnsi="Times New Roman"/>
          <w:snapToGrid/>
          <w:szCs w:val="24"/>
        </w:rPr>
        <w:tab/>
      </w:r>
      <w:r w:rsidRPr="004D33EA">
        <w:rPr>
          <w:rFonts w:ascii="Times New Roman" w:eastAsia="Calibri" w:hAnsi="Times New Roman"/>
          <w:snapToGrid/>
          <w:szCs w:val="24"/>
        </w:rPr>
        <w:t>Schematic Design Lighting Plan</w:t>
      </w:r>
      <w:r w:rsidR="006D0364">
        <w:rPr>
          <w:rFonts w:ascii="Times New Roman" w:eastAsia="Calibri" w:hAnsi="Times New Roman"/>
          <w:snapToGrid/>
          <w:szCs w:val="24"/>
        </w:rPr>
        <w:tab/>
      </w:r>
      <w:r w:rsidRPr="004D33EA">
        <w:rPr>
          <w:rFonts w:ascii="Times New Roman" w:eastAsia="Calibri" w:hAnsi="Times New Roman"/>
          <w:snapToGrid/>
          <w:szCs w:val="24"/>
        </w:rPr>
        <w:t>4/30/19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L-200</w:t>
      </w:r>
      <w:r w:rsidR="006D0364">
        <w:rPr>
          <w:rFonts w:ascii="Times New Roman" w:eastAsia="Calibri" w:hAnsi="Times New Roman"/>
          <w:snapToGrid/>
          <w:szCs w:val="24"/>
        </w:rPr>
        <w:tab/>
      </w:r>
      <w:r w:rsidRPr="004D33EA">
        <w:rPr>
          <w:rFonts w:ascii="Times New Roman" w:eastAsia="Calibri" w:hAnsi="Times New Roman"/>
          <w:snapToGrid/>
          <w:szCs w:val="24"/>
        </w:rPr>
        <w:t>Schematic Design Layout Plan</w:t>
      </w:r>
      <w:r w:rsidR="006D0364">
        <w:rPr>
          <w:rFonts w:ascii="Times New Roman" w:eastAsia="Calibri" w:hAnsi="Times New Roman"/>
          <w:snapToGrid/>
          <w:szCs w:val="24"/>
        </w:rPr>
        <w:tab/>
      </w:r>
      <w:r w:rsidRPr="004D33EA">
        <w:rPr>
          <w:rFonts w:ascii="Times New Roman" w:eastAsia="Calibri" w:hAnsi="Times New Roman"/>
          <w:snapToGrid/>
          <w:szCs w:val="24"/>
        </w:rPr>
        <w:t>4/30/19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L-300</w:t>
      </w:r>
      <w:r w:rsidR="006D0364">
        <w:rPr>
          <w:rFonts w:ascii="Times New Roman" w:eastAsia="Calibri" w:hAnsi="Times New Roman"/>
          <w:snapToGrid/>
          <w:szCs w:val="24"/>
        </w:rPr>
        <w:tab/>
      </w:r>
      <w:r w:rsidRPr="004D33EA">
        <w:rPr>
          <w:rFonts w:ascii="Times New Roman" w:eastAsia="Calibri" w:hAnsi="Times New Roman"/>
          <w:snapToGrid/>
          <w:szCs w:val="24"/>
        </w:rPr>
        <w:t>Schematic Design Grading Plan</w:t>
      </w:r>
      <w:r w:rsidR="006D0364">
        <w:rPr>
          <w:rFonts w:ascii="Times New Roman" w:eastAsia="Calibri" w:hAnsi="Times New Roman"/>
          <w:snapToGrid/>
          <w:szCs w:val="24"/>
        </w:rPr>
        <w:tab/>
      </w:r>
      <w:r w:rsidRPr="004D33EA">
        <w:rPr>
          <w:rFonts w:ascii="Times New Roman" w:eastAsia="Calibri" w:hAnsi="Times New Roman"/>
          <w:snapToGrid/>
          <w:szCs w:val="24"/>
        </w:rPr>
        <w:t>4/30/19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L-400</w:t>
      </w:r>
      <w:r w:rsidR="006D0364">
        <w:rPr>
          <w:rFonts w:ascii="Times New Roman" w:eastAsia="Calibri" w:hAnsi="Times New Roman"/>
          <w:snapToGrid/>
          <w:szCs w:val="24"/>
        </w:rPr>
        <w:tab/>
      </w:r>
      <w:r w:rsidRPr="004D33EA">
        <w:rPr>
          <w:rFonts w:ascii="Times New Roman" w:eastAsia="Calibri" w:hAnsi="Times New Roman"/>
          <w:snapToGrid/>
          <w:szCs w:val="24"/>
        </w:rPr>
        <w:t>Furnishings and Programming</w:t>
      </w:r>
      <w:r w:rsidR="006D0364">
        <w:rPr>
          <w:rFonts w:ascii="Times New Roman" w:eastAsia="Calibri" w:hAnsi="Times New Roman"/>
          <w:snapToGrid/>
          <w:szCs w:val="24"/>
        </w:rPr>
        <w:tab/>
      </w:r>
      <w:r w:rsidRPr="004D33EA">
        <w:rPr>
          <w:rFonts w:ascii="Times New Roman" w:eastAsia="Calibri" w:hAnsi="Times New Roman"/>
          <w:snapToGrid/>
          <w:szCs w:val="24"/>
        </w:rPr>
        <w:t>7/26/19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L-500</w:t>
      </w:r>
      <w:r w:rsidR="006D0364">
        <w:rPr>
          <w:rFonts w:ascii="Times New Roman" w:eastAsia="Calibri" w:hAnsi="Times New Roman"/>
          <w:snapToGrid/>
          <w:szCs w:val="24"/>
        </w:rPr>
        <w:tab/>
      </w:r>
      <w:r w:rsidRPr="004D33EA">
        <w:rPr>
          <w:rFonts w:ascii="Times New Roman" w:eastAsia="Calibri" w:hAnsi="Times New Roman"/>
          <w:snapToGrid/>
          <w:szCs w:val="24"/>
        </w:rPr>
        <w:t>Schematic Design Sections I</w:t>
      </w:r>
      <w:r w:rsidR="006D0364">
        <w:rPr>
          <w:rFonts w:ascii="Times New Roman" w:eastAsia="Calibri" w:hAnsi="Times New Roman"/>
          <w:snapToGrid/>
          <w:szCs w:val="24"/>
        </w:rPr>
        <w:tab/>
      </w:r>
      <w:r w:rsidRPr="004D33EA">
        <w:rPr>
          <w:rFonts w:ascii="Times New Roman" w:eastAsia="Calibri" w:hAnsi="Times New Roman"/>
          <w:snapToGrid/>
          <w:szCs w:val="24"/>
        </w:rPr>
        <w:t>4/16/19</w:t>
      </w:r>
    </w:p>
    <w:p w:rsidR="004D33EA" w:rsidRPr="004D33EA" w:rsidRDefault="004D33EA" w:rsidP="006D0364">
      <w:pPr>
        <w:widowControl/>
        <w:tabs>
          <w:tab w:val="left" w:pos="3600"/>
          <w:tab w:val="left" w:pos="7200"/>
        </w:tabs>
        <w:ind w:left="720"/>
        <w:jc w:val="both"/>
        <w:rPr>
          <w:rFonts w:ascii="Times New Roman" w:eastAsia="Calibri" w:hAnsi="Times New Roman"/>
          <w:snapToGrid/>
          <w:szCs w:val="24"/>
        </w:rPr>
      </w:pPr>
      <w:r w:rsidRPr="004D33EA">
        <w:rPr>
          <w:rFonts w:ascii="Times New Roman" w:eastAsia="Calibri" w:hAnsi="Times New Roman"/>
          <w:snapToGrid/>
          <w:szCs w:val="24"/>
        </w:rPr>
        <w:t>L-501</w:t>
      </w:r>
      <w:r w:rsidR="006D0364">
        <w:rPr>
          <w:rFonts w:ascii="Times New Roman" w:eastAsia="Calibri" w:hAnsi="Times New Roman"/>
          <w:snapToGrid/>
          <w:szCs w:val="24"/>
        </w:rPr>
        <w:tab/>
      </w:r>
      <w:r w:rsidRPr="004D33EA">
        <w:rPr>
          <w:rFonts w:ascii="Times New Roman" w:eastAsia="Calibri" w:hAnsi="Times New Roman"/>
          <w:snapToGrid/>
          <w:szCs w:val="24"/>
        </w:rPr>
        <w:t>Schematic Design Sections II</w:t>
      </w:r>
      <w:r w:rsidR="006D0364">
        <w:rPr>
          <w:rFonts w:ascii="Times New Roman" w:eastAsia="Calibri" w:hAnsi="Times New Roman"/>
          <w:snapToGrid/>
          <w:szCs w:val="24"/>
        </w:rPr>
        <w:tab/>
      </w:r>
      <w:r w:rsidRPr="004D33EA">
        <w:rPr>
          <w:rFonts w:ascii="Times New Roman" w:eastAsia="Calibri" w:hAnsi="Times New Roman"/>
          <w:snapToGrid/>
          <w:szCs w:val="24"/>
        </w:rPr>
        <w:t>4/16/19</w:t>
      </w:r>
    </w:p>
    <w:p w:rsidR="004D33EA" w:rsidRPr="004D33EA" w:rsidRDefault="004D33EA" w:rsidP="004D33EA">
      <w:pPr>
        <w:widowControl/>
        <w:jc w:val="both"/>
        <w:rPr>
          <w:rFonts w:ascii="Times New Roman" w:eastAsia="Calibri" w:hAnsi="Times New Roman"/>
          <w:b/>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lastRenderedPageBreak/>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Such development shall conform to all applicable laws and regulations relating to their construction, operation and maintenance.</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In the event the property that is the subject of the application is developed as, sold as, or converted to condominium units, a homeowners’ association, or cooperative ownership, a copy of this report and resolution and any subsequent modifications shall be provided to the Attorney General of the State of New York at the time of application for any such condominium, homeowners’ or cooperative offering plan and, if the Attorney General so directs, shall be incorporated in full in any offering documents relating to the property.</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All leases, subleases, or other agreements for use or occupancy of space at the subject property shall give actual notice of this special permit to the lessee, sub-lessee or occupant.</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Development pursuant to this resolution shall be allowed only after the restrictive declaration attached hereto as Exhibit A, with such administrative changes as are acceptable to Counsel to the Department of City Planning, has been executed and recorded in the Office of the Register, Queens County.</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and the restrictive declarations whose provisions shall constitute conditions of the special permit hereby granted, the City Planning Commission may, without the consent of any party, revoke any portion of or all of said special permit. Such power of revocation shall be in addition to and not limited to any other powers of the City Planning Commission, or of any other agency or government, or any private person or entity. Any such filature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or of the restrictive declarations.</w:t>
      </w:r>
    </w:p>
    <w:p w:rsidR="004D33EA" w:rsidRPr="004D33EA" w:rsidRDefault="004D33EA" w:rsidP="004D33EA">
      <w:pPr>
        <w:widowControl/>
        <w:ind w:left="720"/>
        <w:jc w:val="both"/>
        <w:rPr>
          <w:rFonts w:ascii="Times New Roman" w:eastAsia="Calibri" w:hAnsi="Times New Roman"/>
          <w:snapToGrid/>
          <w:szCs w:val="24"/>
        </w:rPr>
      </w:pPr>
    </w:p>
    <w:p w:rsidR="004D33EA" w:rsidRPr="004D33EA" w:rsidRDefault="004D33EA" w:rsidP="00B47965">
      <w:pPr>
        <w:widowControl/>
        <w:numPr>
          <w:ilvl w:val="0"/>
          <w:numId w:val="1"/>
        </w:numPr>
        <w:tabs>
          <w:tab w:val="left" w:pos="720"/>
        </w:tabs>
        <w:ind w:hanging="720"/>
        <w:jc w:val="both"/>
        <w:rPr>
          <w:rFonts w:ascii="Times New Roman" w:eastAsia="Calibri" w:hAnsi="Times New Roman"/>
          <w:snapToGrid/>
          <w:szCs w:val="24"/>
        </w:rPr>
      </w:pPr>
      <w:r w:rsidRPr="004D33EA">
        <w:rPr>
          <w:rFonts w:ascii="Times New Roman" w:eastAsia="Calibri" w:hAnsi="Times New Roman"/>
          <w:snapToGrid/>
          <w:szCs w:val="24"/>
        </w:rPr>
        <w:t>Neither the City of New York nor its employees or agents shall have any liability for money damages by reason of the city or such employees or agents failure to act in accordance with the provisions of this special permit.</w:t>
      </w:r>
    </w:p>
    <w:p w:rsidR="00C103F4" w:rsidRPr="00C103F4" w:rsidRDefault="00C103F4" w:rsidP="00C103F4">
      <w:pPr>
        <w:jc w:val="both"/>
        <w:rPr>
          <w:rFonts w:ascii="Times New Roman" w:eastAsia="Batang" w:hAnsi="Times New Roman"/>
          <w:szCs w:val="24"/>
          <w:lang w:eastAsia="ko-KR"/>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086BCC">
        <w:rPr>
          <w:rFonts w:ascii="Times New Roman" w:hAnsi="Times New Roman"/>
          <w:szCs w:val="24"/>
        </w:rPr>
        <w:t>October 17</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15" w:rsidRDefault="00600D15">
      <w:r>
        <w:separator/>
      </w:r>
    </w:p>
  </w:endnote>
  <w:endnote w:type="continuationSeparator" w:id="0">
    <w:p w:rsidR="00600D15" w:rsidRDefault="006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15" w:rsidRDefault="00600D15">
      <w:r>
        <w:separator/>
      </w:r>
    </w:p>
  </w:footnote>
  <w:footnote w:type="continuationSeparator" w:id="0">
    <w:p w:rsidR="00600D15" w:rsidRDefault="0060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7752FA">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7752FA">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C103F4">
      <w:rPr>
        <w:rFonts w:ascii="Times New Roman" w:hAnsi="Times New Roman"/>
        <w:b/>
        <w:bCs/>
        <w:szCs w:val="24"/>
      </w:rPr>
      <w:t>190</w:t>
    </w:r>
    <w:r w:rsidR="004D33EA">
      <w:rPr>
        <w:rFonts w:ascii="Times New Roman" w:hAnsi="Times New Roman"/>
        <w:b/>
        <w:bCs/>
        <w:szCs w:val="24"/>
      </w:rPr>
      <w:t>386</w:t>
    </w:r>
    <w:r w:rsidRPr="00D6300F">
      <w:rPr>
        <w:rFonts w:ascii="Times New Roman" w:hAnsi="Times New Roman"/>
        <w:b/>
        <w:bCs/>
        <w:szCs w:val="24"/>
      </w:rPr>
      <w:t xml:space="preserve"> </w:t>
    </w:r>
    <w:r w:rsidR="00F7559C">
      <w:rPr>
        <w:rFonts w:ascii="Times New Roman" w:hAnsi="Times New Roman"/>
        <w:b/>
        <w:bCs/>
        <w:szCs w:val="24"/>
      </w:rPr>
      <w:t>ZS</w:t>
    </w:r>
    <w:r w:rsidR="004D33EA">
      <w:rPr>
        <w:rFonts w:ascii="Times New Roman" w:hAnsi="Times New Roman"/>
        <w:b/>
        <w:bCs/>
        <w:szCs w:val="24"/>
      </w:rPr>
      <w:t>Q</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086BCC">
      <w:rPr>
        <w:rFonts w:ascii="Times New Roman" w:hAnsi="Times New Roman"/>
        <w:b/>
        <w:bCs/>
        <w:szCs w:val="24"/>
      </w:rPr>
      <w:t>1133</w:t>
    </w:r>
    <w:r w:rsidRPr="00D6300F">
      <w:rPr>
        <w:rFonts w:ascii="Times New Roman" w:hAnsi="Times New Roman"/>
        <w:b/>
        <w:bCs/>
        <w:szCs w:val="24"/>
      </w:rPr>
      <w:t xml:space="preserve"> (L.U. No. </w:t>
    </w:r>
    <w:r w:rsidR="004D33EA">
      <w:rPr>
        <w:rFonts w:ascii="Times New Roman" w:hAnsi="Times New Roman"/>
        <w:b/>
        <w:bCs/>
        <w:szCs w:val="24"/>
      </w:rPr>
      <w:t>533</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86BCC"/>
    <w:rsid w:val="00090C05"/>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6E6F"/>
    <w:rsid w:val="006271DB"/>
    <w:rsid w:val="006276C7"/>
    <w:rsid w:val="006315FF"/>
    <w:rsid w:val="00641755"/>
    <w:rsid w:val="00642615"/>
    <w:rsid w:val="006451F0"/>
    <w:rsid w:val="00650DB0"/>
    <w:rsid w:val="0065225A"/>
    <w:rsid w:val="0066189B"/>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752FA"/>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6957"/>
    <w:rsid w:val="008C7E29"/>
    <w:rsid w:val="008D16EE"/>
    <w:rsid w:val="008D1FC0"/>
    <w:rsid w:val="008D407A"/>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11358"/>
    <w:rsid w:val="00B225E3"/>
    <w:rsid w:val="00B24793"/>
    <w:rsid w:val="00B256AE"/>
    <w:rsid w:val="00B257BD"/>
    <w:rsid w:val="00B30B1D"/>
    <w:rsid w:val="00B3504A"/>
    <w:rsid w:val="00B35416"/>
    <w:rsid w:val="00B3571C"/>
    <w:rsid w:val="00B35D3F"/>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A59BE"/>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7168A6"/>
  <w15:chartTrackingRefBased/>
  <w15:docId w15:val="{AC03E5FE-E3F7-4347-9B08-973E66E8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2019-10-18T16:24:00Z</dcterms:created>
  <dcterms:modified xsi:type="dcterms:W3CDTF">2019-10-18T16:24:00Z</dcterms:modified>
</cp:coreProperties>
</file>