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6E2869" w:rsidRDefault="0073286D" w:rsidP="00F13422">
      <w:pPr>
        <w:shd w:val="clear" w:color="auto" w:fill="FFFFFF"/>
        <w:spacing w:after="0" w:line="240" w:lineRule="auto"/>
        <w:jc w:val="center"/>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THE COUNCIL OF THE CITY OF NEW YORK</w:t>
      </w:r>
    </w:p>
    <w:p w:rsidR="0073286D" w:rsidRPr="006E2869" w:rsidRDefault="00C60101" w:rsidP="00F13422">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 NO.</w:t>
      </w:r>
      <w:r w:rsidR="00E90A6B">
        <w:rPr>
          <w:rFonts w:ascii="Times New Roman" w:eastAsia="Times New Roman" w:hAnsi="Times New Roman"/>
          <w:color w:val="000000"/>
          <w:sz w:val="24"/>
          <w:szCs w:val="24"/>
        </w:rPr>
        <w:t xml:space="preserve"> 1032</w:t>
      </w:r>
      <w:bookmarkStart w:id="0" w:name="_GoBack"/>
      <w:bookmarkEnd w:id="0"/>
    </w:p>
    <w:p w:rsidR="0073286D" w:rsidRPr="006E2869" w:rsidRDefault="0073286D" w:rsidP="00F13422">
      <w:pPr>
        <w:shd w:val="clear" w:color="auto" w:fill="FFFFFF"/>
        <w:spacing w:after="0" w:line="240" w:lineRule="auto"/>
        <w:jc w:val="center"/>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F13422">
      <w:pPr>
        <w:shd w:val="clear" w:color="auto" w:fill="FFFFFF"/>
        <w:spacing w:after="0" w:line="240" w:lineRule="auto"/>
        <w:jc w:val="both"/>
        <w:rPr>
          <w:rFonts w:ascii="Times New Roman" w:eastAsia="Times New Roman" w:hAnsi="Times New Roman"/>
          <w:vanish/>
          <w:color w:val="000000"/>
          <w:sz w:val="24"/>
          <w:szCs w:val="24"/>
        </w:rPr>
      </w:pPr>
      <w:r w:rsidRPr="006E2869">
        <w:rPr>
          <w:rFonts w:ascii="Times New Roman" w:eastAsia="Times New Roman" w:hAnsi="Times New Roman"/>
          <w:vanish/>
          <w:color w:val="000000"/>
          <w:sz w:val="24"/>
          <w:szCs w:val="24"/>
        </w:rPr>
        <w:t>..Title</w:t>
      </w:r>
    </w:p>
    <w:p w:rsidR="0073286D" w:rsidRPr="006E2869"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xml:space="preserve">Resolution </w:t>
      </w:r>
      <w:r w:rsidR="001C0E30" w:rsidRPr="006E2869">
        <w:rPr>
          <w:rFonts w:ascii="Times New Roman" w:eastAsia="Times New Roman" w:hAnsi="Times New Roman"/>
          <w:color w:val="000000"/>
          <w:sz w:val="24"/>
          <w:szCs w:val="24"/>
        </w:rPr>
        <w:t xml:space="preserve">approving an amendment to a previously approved real property tax exemption pursuant to </w:t>
      </w:r>
      <w:r w:rsidRPr="006E2869">
        <w:rPr>
          <w:rFonts w:ascii="Times New Roman" w:eastAsia="Times New Roman" w:hAnsi="Times New Roman"/>
          <w:color w:val="000000"/>
          <w:sz w:val="24"/>
          <w:szCs w:val="24"/>
        </w:rPr>
        <w:t xml:space="preserve">Section 577 of the Private Housing Finance Law </w:t>
      </w:r>
      <w:r w:rsidR="006E2869" w:rsidRPr="006E2869">
        <w:rPr>
          <w:rFonts w:ascii="Times New Roman" w:eastAsia="Times New Roman" w:hAnsi="Times New Roman"/>
          <w:color w:val="000000"/>
          <w:sz w:val="24"/>
          <w:szCs w:val="24"/>
        </w:rPr>
        <w:t>for property located at (</w:t>
      </w:r>
      <w:r w:rsidR="006A1945" w:rsidRPr="006A1945">
        <w:rPr>
          <w:rFonts w:ascii="Times New Roman" w:eastAsia="Times New Roman" w:hAnsi="Times New Roman"/>
          <w:color w:val="000000"/>
          <w:sz w:val="24"/>
          <w:szCs w:val="24"/>
        </w:rPr>
        <w:t>Block 2870, Lot 61</w:t>
      </w:r>
      <w:r w:rsidR="006E2869" w:rsidRPr="006E2869">
        <w:rPr>
          <w:rFonts w:ascii="Times New Roman" w:eastAsia="Times New Roman" w:hAnsi="Times New Roman"/>
          <w:color w:val="000000"/>
          <w:sz w:val="24"/>
          <w:szCs w:val="24"/>
        </w:rPr>
        <w:t xml:space="preserve">), </w:t>
      </w:r>
      <w:r w:rsidR="006A1945">
        <w:rPr>
          <w:rFonts w:ascii="Times New Roman" w:eastAsia="Times New Roman" w:hAnsi="Times New Roman"/>
          <w:color w:val="000000"/>
          <w:sz w:val="24"/>
          <w:szCs w:val="24"/>
        </w:rPr>
        <w:t>Bronx</w:t>
      </w:r>
      <w:r w:rsidR="006E2869" w:rsidRPr="006E2869">
        <w:rPr>
          <w:rFonts w:ascii="Times New Roman" w:eastAsia="Times New Roman" w:hAnsi="Times New Roman"/>
          <w:color w:val="000000"/>
          <w:sz w:val="24"/>
          <w:szCs w:val="24"/>
        </w:rPr>
        <w:t xml:space="preserve"> </w:t>
      </w:r>
      <w:r w:rsidRPr="006E2869">
        <w:rPr>
          <w:rFonts w:ascii="Times New Roman" w:eastAsia="Times New Roman" w:hAnsi="Times New Roman"/>
          <w:color w:val="000000"/>
          <w:sz w:val="24"/>
          <w:szCs w:val="24"/>
        </w:rPr>
        <w:t>(Preconsidered L.U. No.</w:t>
      </w:r>
      <w:r w:rsidR="00F85D9A">
        <w:rPr>
          <w:rFonts w:ascii="Times New Roman" w:eastAsia="Times New Roman" w:hAnsi="Times New Roman"/>
          <w:color w:val="000000"/>
          <w:sz w:val="24"/>
          <w:szCs w:val="24"/>
        </w:rPr>
        <w:t xml:space="preserve"> 504</w:t>
      </w:r>
      <w:r w:rsidRPr="006E2869">
        <w:rPr>
          <w:rFonts w:ascii="Times New Roman" w:eastAsia="Times New Roman" w:hAnsi="Times New Roman"/>
          <w:color w:val="000000"/>
          <w:sz w:val="24"/>
          <w:szCs w:val="24"/>
        </w:rPr>
        <w:t>).</w:t>
      </w:r>
    </w:p>
    <w:p w:rsidR="0073286D" w:rsidRPr="006E2869" w:rsidRDefault="0073286D" w:rsidP="00F13422">
      <w:pPr>
        <w:shd w:val="clear" w:color="auto" w:fill="FFFFFF"/>
        <w:spacing w:after="0" w:line="240" w:lineRule="auto"/>
        <w:rPr>
          <w:rFonts w:ascii="Times New Roman" w:eastAsia="Times New Roman" w:hAnsi="Times New Roman"/>
          <w:vanish/>
          <w:color w:val="000000"/>
          <w:sz w:val="24"/>
          <w:szCs w:val="24"/>
        </w:rPr>
      </w:pPr>
      <w:r w:rsidRPr="006E2869">
        <w:rPr>
          <w:rFonts w:ascii="Times New Roman" w:eastAsia="Times New Roman" w:hAnsi="Times New Roman"/>
          <w:vanish/>
          <w:color w:val="000000"/>
          <w:sz w:val="24"/>
          <w:szCs w:val="24"/>
        </w:rPr>
        <w:t>..Body</w:t>
      </w:r>
    </w:p>
    <w:p w:rsidR="0073286D" w:rsidRPr="006E2869"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F13422">
      <w:pPr>
        <w:shd w:val="clear" w:color="auto" w:fill="FFFFFF"/>
        <w:spacing w:after="0" w:line="240" w:lineRule="auto"/>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xml:space="preserve">By Council Member </w:t>
      </w:r>
      <w:r w:rsidR="000B2D14" w:rsidRPr="006E2869">
        <w:rPr>
          <w:rFonts w:ascii="Times New Roman" w:eastAsia="Times New Roman" w:hAnsi="Times New Roman"/>
          <w:color w:val="000000"/>
          <w:sz w:val="24"/>
          <w:szCs w:val="24"/>
        </w:rPr>
        <w:t>Dromm</w:t>
      </w:r>
    </w:p>
    <w:p w:rsidR="0073286D" w:rsidRPr="006E2869" w:rsidRDefault="0073286D" w:rsidP="00F13422">
      <w:pPr>
        <w:shd w:val="clear" w:color="auto" w:fill="FFFFFF"/>
        <w:spacing w:after="0" w:line="240" w:lineRule="auto"/>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6E2869">
      <w:pPr>
        <w:shd w:val="clear" w:color="auto" w:fill="FFFFFF"/>
        <w:spacing w:after="0" w:line="240" w:lineRule="auto"/>
        <w:ind w:firstLine="720"/>
        <w:jc w:val="both"/>
        <w:rPr>
          <w:rFonts w:ascii="Times New Roman" w:eastAsia="Times New Roman" w:hAnsi="Times New Roman"/>
          <w:color w:val="000000"/>
          <w:sz w:val="24"/>
          <w:szCs w:val="24"/>
        </w:rPr>
      </w:pPr>
      <w:r w:rsidRPr="006E2869">
        <w:rPr>
          <w:rFonts w:ascii="Times New Roman" w:eastAsia="Times New Roman" w:hAnsi="Times New Roman"/>
          <w:b/>
          <w:bCs/>
          <w:color w:val="000000"/>
          <w:sz w:val="24"/>
          <w:szCs w:val="24"/>
        </w:rPr>
        <w:t>WHEREAS</w:t>
      </w:r>
      <w:r w:rsidRPr="006E2869">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6A1945">
        <w:rPr>
          <w:rFonts w:ascii="Times New Roman" w:eastAsia="Times New Roman" w:hAnsi="Times New Roman"/>
          <w:color w:val="000000"/>
          <w:sz w:val="24"/>
          <w:szCs w:val="24"/>
        </w:rPr>
        <w:t>August 9</w:t>
      </w:r>
      <w:r w:rsidR="00290DB9" w:rsidRPr="006E2869">
        <w:rPr>
          <w:rFonts w:ascii="Times New Roman" w:eastAsia="Times New Roman" w:hAnsi="Times New Roman"/>
          <w:color w:val="000000"/>
          <w:sz w:val="24"/>
          <w:szCs w:val="24"/>
        </w:rPr>
        <w:t>, 2019</w:t>
      </w:r>
      <w:r w:rsidRPr="006E2869">
        <w:rPr>
          <w:rFonts w:ascii="Times New Roman" w:eastAsia="Times New Roman" w:hAnsi="Times New Roman"/>
          <w:color w:val="000000"/>
          <w:sz w:val="24"/>
          <w:szCs w:val="24"/>
        </w:rPr>
        <w:t xml:space="preserve"> that the Council </w:t>
      </w:r>
      <w:r w:rsidR="006E2869" w:rsidRPr="006E2869">
        <w:rPr>
          <w:rFonts w:ascii="Times New Roman" w:eastAsia="Times New Roman" w:hAnsi="Times New Roman"/>
          <w:color w:val="000000"/>
          <w:sz w:val="24"/>
          <w:szCs w:val="24"/>
        </w:rPr>
        <w:t xml:space="preserve">amend a previously approved tax exemption for real property located at </w:t>
      </w:r>
      <w:r w:rsidR="006A1945" w:rsidRPr="006E2869">
        <w:rPr>
          <w:rFonts w:ascii="Times New Roman" w:eastAsia="Times New Roman" w:hAnsi="Times New Roman"/>
          <w:color w:val="000000"/>
          <w:sz w:val="24"/>
          <w:szCs w:val="24"/>
        </w:rPr>
        <w:t>(</w:t>
      </w:r>
      <w:r w:rsidR="006A1945" w:rsidRPr="006A1945">
        <w:rPr>
          <w:rFonts w:ascii="Times New Roman" w:eastAsia="Times New Roman" w:hAnsi="Times New Roman"/>
          <w:color w:val="000000"/>
          <w:sz w:val="24"/>
          <w:szCs w:val="24"/>
        </w:rPr>
        <w:t>Block 2870, Lot 61</w:t>
      </w:r>
      <w:r w:rsidR="006A1945">
        <w:rPr>
          <w:rFonts w:ascii="Times New Roman" w:eastAsia="Times New Roman" w:hAnsi="Times New Roman"/>
          <w:color w:val="000000"/>
          <w:sz w:val="24"/>
          <w:szCs w:val="24"/>
        </w:rPr>
        <w:t>), Bronx</w:t>
      </w:r>
      <w:r w:rsidR="006A1945" w:rsidRPr="006E2869">
        <w:rPr>
          <w:rFonts w:ascii="Times New Roman" w:eastAsia="Times New Roman" w:hAnsi="Times New Roman"/>
          <w:color w:val="000000"/>
          <w:sz w:val="24"/>
          <w:szCs w:val="24"/>
        </w:rPr>
        <w:t xml:space="preserve"> </w:t>
      </w:r>
      <w:r w:rsidR="006E2869" w:rsidRPr="006E2869">
        <w:rPr>
          <w:rFonts w:ascii="Times New Roman" w:eastAsia="Times New Roman" w:hAnsi="Times New Roman"/>
          <w:color w:val="000000"/>
          <w:sz w:val="24"/>
          <w:szCs w:val="24"/>
        </w:rPr>
        <w:t>(“Exemption Area”) pursuant to Section 577 of the Private Housing Finance Law;</w:t>
      </w:r>
    </w:p>
    <w:p w:rsidR="006E2869" w:rsidRPr="006E2869" w:rsidRDefault="006E2869" w:rsidP="006E2869">
      <w:pPr>
        <w:shd w:val="clear" w:color="auto" w:fill="FFFFFF"/>
        <w:spacing w:after="0" w:line="240" w:lineRule="auto"/>
        <w:ind w:firstLine="720"/>
        <w:jc w:val="both"/>
        <w:rPr>
          <w:rFonts w:ascii="Times New Roman" w:eastAsia="Times New Roman" w:hAnsi="Times New Roman"/>
          <w:color w:val="000000"/>
          <w:sz w:val="24"/>
          <w:szCs w:val="24"/>
        </w:rPr>
      </w:pPr>
    </w:p>
    <w:p w:rsidR="006E2869" w:rsidRPr="006E2869" w:rsidRDefault="006E2869" w:rsidP="006E2869">
      <w:pPr>
        <w:shd w:val="clear" w:color="auto" w:fill="FFFFFF"/>
        <w:spacing w:after="0" w:line="240" w:lineRule="auto"/>
        <w:ind w:firstLine="720"/>
        <w:jc w:val="both"/>
        <w:rPr>
          <w:rFonts w:ascii="Times New Roman" w:eastAsia="Times New Roman" w:hAnsi="Times New Roman"/>
          <w:color w:val="000000"/>
          <w:sz w:val="24"/>
          <w:szCs w:val="24"/>
        </w:rPr>
      </w:pPr>
      <w:r w:rsidRPr="006E2869">
        <w:rPr>
          <w:rFonts w:ascii="Times New Roman" w:eastAsia="Times New Roman" w:hAnsi="Times New Roman"/>
          <w:b/>
          <w:bCs/>
          <w:color w:val="000000"/>
          <w:sz w:val="24"/>
          <w:szCs w:val="24"/>
        </w:rPr>
        <w:t>WHEREAS</w:t>
      </w:r>
      <w:r w:rsidRPr="006E2869">
        <w:rPr>
          <w:rFonts w:ascii="Times New Roman" w:eastAsia="Times New Roman" w:hAnsi="Times New Roman"/>
          <w:color w:val="000000"/>
          <w:sz w:val="24"/>
          <w:szCs w:val="24"/>
        </w:rPr>
        <w:t xml:space="preserve">, the HPD’s request for amendments is related to a previously </w:t>
      </w:r>
      <w:r w:rsidR="006A1945">
        <w:rPr>
          <w:rFonts w:ascii="Times New Roman" w:eastAsia="Times New Roman" w:hAnsi="Times New Roman"/>
          <w:color w:val="000000"/>
          <w:sz w:val="24"/>
          <w:szCs w:val="24"/>
        </w:rPr>
        <w:t xml:space="preserve">Resolution adopted by City Council </w:t>
      </w:r>
      <w:r w:rsidRPr="006E2869">
        <w:rPr>
          <w:rFonts w:ascii="Times New Roman" w:eastAsia="Times New Roman" w:hAnsi="Times New Roman"/>
          <w:color w:val="000000"/>
          <w:sz w:val="24"/>
          <w:szCs w:val="24"/>
        </w:rPr>
        <w:t xml:space="preserve">on </w:t>
      </w:r>
      <w:r w:rsidR="006A1945">
        <w:rPr>
          <w:rFonts w:ascii="Times New Roman" w:hAnsi="Times New Roman"/>
          <w:sz w:val="24"/>
          <w:szCs w:val="24"/>
        </w:rPr>
        <w:t>December 20</w:t>
      </w:r>
      <w:r w:rsidRPr="006E2869">
        <w:rPr>
          <w:rFonts w:ascii="Times New Roman" w:hAnsi="Times New Roman"/>
          <w:sz w:val="24"/>
          <w:szCs w:val="24"/>
        </w:rPr>
        <w:t xml:space="preserve">, </w:t>
      </w:r>
      <w:r w:rsidR="00B81B22">
        <w:rPr>
          <w:rFonts w:ascii="Times New Roman" w:hAnsi="Times New Roman"/>
          <w:sz w:val="24"/>
          <w:szCs w:val="24"/>
        </w:rPr>
        <w:t xml:space="preserve">2018 </w:t>
      </w:r>
      <w:r w:rsidRPr="006E2869">
        <w:rPr>
          <w:rFonts w:ascii="Times New Roman" w:hAnsi="Times New Roman"/>
          <w:sz w:val="24"/>
          <w:szCs w:val="24"/>
        </w:rPr>
        <w:t>(</w:t>
      </w:r>
      <w:r w:rsidR="00B81B22">
        <w:rPr>
          <w:rFonts w:ascii="Times New Roman" w:hAnsi="Times New Roman"/>
          <w:sz w:val="24"/>
          <w:szCs w:val="24"/>
        </w:rPr>
        <w:t>Resolution 687</w:t>
      </w:r>
      <w:r w:rsidRPr="006E2869">
        <w:rPr>
          <w:rFonts w:ascii="Times New Roman" w:hAnsi="Times New Roman"/>
          <w:sz w:val="24"/>
          <w:szCs w:val="24"/>
        </w:rPr>
        <w:t>)</w:t>
      </w:r>
      <w:r w:rsidRPr="006E2869">
        <w:rPr>
          <w:rFonts w:ascii="Times New Roman" w:eastAsia="Times New Roman" w:hAnsi="Times New Roman"/>
          <w:color w:val="000000"/>
          <w:sz w:val="24"/>
          <w:szCs w:val="24"/>
        </w:rPr>
        <w:t xml:space="preserve"> (the “Prior Resolution”), attached hereto as </w:t>
      </w:r>
      <w:r w:rsidRPr="00100F31">
        <w:rPr>
          <w:rFonts w:ascii="Times New Roman" w:eastAsia="Times New Roman" w:hAnsi="Times New Roman"/>
          <w:color w:val="000000"/>
          <w:sz w:val="24"/>
          <w:szCs w:val="24"/>
          <w:u w:val="single"/>
        </w:rPr>
        <w:t>Exhibit A</w:t>
      </w:r>
      <w:r w:rsidRPr="006E2869">
        <w:rPr>
          <w:rFonts w:ascii="Times New Roman" w:eastAsia="Times New Roman" w:hAnsi="Times New Roman"/>
          <w:color w:val="000000"/>
          <w:sz w:val="24"/>
          <w:szCs w:val="24"/>
        </w:rPr>
        <w:t>, granting the Exemption Area a real property tax exemption pursuant to Section 577 of the Private Housing Finance Law;</w:t>
      </w:r>
    </w:p>
    <w:p w:rsidR="0073286D" w:rsidRPr="006E2869"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F13422">
      <w:pPr>
        <w:shd w:val="clear" w:color="auto" w:fill="FFFFFF"/>
        <w:spacing w:after="0" w:line="240" w:lineRule="auto"/>
        <w:ind w:firstLine="720"/>
        <w:jc w:val="both"/>
        <w:rPr>
          <w:rFonts w:ascii="Times New Roman" w:eastAsia="Times New Roman" w:hAnsi="Times New Roman"/>
          <w:color w:val="000000"/>
          <w:sz w:val="24"/>
          <w:szCs w:val="24"/>
        </w:rPr>
      </w:pPr>
      <w:r w:rsidRPr="006E2869">
        <w:rPr>
          <w:rFonts w:ascii="Times New Roman" w:eastAsia="Times New Roman" w:hAnsi="Times New Roman"/>
          <w:b/>
          <w:bCs/>
          <w:color w:val="000000"/>
          <w:sz w:val="24"/>
          <w:szCs w:val="24"/>
        </w:rPr>
        <w:t>WHEREAS</w:t>
      </w:r>
      <w:r w:rsidRPr="006E2869">
        <w:rPr>
          <w:rFonts w:ascii="Times New Roman" w:eastAsia="Times New Roman" w:hAnsi="Times New Roman"/>
          <w:color w:val="000000"/>
          <w:sz w:val="24"/>
          <w:szCs w:val="24"/>
        </w:rPr>
        <w:t>, the Council has considered the financial implications relating to the Tax Exemption;</w:t>
      </w:r>
    </w:p>
    <w:p w:rsidR="0073286D" w:rsidRPr="006E2869"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F13422">
      <w:pPr>
        <w:shd w:val="clear" w:color="auto" w:fill="FFFFFF"/>
        <w:spacing w:after="0" w:line="240" w:lineRule="auto"/>
        <w:ind w:firstLine="720"/>
        <w:jc w:val="both"/>
        <w:rPr>
          <w:rFonts w:ascii="Times New Roman" w:eastAsia="Times New Roman" w:hAnsi="Times New Roman"/>
          <w:b/>
          <w:bCs/>
          <w:color w:val="000000"/>
          <w:sz w:val="24"/>
          <w:szCs w:val="24"/>
        </w:rPr>
      </w:pPr>
      <w:r w:rsidRPr="006E2869">
        <w:rPr>
          <w:rFonts w:ascii="Times New Roman" w:eastAsia="Times New Roman" w:hAnsi="Times New Roman"/>
          <w:b/>
          <w:bCs/>
          <w:color w:val="000000"/>
          <w:sz w:val="24"/>
          <w:szCs w:val="24"/>
        </w:rPr>
        <w:t>RESOLVED:</w:t>
      </w:r>
    </w:p>
    <w:p w:rsidR="006E2869" w:rsidRPr="006E2869" w:rsidRDefault="006E2869" w:rsidP="00F13422">
      <w:pPr>
        <w:shd w:val="clear" w:color="auto" w:fill="FFFFFF"/>
        <w:spacing w:after="0" w:line="240" w:lineRule="auto"/>
        <w:ind w:firstLine="720"/>
        <w:jc w:val="both"/>
        <w:rPr>
          <w:rFonts w:ascii="Times New Roman" w:eastAsia="Times New Roman" w:hAnsi="Times New Roman"/>
          <w:b/>
          <w:bCs/>
          <w:color w:val="000000"/>
          <w:sz w:val="24"/>
          <w:szCs w:val="24"/>
        </w:rPr>
      </w:pPr>
    </w:p>
    <w:p w:rsidR="006E2869" w:rsidRDefault="006E2869" w:rsidP="006E2869">
      <w:pPr>
        <w:shd w:val="clear" w:color="auto" w:fill="FFFFFF"/>
        <w:spacing w:after="0" w:line="240" w:lineRule="auto"/>
        <w:ind w:firstLine="720"/>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The Council approves the amendment</w:t>
      </w:r>
      <w:r>
        <w:rPr>
          <w:rFonts w:ascii="Times New Roman" w:eastAsia="Times New Roman" w:hAnsi="Times New Roman"/>
          <w:color w:val="000000"/>
          <w:sz w:val="24"/>
          <w:szCs w:val="24"/>
        </w:rPr>
        <w:t>s</w:t>
      </w:r>
      <w:r w:rsidRPr="006E2869">
        <w:rPr>
          <w:rFonts w:ascii="Times New Roman" w:eastAsia="Times New Roman" w:hAnsi="Times New Roman"/>
          <w:color w:val="000000"/>
          <w:sz w:val="24"/>
          <w:szCs w:val="24"/>
        </w:rPr>
        <w:t xml:space="preserve"> to the Prior Resolution requested by HPD for the Exemption Area pursuant to</w:t>
      </w:r>
      <w:r w:rsidRPr="006E2869">
        <w:rPr>
          <w:rFonts w:ascii="Times New Roman" w:hAnsi="Times New Roman"/>
          <w:sz w:val="24"/>
          <w:szCs w:val="24"/>
        </w:rPr>
        <w:t xml:space="preserve"> </w:t>
      </w:r>
      <w:r w:rsidRPr="006E2869">
        <w:rPr>
          <w:rFonts w:ascii="Times New Roman" w:eastAsia="Times New Roman" w:hAnsi="Times New Roman"/>
          <w:color w:val="000000"/>
          <w:sz w:val="24"/>
          <w:szCs w:val="24"/>
        </w:rPr>
        <w:t>Section 577 of the Private Housing Finance Law as follows:</w:t>
      </w:r>
    </w:p>
    <w:p w:rsidR="00B81B22" w:rsidRDefault="00B81B22" w:rsidP="006E2869">
      <w:pPr>
        <w:shd w:val="clear" w:color="auto" w:fill="FFFFFF"/>
        <w:spacing w:after="0" w:line="240" w:lineRule="auto"/>
        <w:ind w:firstLine="720"/>
        <w:rPr>
          <w:rFonts w:ascii="Times New Roman" w:eastAsia="Times New Roman" w:hAnsi="Times New Roman"/>
          <w:color w:val="000000"/>
          <w:sz w:val="24"/>
          <w:szCs w:val="24"/>
        </w:rPr>
      </w:pPr>
    </w:p>
    <w:p w:rsidR="00B81B22" w:rsidRPr="00B81B22" w:rsidRDefault="00B81B22" w:rsidP="00B81B22">
      <w:pPr>
        <w:shd w:val="clear" w:color="auto" w:fill="FFFFFF"/>
        <w:spacing w:after="0" w:line="240" w:lineRule="auto"/>
        <w:ind w:firstLine="720"/>
        <w:rPr>
          <w:rFonts w:ascii="Times New Roman" w:eastAsia="Times New Roman" w:hAnsi="Times New Roman"/>
          <w:color w:val="000000"/>
          <w:sz w:val="24"/>
          <w:szCs w:val="24"/>
        </w:rPr>
      </w:pPr>
      <w:r w:rsidRPr="00B81B22">
        <w:rPr>
          <w:rFonts w:ascii="Times New Roman" w:eastAsia="Times New Roman" w:hAnsi="Times New Roman"/>
          <w:color w:val="000000"/>
          <w:sz w:val="24"/>
          <w:szCs w:val="24"/>
        </w:rPr>
        <w:t>Provision 1.h of the Prior Resolution is deleted and replaced with the following:</w:t>
      </w:r>
    </w:p>
    <w:p w:rsidR="00B81B22" w:rsidRPr="00B81B22" w:rsidRDefault="00B81B22" w:rsidP="00B81B22">
      <w:pPr>
        <w:shd w:val="clear" w:color="auto" w:fill="FFFFFF"/>
        <w:spacing w:after="0" w:line="240" w:lineRule="auto"/>
        <w:ind w:firstLine="720"/>
        <w:rPr>
          <w:rFonts w:ascii="Times New Roman" w:eastAsia="Times New Roman" w:hAnsi="Times New Roman"/>
          <w:color w:val="000000"/>
          <w:sz w:val="24"/>
          <w:szCs w:val="24"/>
        </w:rPr>
      </w:pPr>
    </w:p>
    <w:p w:rsidR="00B81B22" w:rsidRPr="006E2869" w:rsidRDefault="00B81B22" w:rsidP="00B81B22">
      <w:pPr>
        <w:shd w:val="clear" w:color="auto" w:fill="FFFFFF"/>
        <w:spacing w:after="0" w:line="240" w:lineRule="auto"/>
        <w:ind w:firstLine="720"/>
        <w:rPr>
          <w:rFonts w:ascii="Times New Roman" w:eastAsia="Times New Roman" w:hAnsi="Times New Roman"/>
          <w:color w:val="000000"/>
          <w:sz w:val="24"/>
          <w:szCs w:val="24"/>
        </w:rPr>
      </w:pPr>
      <w:r w:rsidRPr="00B81B22">
        <w:rPr>
          <w:rFonts w:ascii="Times New Roman" w:eastAsia="Times New Roman" w:hAnsi="Times New Roman"/>
          <w:color w:val="000000"/>
          <w:sz w:val="24"/>
          <w:szCs w:val="24"/>
        </w:rPr>
        <w:t xml:space="preserve">1. h. </w:t>
      </w:r>
      <w:r w:rsidRPr="00B81B22">
        <w:rPr>
          <w:rFonts w:ascii="Times New Roman" w:eastAsia="Times New Roman" w:hAnsi="Times New Roman"/>
          <w:color w:val="000000"/>
          <w:sz w:val="24"/>
          <w:szCs w:val="24"/>
        </w:rPr>
        <w:tab/>
        <w:t>“Gross Rent Tax” shall mean, with respect to any tax year, an amount equal to one and one-fourth percent (1.25%)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B81B22" w:rsidRDefault="00B81B22" w:rsidP="006E2869">
      <w:pPr>
        <w:shd w:val="clear" w:color="auto" w:fill="FFFFFF"/>
        <w:spacing w:after="0" w:line="240" w:lineRule="auto"/>
        <w:ind w:firstLine="720"/>
        <w:rPr>
          <w:rFonts w:ascii="Times New Roman" w:hAnsi="Times New Roman"/>
          <w:sz w:val="24"/>
          <w:szCs w:val="24"/>
        </w:rPr>
      </w:pPr>
    </w:p>
    <w:p w:rsidR="006E2869" w:rsidRPr="006E2869" w:rsidRDefault="006E2869" w:rsidP="006E2869">
      <w:pPr>
        <w:shd w:val="clear" w:color="auto" w:fill="FFFFFF"/>
        <w:spacing w:after="0" w:line="240" w:lineRule="auto"/>
        <w:ind w:firstLine="720"/>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Except as specifically amended above, all other terms, conditions, provisions and requirements of the Prior Resolution remain in full force and effect.</w:t>
      </w:r>
    </w:p>
    <w:p w:rsidR="00F13422" w:rsidRPr="006E2869" w:rsidRDefault="00F13422" w:rsidP="00F13422">
      <w:pPr>
        <w:spacing w:after="0" w:line="240" w:lineRule="auto"/>
        <w:rPr>
          <w:rFonts w:ascii="Times New Roman" w:hAnsi="Times New Roman"/>
          <w:sz w:val="24"/>
          <w:szCs w:val="24"/>
        </w:rPr>
      </w:pPr>
    </w:p>
    <w:p w:rsidR="0073286D" w:rsidRPr="006E2869" w:rsidRDefault="0073286D" w:rsidP="00F13422">
      <w:pPr>
        <w:shd w:val="clear" w:color="auto" w:fill="FFFFFF"/>
        <w:spacing w:after="0" w:line="240" w:lineRule="auto"/>
        <w:ind w:left="5910" w:hanging="4320"/>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Office of the City Clerk,     }                                                               </w:t>
      </w:r>
    </w:p>
    <w:p w:rsidR="0073286D" w:rsidRPr="006E2869" w:rsidRDefault="0073286D" w:rsidP="00F13422">
      <w:pPr>
        <w:shd w:val="clear" w:color="auto" w:fill="FFFFFF"/>
        <w:spacing w:after="0" w:line="240" w:lineRule="auto"/>
        <w:ind w:left="1590"/>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The City of New York        } ss.:</w:t>
      </w:r>
    </w:p>
    <w:p w:rsidR="0073286D" w:rsidRPr="006E2869"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B81B22">
        <w:rPr>
          <w:rFonts w:ascii="Times New Roman" w:eastAsia="Times New Roman" w:hAnsi="Times New Roman"/>
          <w:color w:val="000000"/>
          <w:sz w:val="24"/>
          <w:szCs w:val="24"/>
        </w:rPr>
        <w:t>August</w:t>
      </w:r>
      <w:r w:rsidR="00B021F4" w:rsidRPr="006E2869">
        <w:rPr>
          <w:rFonts w:ascii="Times New Roman" w:eastAsia="Times New Roman" w:hAnsi="Times New Roman"/>
          <w:color w:val="000000"/>
          <w:sz w:val="24"/>
          <w:szCs w:val="24"/>
        </w:rPr>
        <w:t xml:space="preserve"> </w:t>
      </w:r>
      <w:r w:rsidR="00E772E5" w:rsidRPr="006E2869">
        <w:rPr>
          <w:rFonts w:ascii="Times New Roman" w:eastAsia="Times New Roman" w:hAnsi="Times New Roman"/>
          <w:color w:val="000000"/>
          <w:sz w:val="24"/>
          <w:szCs w:val="24"/>
        </w:rPr>
        <w:t>1</w:t>
      </w:r>
      <w:r w:rsidR="00B81B22">
        <w:rPr>
          <w:rFonts w:ascii="Times New Roman" w:eastAsia="Times New Roman" w:hAnsi="Times New Roman"/>
          <w:color w:val="000000"/>
          <w:sz w:val="24"/>
          <w:szCs w:val="24"/>
        </w:rPr>
        <w:t>4</w:t>
      </w:r>
      <w:r w:rsidRPr="006E2869">
        <w:rPr>
          <w:rFonts w:ascii="Times New Roman" w:eastAsia="Times New Roman" w:hAnsi="Times New Roman"/>
          <w:color w:val="000000"/>
          <w:sz w:val="24"/>
          <w:szCs w:val="24"/>
        </w:rPr>
        <w:t>, 201</w:t>
      </w:r>
      <w:r w:rsidR="001B6394" w:rsidRPr="006E2869">
        <w:rPr>
          <w:rFonts w:ascii="Times New Roman" w:eastAsia="Times New Roman" w:hAnsi="Times New Roman"/>
          <w:color w:val="000000"/>
          <w:sz w:val="24"/>
          <w:szCs w:val="24"/>
        </w:rPr>
        <w:t>9</w:t>
      </w:r>
      <w:r w:rsidRPr="006E2869">
        <w:rPr>
          <w:rFonts w:ascii="Times New Roman" w:eastAsia="Times New Roman" w:hAnsi="Times New Roman"/>
          <w:color w:val="000000"/>
          <w:sz w:val="24"/>
          <w:szCs w:val="24"/>
        </w:rPr>
        <w:t>, on file in this office.</w:t>
      </w:r>
    </w:p>
    <w:p w:rsidR="0073286D" w:rsidRPr="006E2869" w:rsidRDefault="0073286D" w:rsidP="00F13422">
      <w:pPr>
        <w:shd w:val="clear" w:color="auto" w:fill="FFFFFF"/>
        <w:spacing w:after="0" w:line="240" w:lineRule="auto"/>
        <w:ind w:firstLine="5040"/>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 </w:t>
      </w:r>
    </w:p>
    <w:p w:rsidR="0073286D" w:rsidRPr="006E2869" w:rsidRDefault="0073286D" w:rsidP="00F13422">
      <w:pPr>
        <w:shd w:val="clear" w:color="auto" w:fill="FFFFFF"/>
        <w:spacing w:after="0" w:line="240" w:lineRule="auto"/>
        <w:ind w:firstLine="5040"/>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_______________________</w:t>
      </w:r>
    </w:p>
    <w:p w:rsidR="0073286D" w:rsidRPr="006E2869" w:rsidRDefault="0073286D" w:rsidP="00F13422">
      <w:pPr>
        <w:shd w:val="clear" w:color="auto" w:fill="FFFFFF"/>
        <w:spacing w:after="0" w:line="240" w:lineRule="auto"/>
        <w:ind w:firstLine="5040"/>
        <w:jc w:val="both"/>
        <w:rPr>
          <w:rFonts w:ascii="Times New Roman" w:eastAsia="Times New Roman" w:hAnsi="Times New Roman"/>
          <w:color w:val="000000"/>
          <w:sz w:val="24"/>
          <w:szCs w:val="24"/>
        </w:rPr>
      </w:pPr>
      <w:r w:rsidRPr="006E2869">
        <w:rPr>
          <w:rFonts w:ascii="Times New Roman" w:eastAsia="Times New Roman" w:hAnsi="Times New Roman"/>
          <w:color w:val="000000"/>
          <w:sz w:val="24"/>
          <w:szCs w:val="24"/>
        </w:rPr>
        <w:t>City Clerk, Clerk of Council</w:t>
      </w:r>
    </w:p>
    <w:p w:rsidR="00B81B22" w:rsidRDefault="00B81B22" w:rsidP="00F13422">
      <w:pPr>
        <w:spacing w:after="0" w:line="240" w:lineRule="auto"/>
        <w:rPr>
          <w:rFonts w:ascii="Times New Roman" w:eastAsia="Times New Roman" w:hAnsi="Times New Roman"/>
          <w:color w:val="000000"/>
          <w:sz w:val="24"/>
          <w:szCs w:val="24"/>
          <w:u w:val="single"/>
        </w:rPr>
      </w:pPr>
    </w:p>
    <w:p w:rsidR="00B81B22" w:rsidRDefault="00B81B22" w:rsidP="00B81B22">
      <w:pPr>
        <w:shd w:val="clear" w:color="auto" w:fill="FFFFFF"/>
        <w:spacing w:after="0" w:line="240" w:lineRule="auto"/>
        <w:rPr>
          <w:rFonts w:ascii="Times New Roman" w:eastAsia="Times New Roman" w:hAnsi="Times New Roman"/>
          <w:color w:val="000000"/>
          <w:sz w:val="24"/>
          <w:szCs w:val="24"/>
        </w:rPr>
        <w:sectPr w:rsidR="00B81B22" w:rsidSect="00100F31">
          <w:headerReference w:type="first" r:id="rId8"/>
          <w:pgSz w:w="12240" w:h="15840"/>
          <w:pgMar w:top="1440" w:right="1440" w:bottom="1152" w:left="1440" w:header="720" w:footer="720" w:gutter="0"/>
          <w:cols w:space="720"/>
          <w:docGrid w:linePitch="360"/>
        </w:sectPr>
      </w:pPr>
    </w:p>
    <w:p w:rsidR="00B81B22" w:rsidRPr="00CF4B50" w:rsidRDefault="00B81B22" w:rsidP="00B81B22">
      <w:pPr>
        <w:shd w:val="clear" w:color="auto" w:fill="FFFFFF"/>
        <w:spacing w:after="0" w:line="240" w:lineRule="auto"/>
        <w:jc w:val="center"/>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lastRenderedPageBreak/>
        <w:t>THE COUNCIL OF THE CITY OF NEW YORK</w:t>
      </w:r>
    </w:p>
    <w:p w:rsidR="00B81B22" w:rsidRPr="00CF4B50" w:rsidRDefault="00B81B22" w:rsidP="00B81B22">
      <w:pPr>
        <w:shd w:val="clear" w:color="auto" w:fill="FFFFFF"/>
        <w:spacing w:after="0" w:line="240" w:lineRule="auto"/>
        <w:jc w:val="center"/>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xml:space="preserve">RES. NO. </w:t>
      </w:r>
      <w:r>
        <w:rPr>
          <w:rFonts w:ascii="Times New Roman" w:eastAsia="Times New Roman" w:hAnsi="Times New Roman"/>
          <w:color w:val="000000"/>
          <w:sz w:val="24"/>
          <w:szCs w:val="24"/>
        </w:rPr>
        <w:t>687</w:t>
      </w:r>
    </w:p>
    <w:p w:rsidR="00B81B22" w:rsidRPr="00CF4B50" w:rsidRDefault="00B81B22" w:rsidP="00B81B22">
      <w:pPr>
        <w:shd w:val="clear" w:color="auto" w:fill="FFFFFF"/>
        <w:spacing w:after="0" w:line="240" w:lineRule="auto"/>
        <w:jc w:val="center"/>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jc w:val="both"/>
        <w:rPr>
          <w:rFonts w:ascii="Times New Roman" w:eastAsia="Times New Roman" w:hAnsi="Times New Roman"/>
          <w:vanish/>
          <w:color w:val="000000"/>
          <w:sz w:val="24"/>
          <w:szCs w:val="24"/>
        </w:rPr>
      </w:pPr>
      <w:r w:rsidRPr="00CF4B50">
        <w:rPr>
          <w:rFonts w:ascii="Times New Roman" w:eastAsia="Times New Roman" w:hAnsi="Times New Roman"/>
          <w:vanish/>
          <w:color w:val="000000"/>
          <w:sz w:val="24"/>
          <w:szCs w:val="24"/>
        </w:rPr>
        <w:t>..Title</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Resolution approving an exemption from real property taxes for property located at (</w:t>
      </w:r>
      <w:r w:rsidRPr="001B2DE1">
        <w:rPr>
          <w:rFonts w:ascii="Times New Roman" w:eastAsia="Times New Roman" w:hAnsi="Times New Roman"/>
          <w:color w:val="000000"/>
          <w:sz w:val="24"/>
          <w:szCs w:val="24"/>
        </w:rPr>
        <w:t xml:space="preserve">Block </w:t>
      </w:r>
      <w:r>
        <w:rPr>
          <w:rFonts w:ascii="Times New Roman" w:eastAsia="Times New Roman" w:hAnsi="Times New Roman"/>
          <w:color w:val="000000"/>
          <w:sz w:val="24"/>
          <w:szCs w:val="24"/>
        </w:rPr>
        <w:t xml:space="preserve">2870, Lot 61) Bronx, </w:t>
      </w:r>
      <w:r w:rsidRPr="00CF4B50">
        <w:rPr>
          <w:rFonts w:ascii="Times New Roman" w:eastAsia="Times New Roman" w:hAnsi="Times New Roman"/>
          <w:color w:val="000000"/>
          <w:sz w:val="24"/>
          <w:szCs w:val="24"/>
        </w:rPr>
        <w:t>pursuant to Section 577 of the Private Housing Finance Law (Preconsidered L.U. No.</w:t>
      </w:r>
      <w:r>
        <w:rPr>
          <w:rFonts w:ascii="Times New Roman" w:eastAsia="Times New Roman" w:hAnsi="Times New Roman"/>
          <w:color w:val="000000"/>
          <w:sz w:val="24"/>
          <w:szCs w:val="24"/>
        </w:rPr>
        <w:t xml:space="preserve"> 298</w:t>
      </w:r>
      <w:r w:rsidRPr="00CF4B50">
        <w:rPr>
          <w:rFonts w:ascii="Times New Roman" w:eastAsia="Times New Roman" w:hAnsi="Times New Roman"/>
          <w:color w:val="000000"/>
          <w:sz w:val="24"/>
          <w:szCs w:val="24"/>
        </w:rPr>
        <w:t>).</w:t>
      </w:r>
    </w:p>
    <w:p w:rsidR="00B81B22" w:rsidRPr="00CF4B50" w:rsidRDefault="00B81B22" w:rsidP="00B81B22">
      <w:pPr>
        <w:shd w:val="clear" w:color="auto" w:fill="FFFFFF"/>
        <w:spacing w:after="0" w:line="240" w:lineRule="auto"/>
        <w:jc w:val="both"/>
        <w:rPr>
          <w:rFonts w:ascii="Times New Roman" w:eastAsia="Times New Roman" w:hAnsi="Times New Roman"/>
          <w:vanish/>
          <w:color w:val="000000"/>
          <w:sz w:val="24"/>
          <w:szCs w:val="24"/>
        </w:rPr>
      </w:pPr>
      <w:r w:rsidRPr="00CF4B50">
        <w:rPr>
          <w:rFonts w:ascii="Times New Roman" w:eastAsia="Times New Roman" w:hAnsi="Times New Roman"/>
          <w:vanish/>
          <w:color w:val="000000"/>
          <w:sz w:val="24"/>
          <w:szCs w:val="24"/>
        </w:rPr>
        <w:t>..Body</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By Council Member Dromm</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ind w:firstLine="720"/>
        <w:jc w:val="both"/>
        <w:rPr>
          <w:rFonts w:ascii="Times New Roman" w:eastAsia="Times New Roman" w:hAnsi="Times New Roman"/>
          <w:color w:val="000000"/>
          <w:sz w:val="24"/>
          <w:szCs w:val="24"/>
        </w:rPr>
      </w:pPr>
      <w:r w:rsidRPr="00CF4B50">
        <w:rPr>
          <w:rFonts w:ascii="Times New Roman" w:eastAsia="Times New Roman" w:hAnsi="Times New Roman"/>
          <w:b/>
          <w:bCs/>
          <w:color w:val="000000"/>
          <w:sz w:val="24"/>
          <w:szCs w:val="24"/>
        </w:rPr>
        <w:t>WHEREAS</w:t>
      </w:r>
      <w:r w:rsidRPr="00CF4B50">
        <w:rPr>
          <w:rFonts w:ascii="Times New Roman" w:eastAsia="Times New Roman" w:hAnsi="Times New Roman"/>
          <w:color w:val="000000"/>
          <w:sz w:val="24"/>
          <w:szCs w:val="24"/>
        </w:rPr>
        <w:t xml:space="preserve">, the New York City Department of Housing Preservation and Development (“HPD”) submitted to the Council its request dated November </w:t>
      </w:r>
      <w:r>
        <w:rPr>
          <w:rFonts w:ascii="Times New Roman" w:eastAsia="Times New Roman" w:hAnsi="Times New Roman"/>
          <w:color w:val="000000"/>
          <w:sz w:val="24"/>
          <w:szCs w:val="24"/>
        </w:rPr>
        <w:t>29</w:t>
      </w:r>
      <w:r w:rsidRPr="00CF4B50">
        <w:rPr>
          <w:rFonts w:ascii="Times New Roman" w:eastAsia="Times New Roman" w:hAnsi="Times New Roman"/>
          <w:color w:val="000000"/>
          <w:sz w:val="24"/>
          <w:szCs w:val="24"/>
        </w:rPr>
        <w:t>, 2018 that the Council take the following action regarding a housing project located</w:t>
      </w:r>
      <w:r w:rsidRPr="00CF4B50">
        <w:rPr>
          <w:rFonts w:ascii="Times New Roman" w:eastAsia="Times New Roman" w:hAnsi="Times New Roman"/>
          <w:b/>
          <w:bCs/>
          <w:color w:val="000000"/>
          <w:sz w:val="24"/>
          <w:szCs w:val="24"/>
        </w:rPr>
        <w:t> </w:t>
      </w:r>
      <w:r w:rsidRPr="00CF4B50">
        <w:rPr>
          <w:rFonts w:ascii="Times New Roman" w:eastAsia="Times New Roman" w:hAnsi="Times New Roman"/>
          <w:color w:val="000000"/>
          <w:sz w:val="24"/>
          <w:szCs w:val="24"/>
        </w:rPr>
        <w:t>at (</w:t>
      </w:r>
      <w:r w:rsidRPr="001B2DE1">
        <w:rPr>
          <w:rFonts w:ascii="Times New Roman" w:eastAsia="Times New Roman" w:hAnsi="Times New Roman"/>
          <w:color w:val="000000"/>
          <w:sz w:val="24"/>
          <w:szCs w:val="24"/>
        </w:rPr>
        <w:t xml:space="preserve">Block </w:t>
      </w:r>
      <w:r>
        <w:rPr>
          <w:rFonts w:ascii="Times New Roman" w:eastAsia="Times New Roman" w:hAnsi="Times New Roman"/>
          <w:color w:val="000000"/>
          <w:sz w:val="24"/>
          <w:szCs w:val="24"/>
        </w:rPr>
        <w:t>2870, Lot 61) Bronx</w:t>
      </w:r>
      <w:r w:rsidRPr="00CF4B50">
        <w:rPr>
          <w:rFonts w:ascii="Times New Roman" w:eastAsia="Times New Roman" w:hAnsi="Times New Roman"/>
          <w:color w:val="000000"/>
          <w:sz w:val="24"/>
          <w:szCs w:val="24"/>
        </w:rPr>
        <w:t>:</w:t>
      </w:r>
    </w:p>
    <w:p w:rsidR="00B81B22" w:rsidRPr="00CF4B50" w:rsidRDefault="00B81B22" w:rsidP="00B81B22">
      <w:pPr>
        <w:shd w:val="clear" w:color="auto" w:fill="FFFFFF"/>
        <w:spacing w:after="0" w:line="240" w:lineRule="auto"/>
        <w:ind w:left="870"/>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ind w:left="870"/>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ind w:firstLine="720"/>
        <w:jc w:val="both"/>
        <w:rPr>
          <w:rFonts w:ascii="Times New Roman" w:eastAsia="Times New Roman" w:hAnsi="Times New Roman"/>
          <w:color w:val="000000"/>
          <w:sz w:val="24"/>
          <w:szCs w:val="24"/>
        </w:rPr>
      </w:pPr>
      <w:r w:rsidRPr="00CF4B50">
        <w:rPr>
          <w:rFonts w:ascii="Times New Roman" w:eastAsia="Times New Roman" w:hAnsi="Times New Roman"/>
          <w:b/>
          <w:bCs/>
          <w:color w:val="000000"/>
          <w:sz w:val="24"/>
          <w:szCs w:val="24"/>
        </w:rPr>
        <w:t>WHEREAS</w:t>
      </w:r>
      <w:r w:rsidRPr="00CF4B50">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ind w:firstLine="720"/>
        <w:jc w:val="both"/>
        <w:rPr>
          <w:rFonts w:ascii="Times New Roman" w:eastAsia="Times New Roman" w:hAnsi="Times New Roman"/>
          <w:color w:val="000000"/>
          <w:sz w:val="24"/>
          <w:szCs w:val="24"/>
        </w:rPr>
      </w:pPr>
      <w:r w:rsidRPr="00CF4B50">
        <w:rPr>
          <w:rFonts w:ascii="Times New Roman" w:eastAsia="Times New Roman" w:hAnsi="Times New Roman"/>
          <w:b/>
          <w:bCs/>
          <w:color w:val="000000"/>
          <w:sz w:val="24"/>
          <w:szCs w:val="24"/>
        </w:rPr>
        <w:t>WHEREAS</w:t>
      </w:r>
      <w:r w:rsidRPr="00CF4B50">
        <w:rPr>
          <w:rFonts w:ascii="Times New Roman" w:eastAsia="Times New Roman" w:hAnsi="Times New Roman"/>
          <w:color w:val="000000"/>
          <w:sz w:val="24"/>
          <w:szCs w:val="24"/>
        </w:rPr>
        <w:t>, the Council has considered the financial implications relating to the Tax Exemption;</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ind w:firstLine="720"/>
        <w:jc w:val="both"/>
        <w:rPr>
          <w:rFonts w:ascii="Times New Roman" w:eastAsia="Times New Roman" w:hAnsi="Times New Roman"/>
          <w:color w:val="000000"/>
          <w:sz w:val="24"/>
          <w:szCs w:val="24"/>
        </w:rPr>
      </w:pPr>
      <w:r w:rsidRPr="00CF4B50">
        <w:rPr>
          <w:rFonts w:ascii="Times New Roman" w:eastAsia="Times New Roman" w:hAnsi="Times New Roman"/>
          <w:b/>
          <w:bCs/>
          <w:color w:val="000000"/>
          <w:sz w:val="24"/>
          <w:szCs w:val="24"/>
        </w:rPr>
        <w:t>RESOLVED:</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The Council hereby grants an exemption from real property taxes as follows:</w:t>
      </w:r>
    </w:p>
    <w:p w:rsidR="00B81B22" w:rsidRPr="00CF4B50" w:rsidRDefault="00B81B22" w:rsidP="00B81B22">
      <w:pPr>
        <w:shd w:val="clear" w:color="auto" w:fill="FFFFFF"/>
        <w:spacing w:after="0" w:line="240" w:lineRule="auto"/>
        <w:jc w:val="both"/>
        <w:rPr>
          <w:rFonts w:ascii="Times New Roman" w:eastAsia="Times New Roman" w:hAnsi="Times New Roman"/>
          <w:color w:val="000000"/>
          <w:sz w:val="24"/>
          <w:szCs w:val="24"/>
        </w:rPr>
      </w:pPr>
      <w:r w:rsidRPr="00CF4B50">
        <w:rPr>
          <w:rFonts w:ascii="Times New Roman" w:eastAsia="Times New Roman" w:hAnsi="Times New Roman"/>
          <w:color w:val="000000"/>
          <w:sz w:val="24"/>
          <w:szCs w:val="24"/>
        </w:rPr>
        <w:t> </w:t>
      </w:r>
    </w:p>
    <w:p w:rsidR="00B81B22" w:rsidRPr="00905C63" w:rsidRDefault="00B81B22" w:rsidP="00B81B22">
      <w:pPr>
        <w:pStyle w:val="BodyText"/>
        <w:numPr>
          <w:ilvl w:val="0"/>
          <w:numId w:val="14"/>
        </w:numPr>
        <w:spacing w:after="0"/>
        <w:ind w:left="360"/>
        <w:rPr>
          <w:szCs w:val="24"/>
        </w:rPr>
      </w:pPr>
      <w:r w:rsidRPr="00CF4B50">
        <w:rPr>
          <w:szCs w:val="24"/>
        </w:rPr>
        <w:t xml:space="preserve">For the </w:t>
      </w:r>
      <w:r w:rsidRPr="00905C63">
        <w:rPr>
          <w:szCs w:val="24"/>
        </w:rPr>
        <w:t>purposes hereof, the following terms shall have the following meanings:</w:t>
      </w:r>
    </w:p>
    <w:p w:rsidR="00B81B22" w:rsidRPr="00905C63" w:rsidRDefault="00B81B22" w:rsidP="00B81B22">
      <w:pPr>
        <w:pStyle w:val="BodyText"/>
        <w:spacing w:after="0"/>
        <w:ind w:left="360"/>
        <w:rPr>
          <w:szCs w:val="24"/>
        </w:rPr>
      </w:pPr>
    </w:p>
    <w:p w:rsidR="00B81B22"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 xml:space="preserve">“Company” shall mean </w:t>
      </w:r>
      <w:r>
        <w:rPr>
          <w:rFonts w:ascii="Times New Roman" w:hAnsi="Times New Roman"/>
          <w:sz w:val="24"/>
          <w:szCs w:val="24"/>
        </w:rPr>
        <w:t>1975</w:t>
      </w:r>
      <w:r w:rsidRPr="00905C63">
        <w:rPr>
          <w:rFonts w:ascii="Times New Roman" w:hAnsi="Times New Roman"/>
          <w:sz w:val="24"/>
          <w:szCs w:val="24"/>
        </w:rPr>
        <w:t xml:space="preserve"> Realty Associates LLC or any other entity that acquires the beneficial interest in the Exemption Area with the prior written consent of HPD.</w:t>
      </w:r>
    </w:p>
    <w:p w:rsidR="00B81B22" w:rsidRPr="00905C63"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Effective Date” shall mean the later of (i) the date of conveyance of the Exemption Area to the HDFC, or (ii) the date that HPD and the Owner enter into the Regulatory Agreement.</w:t>
      </w:r>
    </w:p>
    <w:p w:rsidR="00B81B22" w:rsidRPr="00905C63"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“Exemption” shall mean the exemption from real property taxation provided hereunder.</w:t>
      </w:r>
    </w:p>
    <w:p w:rsidR="00B81B22"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147654"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147654">
        <w:rPr>
          <w:rFonts w:ascii="Times New Roman" w:hAnsi="Times New Roman"/>
          <w:sz w:val="24"/>
          <w:szCs w:val="24"/>
        </w:rPr>
        <w:t>“Exemption Area” shall mean the real property located in the Borough of the Bronx, City and State of New York, identified as Block 2870, Lot 61 on the Tax Map of the City of New York.</w:t>
      </w:r>
    </w:p>
    <w:p w:rsidR="00B81B22" w:rsidRPr="00905C63"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F9428F" w:rsidRPr="00F9428F"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color w:val="000000"/>
          <w:sz w:val="24"/>
          <w:szCs w:val="24"/>
        </w:rPr>
      </w:pPr>
      <w:r w:rsidRPr="00905C63">
        <w:rPr>
          <w:rFonts w:ascii="Times New Roman" w:hAnsi="Times New Roman"/>
          <w:sz w:val="24"/>
          <w:szCs w:val="24"/>
        </w:rPr>
        <w:t xml:space="preserve">“Expiration Date” shall mean the earlier to occur of (i) a date which is 30 years from the Effective Date, (ii) the date of the expiration or termination of the </w:t>
      </w:r>
    </w:p>
    <w:p w:rsidR="00F9428F" w:rsidRDefault="00F9428F" w:rsidP="00F9428F">
      <w:pPr>
        <w:pStyle w:val="ListParagraph"/>
        <w:rPr>
          <w:rFonts w:ascii="Times New Roman" w:hAnsi="Times New Roman"/>
          <w:sz w:val="24"/>
          <w:szCs w:val="24"/>
        </w:rPr>
      </w:pPr>
    </w:p>
    <w:p w:rsidR="00B81B22" w:rsidRPr="00905C63" w:rsidRDefault="00B81B22" w:rsidP="00F9428F">
      <w:pPr>
        <w:overflowPunct w:val="0"/>
        <w:autoSpaceDE w:val="0"/>
        <w:autoSpaceDN w:val="0"/>
        <w:adjustRightInd w:val="0"/>
        <w:spacing w:after="0" w:line="240" w:lineRule="auto"/>
        <w:ind w:left="1440"/>
        <w:textAlignment w:val="baseline"/>
        <w:rPr>
          <w:rFonts w:ascii="Times New Roman" w:hAnsi="Times New Roman"/>
          <w:color w:val="000000"/>
          <w:sz w:val="24"/>
          <w:szCs w:val="24"/>
        </w:rPr>
      </w:pPr>
      <w:r w:rsidRPr="00905C63">
        <w:rPr>
          <w:rFonts w:ascii="Times New Roman" w:hAnsi="Times New Roman"/>
          <w:sz w:val="24"/>
          <w:szCs w:val="24"/>
        </w:rPr>
        <w:lastRenderedPageBreak/>
        <w:t>Regulatory Agreement, or (iii) the date upon which the Exemption Area ceases to be owned by either a housing development fund company or an entity wholly controlled by a housing development fund company.</w:t>
      </w:r>
    </w:p>
    <w:p w:rsidR="00B81B22" w:rsidRPr="00905C63"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905C63"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B81B22"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905C63"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“Gross Rent Deadline” shall mean three hundred</w:t>
      </w:r>
      <w:r w:rsidRPr="00905C63">
        <w:rPr>
          <w:rFonts w:ascii="Times New Roman" w:hAnsi="Times New Roman"/>
          <w:b/>
          <w:sz w:val="24"/>
          <w:szCs w:val="24"/>
        </w:rPr>
        <w:t xml:space="preserve"> </w:t>
      </w:r>
      <w:r w:rsidRPr="00905C63">
        <w:rPr>
          <w:rFonts w:ascii="Times New Roman" w:hAnsi="Times New Roman"/>
          <w:sz w:val="24"/>
          <w:szCs w:val="24"/>
        </w:rPr>
        <w:t>and sixty-five (365)</w:t>
      </w:r>
      <w:r w:rsidRPr="00905C63">
        <w:rPr>
          <w:rFonts w:ascii="Times New Roman" w:hAnsi="Times New Roman"/>
          <w:b/>
          <w:sz w:val="24"/>
          <w:szCs w:val="24"/>
        </w:rPr>
        <w:t xml:space="preserve"> </w:t>
      </w:r>
      <w:r w:rsidRPr="00905C63">
        <w:rPr>
          <w:rFonts w:ascii="Times New Roman" w:hAnsi="Times New Roman"/>
          <w:sz w:val="24"/>
          <w:szCs w:val="24"/>
        </w:rPr>
        <w:t>days from the date of the</w:t>
      </w:r>
      <w:r w:rsidRPr="00905C63">
        <w:rPr>
          <w:rFonts w:ascii="Times New Roman" w:hAnsi="Times New Roman"/>
          <w:b/>
          <w:sz w:val="24"/>
          <w:szCs w:val="24"/>
        </w:rPr>
        <w:t xml:space="preserve"> </w:t>
      </w:r>
      <w:r w:rsidRPr="00905C63">
        <w:rPr>
          <w:rFonts w:ascii="Times New Roman" w:hAnsi="Times New Roman"/>
          <w:sz w:val="24"/>
          <w:szCs w:val="24"/>
        </w:rPr>
        <w:t>HPD letter</w:t>
      </w:r>
      <w:r w:rsidRPr="00905C63">
        <w:rPr>
          <w:rFonts w:ascii="Times New Roman" w:hAnsi="Times New Roman"/>
          <w:b/>
          <w:sz w:val="24"/>
          <w:szCs w:val="24"/>
        </w:rPr>
        <w:t xml:space="preserve"> </w:t>
      </w:r>
      <w:r w:rsidRPr="00905C63">
        <w:rPr>
          <w:rFonts w:ascii="Times New Roman" w:hAnsi="Times New Roman"/>
          <w:sz w:val="24"/>
          <w:szCs w:val="24"/>
        </w:rPr>
        <w:t>requesting</w:t>
      </w:r>
      <w:r w:rsidRPr="00905C63">
        <w:rPr>
          <w:rFonts w:ascii="Times New Roman" w:hAnsi="Times New Roman"/>
          <w:b/>
          <w:sz w:val="24"/>
          <w:szCs w:val="24"/>
        </w:rPr>
        <w:t xml:space="preserve"> </w:t>
      </w:r>
      <w:r w:rsidRPr="00905C63">
        <w:rPr>
          <w:rFonts w:ascii="Times New Roman" w:hAnsi="Times New Roman"/>
          <w:sz w:val="24"/>
          <w:szCs w:val="24"/>
        </w:rPr>
        <w:t>the information that HPD needs to calculate the Gross Rent Tax for the applicable tax year.</w:t>
      </w:r>
    </w:p>
    <w:p w:rsidR="00B81B22" w:rsidRPr="00905C63" w:rsidRDefault="00B81B22" w:rsidP="00B81B22">
      <w:pPr>
        <w:overflowPunct w:val="0"/>
        <w:autoSpaceDE w:val="0"/>
        <w:autoSpaceDN w:val="0"/>
        <w:adjustRightInd w:val="0"/>
        <w:spacing w:after="0" w:line="240" w:lineRule="auto"/>
        <w:ind w:left="1440"/>
        <w:textAlignment w:val="baseline"/>
        <w:rPr>
          <w:rFonts w:ascii="Times New Roman" w:hAnsi="Times New Roman"/>
          <w:bCs/>
          <w:sz w:val="24"/>
          <w:szCs w:val="24"/>
        </w:rPr>
      </w:pPr>
    </w:p>
    <w:p w:rsidR="00B81B22" w:rsidRPr="00905C63"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bCs/>
          <w:sz w:val="24"/>
          <w:szCs w:val="24"/>
        </w:rPr>
      </w:pPr>
      <w:r w:rsidRPr="00905C63">
        <w:rPr>
          <w:rFonts w:ascii="Times New Roman" w:hAnsi="Times New Roman"/>
          <w:color w:val="000000"/>
          <w:sz w:val="24"/>
          <w:szCs w:val="24"/>
        </w:rPr>
        <w:t>“Gross Rent Tax” shall mean, with respect to any tax year, an amount equal to four and one-half percent (</w:t>
      </w:r>
      <w:r>
        <w:rPr>
          <w:rFonts w:ascii="Times New Roman" w:hAnsi="Times New Roman"/>
          <w:color w:val="000000"/>
          <w:sz w:val="24"/>
          <w:szCs w:val="24"/>
        </w:rPr>
        <w:t>1.25</w:t>
      </w:r>
      <w:r w:rsidRPr="00905C63">
        <w:rPr>
          <w:rFonts w:ascii="Times New Roman" w:hAnsi="Times New Roman"/>
          <w:color w:val="000000"/>
          <w:sz w:val="24"/>
          <w:szCs w:val="24"/>
        </w:rPr>
        <w:t xml:space="preserve"> %) of the Gross Rent in such tax year; </w:t>
      </w:r>
      <w:r w:rsidRPr="00905C63">
        <w:rPr>
          <w:rFonts w:ascii="Times New Roman" w:hAnsi="Times New Roman"/>
          <w:sz w:val="24"/>
          <w:szCs w:val="24"/>
        </w:rPr>
        <w:t>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B81B22"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905C63"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 xml:space="preserve">“HDFC” shall mean </w:t>
      </w:r>
      <w:r>
        <w:rPr>
          <w:rFonts w:ascii="Times New Roman" w:hAnsi="Times New Roman"/>
          <w:sz w:val="24"/>
          <w:szCs w:val="24"/>
        </w:rPr>
        <w:t>1975</w:t>
      </w:r>
      <w:r w:rsidRPr="00905C63">
        <w:rPr>
          <w:rFonts w:ascii="Times New Roman" w:hAnsi="Times New Roman"/>
          <w:sz w:val="24"/>
          <w:szCs w:val="24"/>
        </w:rPr>
        <w:t xml:space="preserve"> Realty Housing Development Fund Company, Inc. or a housing development fund company that acquires the Exemption Area with the prior written consent of HPD.</w:t>
      </w:r>
    </w:p>
    <w:p w:rsidR="00B81B22"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“HPD” shall mean the Department of Housing Preservation and Development of the City of New York.</w:t>
      </w:r>
    </w:p>
    <w:p w:rsidR="00B81B22" w:rsidRPr="00147654"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147654"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147654">
        <w:rPr>
          <w:rFonts w:ascii="Times New Roman" w:hAnsi="Times New Roman"/>
          <w:sz w:val="24"/>
          <w:szCs w:val="24"/>
        </w:rPr>
        <w:t>“J-51 Benefits” shall mean any tax benefits pursuant to Section 489 of the Real Property Tax Law which are in effect on the Effective Date.</w:t>
      </w:r>
    </w:p>
    <w:p w:rsidR="00B81B22"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905C63"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“Owner” shall mean, collectively, the HDFC and the Company.</w:t>
      </w:r>
    </w:p>
    <w:p w:rsidR="00B81B22" w:rsidRDefault="00B81B22" w:rsidP="00B81B22">
      <w:pPr>
        <w:overflowPunct w:val="0"/>
        <w:autoSpaceDE w:val="0"/>
        <w:autoSpaceDN w:val="0"/>
        <w:adjustRightInd w:val="0"/>
        <w:spacing w:after="0" w:line="240" w:lineRule="auto"/>
        <w:ind w:left="1440"/>
        <w:textAlignment w:val="baseline"/>
        <w:rPr>
          <w:rFonts w:ascii="Times New Roman" w:hAnsi="Times New Roman"/>
          <w:sz w:val="24"/>
          <w:szCs w:val="24"/>
        </w:rPr>
      </w:pPr>
    </w:p>
    <w:p w:rsidR="00B81B22" w:rsidRPr="00905C63" w:rsidRDefault="00B81B22" w:rsidP="00B81B22">
      <w:pPr>
        <w:numPr>
          <w:ilvl w:val="1"/>
          <w:numId w:val="25"/>
        </w:numPr>
        <w:overflowPunct w:val="0"/>
        <w:autoSpaceDE w:val="0"/>
        <w:autoSpaceDN w:val="0"/>
        <w:adjustRightInd w:val="0"/>
        <w:spacing w:after="0" w:line="240" w:lineRule="auto"/>
        <w:ind w:left="1440" w:hanging="720"/>
        <w:textAlignment w:val="baseline"/>
        <w:rPr>
          <w:rFonts w:ascii="Times New Roman" w:hAnsi="Times New Roman"/>
          <w:sz w:val="24"/>
          <w:szCs w:val="24"/>
        </w:rPr>
      </w:pPr>
      <w:r w:rsidRPr="00905C63">
        <w:rPr>
          <w:rFonts w:ascii="Times New Roman" w:hAnsi="Times New Roman"/>
          <w:sz w:val="24"/>
          <w:szCs w:val="24"/>
        </w:rPr>
        <w:t>“Regulatory Agreement” shall mean the regulatory agreement between HPD and the Owner establishing certain controls upon the operation of the Exemption Area during the term of the Exemption.</w:t>
      </w:r>
    </w:p>
    <w:p w:rsidR="00B81B22" w:rsidRPr="00905C63" w:rsidRDefault="00B81B22" w:rsidP="00B81B22">
      <w:pPr>
        <w:pStyle w:val="BodyText"/>
        <w:spacing w:after="0"/>
        <w:rPr>
          <w:szCs w:val="24"/>
        </w:rPr>
      </w:pPr>
    </w:p>
    <w:p w:rsidR="00B81B22" w:rsidRDefault="00B81B22" w:rsidP="00B81B22">
      <w:pPr>
        <w:pStyle w:val="BodyText"/>
        <w:spacing w:after="0"/>
        <w:ind w:left="450" w:hanging="450"/>
        <w:rPr>
          <w:szCs w:val="24"/>
        </w:rPr>
      </w:pPr>
      <w:r>
        <w:rPr>
          <w:szCs w:val="24"/>
        </w:rPr>
        <w:t>2</w:t>
      </w:r>
      <w:r w:rsidRPr="00CF4B50">
        <w:rPr>
          <w:szCs w:val="24"/>
        </w:rPr>
        <w:t>.</w:t>
      </w:r>
      <w:r w:rsidRPr="00CF4B50">
        <w:rPr>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B81B22" w:rsidRDefault="00B81B22" w:rsidP="00B81B22">
      <w:pPr>
        <w:pStyle w:val="BodyText"/>
        <w:spacing w:after="0"/>
        <w:ind w:left="450" w:hanging="450"/>
        <w:rPr>
          <w:szCs w:val="24"/>
        </w:rPr>
      </w:pPr>
    </w:p>
    <w:p w:rsidR="00B81B22" w:rsidRPr="00CF4B50" w:rsidRDefault="00B81B22" w:rsidP="00B81B22">
      <w:pPr>
        <w:pStyle w:val="BodyText"/>
        <w:spacing w:after="0"/>
        <w:ind w:left="450" w:hanging="450"/>
        <w:rPr>
          <w:szCs w:val="24"/>
        </w:rPr>
      </w:pPr>
      <w:r>
        <w:rPr>
          <w:szCs w:val="24"/>
        </w:rPr>
        <w:t>3.</w:t>
      </w:r>
      <w:r>
        <w:rPr>
          <w:szCs w:val="24"/>
        </w:rPr>
        <w:tab/>
      </w:r>
      <w:r w:rsidRPr="00AB5C97">
        <w:rPr>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w:t>
      </w:r>
    </w:p>
    <w:p w:rsidR="00B81B22" w:rsidRDefault="00B81B22" w:rsidP="00B81B22">
      <w:pPr>
        <w:pStyle w:val="BodyText"/>
        <w:spacing w:after="0"/>
        <w:ind w:left="450" w:hanging="450"/>
        <w:rPr>
          <w:szCs w:val="24"/>
        </w:rPr>
      </w:pPr>
    </w:p>
    <w:p w:rsidR="00F9428F" w:rsidRDefault="00F9428F" w:rsidP="00F9428F">
      <w:pPr>
        <w:pStyle w:val="BodyText"/>
        <w:spacing w:after="0"/>
        <w:ind w:left="450" w:hanging="540"/>
        <w:rPr>
          <w:szCs w:val="24"/>
        </w:rPr>
      </w:pPr>
      <w:r>
        <w:rPr>
          <w:noProof/>
          <w:szCs w:val="24"/>
        </w:rPr>
        <w:lastRenderedPageBreak/>
        <w:drawing>
          <wp:inline distT="0" distB="0" distL="0" distR="0">
            <wp:extent cx="6126480" cy="8019288"/>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 687 - December 20 2018.jpg"/>
                    <pic:cNvPicPr/>
                  </pic:nvPicPr>
                  <pic:blipFill>
                    <a:blip r:embed="rId9">
                      <a:extLst>
                        <a:ext uri="{28A0092B-C50C-407E-A947-70E740481C1C}">
                          <a14:useLocalDpi xmlns:a14="http://schemas.microsoft.com/office/drawing/2010/main" val="0"/>
                        </a:ext>
                      </a:extLst>
                    </a:blip>
                    <a:stretch>
                      <a:fillRect/>
                    </a:stretch>
                  </pic:blipFill>
                  <pic:spPr>
                    <a:xfrm>
                      <a:off x="0" y="0"/>
                      <a:ext cx="6126480" cy="8019288"/>
                    </a:xfrm>
                    <a:prstGeom prst="rect">
                      <a:avLst/>
                    </a:prstGeom>
                  </pic:spPr>
                </pic:pic>
              </a:graphicData>
            </a:graphic>
          </wp:inline>
        </w:drawing>
      </w:r>
    </w:p>
    <w:sectPr w:rsidR="00F9428F" w:rsidSect="00F9428F">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97" w:rsidRDefault="001A6697" w:rsidP="001C3880">
      <w:pPr>
        <w:spacing w:after="0" w:line="240" w:lineRule="auto"/>
      </w:pPr>
      <w:r>
        <w:separator/>
      </w:r>
    </w:p>
  </w:endnote>
  <w:endnote w:type="continuationSeparator" w:id="0">
    <w:p w:rsidR="001A6697" w:rsidRDefault="001A6697"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97" w:rsidRDefault="001A6697" w:rsidP="001C3880">
      <w:pPr>
        <w:spacing w:after="0" w:line="240" w:lineRule="auto"/>
      </w:pPr>
      <w:r>
        <w:separator/>
      </w:r>
    </w:p>
  </w:footnote>
  <w:footnote w:type="continuationSeparator" w:id="0">
    <w:p w:rsidR="001A6697" w:rsidRDefault="001A6697" w:rsidP="001C3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8F" w:rsidRPr="00F9428F" w:rsidRDefault="00F9428F">
    <w:pPr>
      <w:pStyle w:val="Header"/>
      <w:rPr>
        <w:rFonts w:ascii="Times New Roman" w:hAnsi="Times New Roman"/>
        <w:sz w:val="24"/>
        <w:szCs w:val="24"/>
        <w:u w:val="single"/>
      </w:rPr>
    </w:pPr>
    <w:r w:rsidRPr="00B81B22">
      <w:rPr>
        <w:rFonts w:ascii="Times New Roman" w:hAnsi="Times New Roman"/>
        <w:sz w:val="24"/>
        <w:szCs w:val="24"/>
        <w:u w:val="single"/>
      </w:rPr>
      <w:t>Exhibit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E2CD9"/>
    <w:multiLevelType w:val="hybridMultilevel"/>
    <w:tmpl w:val="713A31B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4"/>
  </w:num>
  <w:num w:numId="8">
    <w:abstractNumId w:val="3"/>
  </w:num>
  <w:num w:numId="9">
    <w:abstractNumId w:val="21"/>
  </w:num>
  <w:num w:numId="10">
    <w:abstractNumId w:val="10"/>
  </w:num>
  <w:num w:numId="11">
    <w:abstractNumId w:val="23"/>
  </w:num>
  <w:num w:numId="12">
    <w:abstractNumId w:val="12"/>
  </w:num>
  <w:num w:numId="13">
    <w:abstractNumId w:val="18"/>
  </w:num>
  <w:num w:numId="14">
    <w:abstractNumId w:val="7"/>
  </w:num>
  <w:num w:numId="15">
    <w:abstractNumId w:val="2"/>
  </w:num>
  <w:num w:numId="16">
    <w:abstractNumId w:val="14"/>
  </w:num>
  <w:num w:numId="17">
    <w:abstractNumId w:val="16"/>
  </w:num>
  <w:num w:numId="18">
    <w:abstractNumId w:val="9"/>
  </w:num>
  <w:num w:numId="19">
    <w:abstractNumId w:val="13"/>
  </w:num>
  <w:num w:numId="20">
    <w:abstractNumId w:val="11"/>
  </w:num>
  <w:num w:numId="21">
    <w:abstractNumId w:val="22"/>
  </w:num>
  <w:num w:numId="22">
    <w:abstractNumId w:val="15"/>
  </w:num>
  <w:num w:numId="23">
    <w:abstractNumId w:val="17"/>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100F31"/>
    <w:rsid w:val="00162218"/>
    <w:rsid w:val="001A6697"/>
    <w:rsid w:val="001B6394"/>
    <w:rsid w:val="001C0E30"/>
    <w:rsid w:val="001C3880"/>
    <w:rsid w:val="001F1C36"/>
    <w:rsid w:val="00251EEF"/>
    <w:rsid w:val="00252740"/>
    <w:rsid w:val="00290DB9"/>
    <w:rsid w:val="002E2652"/>
    <w:rsid w:val="002E5D97"/>
    <w:rsid w:val="003614B8"/>
    <w:rsid w:val="00393C20"/>
    <w:rsid w:val="00396B30"/>
    <w:rsid w:val="003A3345"/>
    <w:rsid w:val="003C6904"/>
    <w:rsid w:val="004108FA"/>
    <w:rsid w:val="0041337C"/>
    <w:rsid w:val="00422734"/>
    <w:rsid w:val="00464656"/>
    <w:rsid w:val="004D0112"/>
    <w:rsid w:val="005517F7"/>
    <w:rsid w:val="00551FC9"/>
    <w:rsid w:val="00560EB8"/>
    <w:rsid w:val="00575550"/>
    <w:rsid w:val="0062559B"/>
    <w:rsid w:val="00670D5A"/>
    <w:rsid w:val="006A1945"/>
    <w:rsid w:val="006A7D8A"/>
    <w:rsid w:val="006D1B86"/>
    <w:rsid w:val="006D2754"/>
    <w:rsid w:val="006D58D3"/>
    <w:rsid w:val="006E2869"/>
    <w:rsid w:val="0073286D"/>
    <w:rsid w:val="00775B49"/>
    <w:rsid w:val="007805F9"/>
    <w:rsid w:val="00791DEE"/>
    <w:rsid w:val="007A66F7"/>
    <w:rsid w:val="007B5254"/>
    <w:rsid w:val="007B77C1"/>
    <w:rsid w:val="007C1196"/>
    <w:rsid w:val="0084137F"/>
    <w:rsid w:val="00854B17"/>
    <w:rsid w:val="00866B9B"/>
    <w:rsid w:val="008D35E5"/>
    <w:rsid w:val="008E6F5A"/>
    <w:rsid w:val="009414CB"/>
    <w:rsid w:val="009B0658"/>
    <w:rsid w:val="00A41220"/>
    <w:rsid w:val="00A47BD0"/>
    <w:rsid w:val="00A64149"/>
    <w:rsid w:val="00AB3565"/>
    <w:rsid w:val="00AE0401"/>
    <w:rsid w:val="00AE5070"/>
    <w:rsid w:val="00B0080F"/>
    <w:rsid w:val="00B021F4"/>
    <w:rsid w:val="00B17CA9"/>
    <w:rsid w:val="00B419C7"/>
    <w:rsid w:val="00B64CF7"/>
    <w:rsid w:val="00B71234"/>
    <w:rsid w:val="00B81B22"/>
    <w:rsid w:val="00BE749C"/>
    <w:rsid w:val="00C065C4"/>
    <w:rsid w:val="00C377BD"/>
    <w:rsid w:val="00C60101"/>
    <w:rsid w:val="00C625C8"/>
    <w:rsid w:val="00C76CF4"/>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FD3"/>
    <w:rsid w:val="00E772E5"/>
    <w:rsid w:val="00E83ABE"/>
    <w:rsid w:val="00E90A6B"/>
    <w:rsid w:val="00EA188C"/>
    <w:rsid w:val="00EF2B20"/>
    <w:rsid w:val="00F02B0C"/>
    <w:rsid w:val="00F108A9"/>
    <w:rsid w:val="00F13422"/>
    <w:rsid w:val="00F5422F"/>
    <w:rsid w:val="00F7715A"/>
    <w:rsid w:val="00F85D9A"/>
    <w:rsid w:val="00F9428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409D"/>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EA36-792D-4222-AD18-7D84B246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2019-08-13T20:29:00Z</dcterms:created>
  <dcterms:modified xsi:type="dcterms:W3CDTF">2019-08-14T14:37:00Z</dcterms:modified>
</cp:coreProperties>
</file>