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6426" w14:textId="77777777" w:rsidR="00C57D0B" w:rsidRPr="003E4257" w:rsidRDefault="000E488F" w:rsidP="00C57D0B">
      <w:pPr>
        <w:ind w:firstLine="720"/>
        <w:jc w:val="right"/>
      </w:pPr>
      <w:bookmarkStart w:id="0" w:name="_GoBack"/>
      <w:bookmarkEnd w:id="0"/>
      <w:r>
        <w:t>August 14</w:t>
      </w:r>
      <w:r w:rsidR="00C57D0B" w:rsidRPr="00C57D0B">
        <w:t>, 2019</w:t>
      </w:r>
    </w:p>
    <w:p w14:paraId="354CD395" w14:textId="77777777" w:rsidR="00C57D0B" w:rsidRPr="003E4257" w:rsidRDefault="00C57D0B" w:rsidP="00C57D0B">
      <w:r w:rsidRPr="003E4257">
        <w:t>TO:</w:t>
      </w:r>
      <w:r w:rsidRPr="003E4257">
        <w:tab/>
      </w:r>
      <w:r w:rsidRPr="003E4257">
        <w:tab/>
        <w:t>Hon. Daniel Dromm</w:t>
      </w:r>
    </w:p>
    <w:p w14:paraId="5F5DC36F" w14:textId="77777777" w:rsidR="00C57D0B" w:rsidRPr="003E4257" w:rsidRDefault="00C57D0B" w:rsidP="00C57D0B">
      <w:r w:rsidRPr="003E4257">
        <w:tab/>
      </w:r>
      <w:r w:rsidRPr="003E4257">
        <w:tab/>
        <w:t>Chair, Finance Committee</w:t>
      </w:r>
    </w:p>
    <w:p w14:paraId="2B1F5E08" w14:textId="77777777" w:rsidR="00C57D0B" w:rsidRPr="003E4257" w:rsidRDefault="00C57D0B" w:rsidP="00C57D0B">
      <w:pPr>
        <w:ind w:left="720" w:firstLine="720"/>
      </w:pPr>
      <w:r w:rsidRPr="003E4257">
        <w:t>Members of the Finance Committee</w:t>
      </w:r>
    </w:p>
    <w:p w14:paraId="6D67112D" w14:textId="77777777" w:rsidR="00C57D0B" w:rsidRPr="003E4257" w:rsidRDefault="00C57D0B" w:rsidP="00C57D0B"/>
    <w:p w14:paraId="260AD500" w14:textId="77777777" w:rsidR="00C57D0B" w:rsidRPr="003E4257" w:rsidRDefault="00C57D0B" w:rsidP="00C57D0B">
      <w:r w:rsidRPr="003E4257">
        <w:t>FROM:</w:t>
      </w:r>
      <w:r w:rsidRPr="003E4257">
        <w:tab/>
        <w:t>Rebecca Chasan, Senior Counsel, Finance Division</w:t>
      </w:r>
    </w:p>
    <w:p w14:paraId="089A18FA" w14:textId="77777777" w:rsidR="00C57D0B" w:rsidRDefault="000E488F" w:rsidP="00C57D0B">
      <w:pPr>
        <w:ind w:left="720" w:firstLine="720"/>
      </w:pPr>
      <w:r>
        <w:t>Noah Brick</w:t>
      </w:r>
      <w:r w:rsidR="00C57D0B" w:rsidRPr="003E4257">
        <w:t xml:space="preserve">, Assistant Counsel, Finance Division </w:t>
      </w:r>
    </w:p>
    <w:p w14:paraId="1ABCD63C" w14:textId="77777777" w:rsidR="00C57D0B" w:rsidRPr="003E4257" w:rsidRDefault="00C57D0B" w:rsidP="00C57D0B">
      <w:r w:rsidRPr="003E4257">
        <w:tab/>
      </w:r>
      <w:r w:rsidRPr="003E4257">
        <w:tab/>
      </w:r>
    </w:p>
    <w:p w14:paraId="5973841A" w14:textId="77777777" w:rsidR="00C57D0B" w:rsidRPr="003E4257" w:rsidRDefault="00C57D0B" w:rsidP="00C57D0B">
      <w:pPr>
        <w:ind w:left="1440" w:hanging="1440"/>
      </w:pPr>
      <w:r w:rsidRPr="003E4257">
        <w:t>RE:</w:t>
      </w:r>
      <w:r w:rsidRPr="003E4257">
        <w:tab/>
        <w:t xml:space="preserve">Finance Committee </w:t>
      </w:r>
      <w:r w:rsidRPr="00C57D0B">
        <w:t xml:space="preserve">Agenda of </w:t>
      </w:r>
      <w:r w:rsidR="000E488F">
        <w:t>August 14</w:t>
      </w:r>
      <w:r w:rsidRPr="00C57D0B">
        <w:t>, 2019</w:t>
      </w:r>
      <w:r>
        <w:t xml:space="preserve"> – </w:t>
      </w:r>
      <w:r w:rsidRPr="003E4257">
        <w:t>Resolution</w:t>
      </w:r>
      <w:r w:rsidR="000E488F">
        <w:t>s</w:t>
      </w:r>
      <w:r w:rsidRPr="003E4257">
        <w:t xml:space="preserve"> approving a tax </w:t>
      </w:r>
      <w:r w:rsidRPr="001C2722">
        <w:t xml:space="preserve">exemption for </w:t>
      </w:r>
      <w:r w:rsidR="00CB708C">
        <w:t>four</w:t>
      </w:r>
      <w:r w:rsidR="000E488F">
        <w:t xml:space="preserve"> </w:t>
      </w:r>
      <w:r w:rsidRPr="000E488F">
        <w:t>Land Use item</w:t>
      </w:r>
      <w:r w:rsidR="002954A3" w:rsidRPr="000E488F">
        <w:t>s</w:t>
      </w:r>
      <w:r w:rsidRPr="001C2722">
        <w:t xml:space="preserve"> (Council Districts </w:t>
      </w:r>
      <w:r w:rsidR="00B24E23" w:rsidRPr="00CB708C">
        <w:t xml:space="preserve">9, </w:t>
      </w:r>
      <w:r w:rsidR="00CB708C">
        <w:t xml:space="preserve">14, </w:t>
      </w:r>
      <w:r w:rsidR="000E488F" w:rsidRPr="00CB708C">
        <w:t>15</w:t>
      </w:r>
      <w:r w:rsidRPr="00CB708C">
        <w:t>,</w:t>
      </w:r>
      <w:r w:rsidRPr="001C2722">
        <w:t xml:space="preserve"> </w:t>
      </w:r>
      <w:r w:rsidR="00D623AF">
        <w:t xml:space="preserve">and </w:t>
      </w:r>
      <w:r w:rsidR="000E488F">
        <w:t>34</w:t>
      </w:r>
      <w:r w:rsidRPr="003E4257">
        <w:t>)</w:t>
      </w:r>
    </w:p>
    <w:p w14:paraId="3F9FBE26" w14:textId="77777777" w:rsidR="00C57D0B" w:rsidRDefault="00C57D0B" w:rsidP="007E0FFB">
      <w:pPr>
        <w:jc w:val="both"/>
        <w:rPr>
          <w:b/>
          <w:u w:val="single"/>
        </w:rPr>
      </w:pPr>
    </w:p>
    <w:p w14:paraId="6E4E9670" w14:textId="77777777" w:rsidR="007E0FFB" w:rsidRDefault="007E0FFB" w:rsidP="007E0FFB">
      <w:pPr>
        <w:jc w:val="both"/>
        <w:rPr>
          <w:b/>
          <w:u w:val="single"/>
        </w:rPr>
      </w:pPr>
      <w:r w:rsidRPr="003023B1">
        <w:rPr>
          <w:b/>
          <w:u w:val="single"/>
        </w:rPr>
        <w:t>Item 1:</w:t>
      </w:r>
      <w:r w:rsidRPr="009B57F7">
        <w:rPr>
          <w:b/>
          <w:u w:val="single"/>
        </w:rPr>
        <w:t xml:space="preserve"> </w:t>
      </w:r>
      <w:proofErr w:type="spellStart"/>
      <w:r w:rsidR="000E488F">
        <w:rPr>
          <w:b/>
          <w:u w:val="single"/>
        </w:rPr>
        <w:t>Harlen</w:t>
      </w:r>
      <w:proofErr w:type="spellEnd"/>
      <w:r w:rsidR="000E488F">
        <w:rPr>
          <w:b/>
          <w:u w:val="single"/>
        </w:rPr>
        <w:t xml:space="preserve"> House</w:t>
      </w:r>
    </w:p>
    <w:p w14:paraId="57EE3056" w14:textId="77777777" w:rsidR="00A36A8B" w:rsidRDefault="00A36A8B" w:rsidP="007E0FFB">
      <w:pPr>
        <w:jc w:val="both"/>
        <w:rPr>
          <w:b/>
          <w:u w:val="single"/>
        </w:rPr>
      </w:pPr>
    </w:p>
    <w:p w14:paraId="67C13193" w14:textId="77777777" w:rsidR="00E944A6" w:rsidRDefault="00A36A8B" w:rsidP="007E0FFB">
      <w:pPr>
        <w:jc w:val="both"/>
      </w:pPr>
      <w:r>
        <w:t>Halen House is comprised of 21</w:t>
      </w:r>
      <w:r w:rsidR="001734DE">
        <w:t>2</w:t>
      </w:r>
      <w:r>
        <w:t xml:space="preserve"> residential units across two building in Harlem, Manhattan. The project contains six studios, 94 one-bedrooms, 9</w:t>
      </w:r>
      <w:r w:rsidR="001734DE">
        <w:t>5</w:t>
      </w:r>
      <w:r>
        <w:t xml:space="preserve"> two-bedrooms </w:t>
      </w:r>
      <w:r w:rsidR="001734DE">
        <w:t xml:space="preserve">(excluding </w:t>
      </w:r>
      <w:r>
        <w:t xml:space="preserve">two superintendent units), and 17 three-bedrooms. </w:t>
      </w:r>
      <w:r w:rsidR="00AF20E4">
        <w:t xml:space="preserve">The project </w:t>
      </w:r>
      <w:r>
        <w:t xml:space="preserve">is presently owned by </w:t>
      </w:r>
      <w:r w:rsidR="000E488F" w:rsidRPr="000E488F">
        <w:t xml:space="preserve">an Article V Housing Redevelopment Company </w:t>
      </w:r>
      <w:r>
        <w:t xml:space="preserve">and all units are low-income rentals subject to a </w:t>
      </w:r>
      <w:r w:rsidR="00E944A6" w:rsidRPr="00330D2A">
        <w:t>Housing Assistance Payments (</w:t>
      </w:r>
      <w:r w:rsidR="00E944A6">
        <w:t>“</w:t>
      </w:r>
      <w:r w:rsidR="00E944A6" w:rsidRPr="00330D2A">
        <w:t>HAP</w:t>
      </w:r>
      <w:r w:rsidR="00E944A6">
        <w:t>”</w:t>
      </w:r>
      <w:r w:rsidR="00E944A6" w:rsidRPr="00330D2A">
        <w:t xml:space="preserve">) Section 8 contract, under which tenants pay </w:t>
      </w:r>
      <w:r w:rsidR="00E944A6">
        <w:t xml:space="preserve">a fixed portion </w:t>
      </w:r>
      <w:r w:rsidR="00E944A6" w:rsidRPr="00330D2A">
        <w:t>their income in rent and the U.S. Department of Housing and Urban Development (</w:t>
      </w:r>
      <w:r w:rsidR="00E944A6">
        <w:t>“</w:t>
      </w:r>
      <w:r w:rsidR="00E944A6" w:rsidRPr="00330D2A">
        <w:t>HUD</w:t>
      </w:r>
      <w:r w:rsidR="00E944A6">
        <w:t>”</w:t>
      </w:r>
      <w:r w:rsidR="00E944A6" w:rsidRPr="00330D2A">
        <w:t>) makes payments to the landlord</w:t>
      </w:r>
      <w:r w:rsidR="001734DE">
        <w:t xml:space="preserve"> for any remaining markup-to-market contract rent</w:t>
      </w:r>
      <w:r w:rsidR="00E944A6">
        <w:t>.</w:t>
      </w:r>
    </w:p>
    <w:p w14:paraId="7997C88A" w14:textId="77777777" w:rsidR="00E944A6" w:rsidRDefault="00E944A6" w:rsidP="007E0FFB">
      <w:pPr>
        <w:jc w:val="both"/>
      </w:pPr>
    </w:p>
    <w:p w14:paraId="4EF544CD" w14:textId="7DC349AD" w:rsidR="00E944A6" w:rsidRPr="00330D2A" w:rsidRDefault="007E0FFB" w:rsidP="001734DE">
      <w:pPr>
        <w:jc w:val="both"/>
      </w:pPr>
      <w:r>
        <w:t xml:space="preserve">The </w:t>
      </w:r>
      <w:r w:rsidRPr="001D77B8">
        <w:t xml:space="preserve">Department of Housing Preservation and Development </w:t>
      </w:r>
      <w:r>
        <w:t xml:space="preserve">(“HPD”) is requesting </w:t>
      </w:r>
      <w:r w:rsidR="00AF20E4">
        <w:t>that the</w:t>
      </w:r>
      <w:r>
        <w:t xml:space="preserve"> Council approve a </w:t>
      </w:r>
      <w:r w:rsidR="00A36A8B">
        <w:t>partial</w:t>
      </w:r>
      <w:r>
        <w:t xml:space="preserve">, 40-year Article XI property tax exemption. </w:t>
      </w:r>
      <w:r w:rsidR="00AF20E4">
        <w:t>T</w:t>
      </w:r>
      <w:r w:rsidR="00A36A8B">
        <w:t>he Article V tax exemption</w:t>
      </w:r>
      <w:r w:rsidR="001734DE">
        <w:t>,</w:t>
      </w:r>
      <w:r w:rsidR="00A36A8B">
        <w:t xml:space="preserve"> </w:t>
      </w:r>
      <w:r w:rsidR="00EE6475">
        <w:t xml:space="preserve">which would </w:t>
      </w:r>
      <w:r w:rsidR="001734DE">
        <w:t xml:space="preserve">otherwise expire in 2022, </w:t>
      </w:r>
      <w:r w:rsidR="00E10DE3">
        <w:t xml:space="preserve">would </w:t>
      </w:r>
      <w:r w:rsidR="00EE6475">
        <w:t>be terminated</w:t>
      </w:r>
      <w:r w:rsidR="00E10DE3">
        <w:t xml:space="preserve"> and the Article V Housing Redevelopment Company would be dissolved</w:t>
      </w:r>
      <w:r w:rsidR="00EE6475">
        <w:t xml:space="preserve">. </w:t>
      </w:r>
      <w:proofErr w:type="spellStart"/>
      <w:r w:rsidR="00AF20E4" w:rsidRPr="00A36A8B">
        <w:t>Harlen</w:t>
      </w:r>
      <w:proofErr w:type="spellEnd"/>
      <w:r w:rsidR="00AF20E4" w:rsidRPr="00A36A8B">
        <w:t xml:space="preserve"> Housing Development Fund Corporation (“HDFC”)</w:t>
      </w:r>
      <w:r w:rsidR="00AF20E4" w:rsidRPr="000F38F6">
        <w:t xml:space="preserve"> </w:t>
      </w:r>
      <w:r w:rsidR="00E10DE3">
        <w:t xml:space="preserve">would </w:t>
      </w:r>
      <w:r w:rsidR="00AF20E4" w:rsidRPr="000F38F6">
        <w:t xml:space="preserve">acquire the </w:t>
      </w:r>
      <w:r w:rsidR="00AF20E4">
        <w:t xml:space="preserve">properties and </w:t>
      </w:r>
      <w:r w:rsidR="001734DE">
        <w:t xml:space="preserve">enter </w:t>
      </w:r>
      <w:r w:rsidR="00E944A6" w:rsidRPr="0068197C">
        <w:t>into a regulatory agreement with HPD</w:t>
      </w:r>
      <w:r w:rsidR="00E944A6">
        <w:t xml:space="preserve"> </w:t>
      </w:r>
      <w:r w:rsidR="00E944A6" w:rsidRPr="00330D2A">
        <w:t xml:space="preserve">that </w:t>
      </w:r>
      <w:r w:rsidR="00E10DE3">
        <w:t xml:space="preserve">would </w:t>
      </w:r>
      <w:r w:rsidR="00E944A6" w:rsidRPr="00330D2A">
        <w:t xml:space="preserve">require </w:t>
      </w:r>
      <w:r w:rsidR="00AF20E4">
        <w:t xml:space="preserve">the </w:t>
      </w:r>
      <w:r w:rsidR="00E944A6" w:rsidRPr="00330D2A">
        <w:t>apartments be rented</w:t>
      </w:r>
      <w:r w:rsidR="00E944A6">
        <w:t xml:space="preserve"> only</w:t>
      </w:r>
      <w:r w:rsidR="00E944A6" w:rsidRPr="00330D2A">
        <w:t xml:space="preserve"> to households earning </w:t>
      </w:r>
      <w:r w:rsidR="00AF20E4">
        <w:t xml:space="preserve">less than </w:t>
      </w:r>
      <w:r w:rsidR="001734DE">
        <w:t xml:space="preserve">60% </w:t>
      </w:r>
      <w:r w:rsidR="00E944A6" w:rsidRPr="00330D2A">
        <w:t>of the Area Median Income (</w:t>
      </w:r>
      <w:r w:rsidR="00E944A6">
        <w:t>“</w:t>
      </w:r>
      <w:r w:rsidR="00E944A6" w:rsidRPr="00330D2A">
        <w:t>AMI</w:t>
      </w:r>
      <w:r w:rsidR="00E944A6">
        <w:t>”</w:t>
      </w:r>
      <w:r w:rsidR="00E944A6" w:rsidRPr="00330D2A">
        <w:t>)</w:t>
      </w:r>
      <w:r w:rsidR="00AF20E4">
        <w:t xml:space="preserve">. The HDFC </w:t>
      </w:r>
      <w:r w:rsidR="00E10DE3">
        <w:t xml:space="preserve">would </w:t>
      </w:r>
      <w:r w:rsidR="001734DE">
        <w:t xml:space="preserve">also renew </w:t>
      </w:r>
      <w:r w:rsidR="00AF20E4">
        <w:t xml:space="preserve">the </w:t>
      </w:r>
      <w:r w:rsidR="001734DE">
        <w:t>HAP contract for 20 years.</w:t>
      </w:r>
    </w:p>
    <w:p w14:paraId="325D5141" w14:textId="77777777" w:rsidR="00E944A6" w:rsidRDefault="00E944A6" w:rsidP="007E0FFB">
      <w:pPr>
        <w:jc w:val="both"/>
      </w:pPr>
    </w:p>
    <w:p w14:paraId="4102E9DA" w14:textId="77777777" w:rsidR="007E0FFB" w:rsidRPr="00005ABF" w:rsidRDefault="007E0FFB" w:rsidP="007E0FFB">
      <w:pPr>
        <w:rPr>
          <w:u w:val="single"/>
        </w:rPr>
      </w:pPr>
      <w:r w:rsidRPr="00005ABF">
        <w:rPr>
          <w:u w:val="single"/>
        </w:rPr>
        <w:t>Summary:</w:t>
      </w:r>
    </w:p>
    <w:p w14:paraId="27D235BA" w14:textId="77777777" w:rsidR="007E0FFB" w:rsidRPr="009F7891" w:rsidRDefault="007E0FFB" w:rsidP="007E0FFB">
      <w:pPr>
        <w:pStyle w:val="MediumGrid1-Accent21"/>
        <w:numPr>
          <w:ilvl w:val="0"/>
          <w:numId w:val="1"/>
        </w:numPr>
      </w:pPr>
      <w:r w:rsidRPr="009F7891">
        <w:t xml:space="preserve">Borough – </w:t>
      </w:r>
      <w:r w:rsidR="001734DE">
        <w:t>Manhattan</w:t>
      </w:r>
    </w:p>
    <w:p w14:paraId="4663D8C4" w14:textId="77777777" w:rsidR="007E0FFB" w:rsidRDefault="007E0FFB" w:rsidP="007E0FFB">
      <w:pPr>
        <w:pStyle w:val="MediumGrid1-Accent21"/>
        <w:numPr>
          <w:ilvl w:val="0"/>
          <w:numId w:val="1"/>
        </w:numPr>
      </w:pPr>
      <w:r>
        <w:t>Block</w:t>
      </w:r>
      <w:r w:rsidR="001734DE">
        <w:t xml:space="preserve"> 1736, Lots 1 and 60</w:t>
      </w:r>
    </w:p>
    <w:p w14:paraId="7F7FB9E1" w14:textId="77777777" w:rsidR="007E0FFB" w:rsidRPr="009F7891" w:rsidRDefault="001734DE" w:rsidP="007E0FFB">
      <w:pPr>
        <w:pStyle w:val="MediumGrid1-Accent21"/>
        <w:numPr>
          <w:ilvl w:val="0"/>
          <w:numId w:val="1"/>
        </w:numPr>
      </w:pPr>
      <w:r>
        <w:t>Council District</w:t>
      </w:r>
      <w:r w:rsidR="00EE6475">
        <w:t xml:space="preserve"> </w:t>
      </w:r>
      <w:r w:rsidR="007E0FFB">
        <w:t xml:space="preserve">– </w:t>
      </w:r>
      <w:r>
        <w:t>9</w:t>
      </w:r>
    </w:p>
    <w:p w14:paraId="620AF568" w14:textId="77777777" w:rsidR="007E0FFB" w:rsidRPr="009F7891" w:rsidRDefault="007E0FFB" w:rsidP="007E0FFB">
      <w:pPr>
        <w:pStyle w:val="MediumGrid1-Accent21"/>
        <w:numPr>
          <w:ilvl w:val="0"/>
          <w:numId w:val="1"/>
        </w:numPr>
      </w:pPr>
      <w:r w:rsidRPr="009F7891">
        <w:t xml:space="preserve">Council Member – </w:t>
      </w:r>
      <w:r w:rsidR="001734DE">
        <w:t>Perkins</w:t>
      </w:r>
    </w:p>
    <w:p w14:paraId="59757C9C" w14:textId="77777777" w:rsidR="007E0FFB" w:rsidRPr="00C57D0B" w:rsidRDefault="007E0FFB" w:rsidP="007E0FFB">
      <w:pPr>
        <w:pStyle w:val="MediumGrid1-Accent21"/>
        <w:numPr>
          <w:ilvl w:val="0"/>
          <w:numId w:val="1"/>
        </w:numPr>
      </w:pPr>
      <w:r w:rsidRPr="00C57D0B">
        <w:t xml:space="preserve">Council Member approval – </w:t>
      </w:r>
      <w:r w:rsidR="00C57D0B" w:rsidRPr="00C57D0B">
        <w:t>Yes</w:t>
      </w:r>
    </w:p>
    <w:p w14:paraId="0B3A40BF" w14:textId="77777777" w:rsidR="007E0FFB" w:rsidRPr="009F7891" w:rsidRDefault="007E0FFB" w:rsidP="007E0FFB">
      <w:pPr>
        <w:pStyle w:val="MediumGrid1-Accent21"/>
        <w:numPr>
          <w:ilvl w:val="0"/>
          <w:numId w:val="1"/>
        </w:numPr>
      </w:pPr>
      <w:r w:rsidRPr="009F7891">
        <w:t xml:space="preserve">Number of buildings – </w:t>
      </w:r>
      <w:r w:rsidR="001734DE">
        <w:t>2</w:t>
      </w:r>
    </w:p>
    <w:p w14:paraId="54D28B38" w14:textId="77777777" w:rsidR="007E0FFB" w:rsidRPr="009F7891" w:rsidRDefault="007E0FFB" w:rsidP="007E0FFB">
      <w:pPr>
        <w:pStyle w:val="MediumGrid1-Accent21"/>
        <w:numPr>
          <w:ilvl w:val="0"/>
          <w:numId w:val="1"/>
        </w:numPr>
      </w:pPr>
      <w:r w:rsidRPr="009F7891">
        <w:t xml:space="preserve">Number of units – </w:t>
      </w:r>
      <w:r w:rsidR="001734DE">
        <w:t>212</w:t>
      </w:r>
    </w:p>
    <w:p w14:paraId="2C33C726" w14:textId="77777777" w:rsidR="007E0FFB" w:rsidRPr="00822F34" w:rsidRDefault="007E0FFB" w:rsidP="007E0FFB">
      <w:pPr>
        <w:pStyle w:val="MediumGrid1-Accent21"/>
        <w:numPr>
          <w:ilvl w:val="0"/>
          <w:numId w:val="1"/>
        </w:numPr>
      </w:pPr>
      <w:r w:rsidRPr="00822F34">
        <w:t>Type of e</w:t>
      </w:r>
      <w:r>
        <w:t xml:space="preserve">xemption – Article XI, </w:t>
      </w:r>
      <w:r w:rsidR="001734DE">
        <w:t>partial</w:t>
      </w:r>
      <w:r>
        <w:t>, 40-years</w:t>
      </w:r>
    </w:p>
    <w:p w14:paraId="596BD48B" w14:textId="77777777" w:rsidR="007E0FFB" w:rsidRPr="00822F34" w:rsidRDefault="007E0FFB" w:rsidP="007E0FFB">
      <w:pPr>
        <w:pStyle w:val="MediumGrid1-Accent21"/>
        <w:numPr>
          <w:ilvl w:val="0"/>
          <w:numId w:val="1"/>
        </w:numPr>
      </w:pPr>
      <w:r w:rsidRPr="00822F34">
        <w:t>Population – affordable rental housing</w:t>
      </w:r>
    </w:p>
    <w:p w14:paraId="18C5CD3D" w14:textId="77777777" w:rsidR="001734DE" w:rsidRDefault="007E0FFB" w:rsidP="001734DE">
      <w:pPr>
        <w:pStyle w:val="MediumGrid1-Accent21"/>
        <w:numPr>
          <w:ilvl w:val="0"/>
          <w:numId w:val="1"/>
        </w:numPr>
      </w:pPr>
      <w:r w:rsidRPr="009F7891">
        <w:t xml:space="preserve">Sponsor – </w:t>
      </w:r>
      <w:proofErr w:type="spellStart"/>
      <w:r w:rsidR="001734DE" w:rsidRPr="00A36A8B">
        <w:t>Harlen</w:t>
      </w:r>
      <w:proofErr w:type="spellEnd"/>
      <w:r w:rsidR="001734DE">
        <w:t xml:space="preserve"> HDFC, </w:t>
      </w:r>
      <w:proofErr w:type="spellStart"/>
      <w:r w:rsidR="001734DE" w:rsidRPr="001734DE">
        <w:t>Fairstead</w:t>
      </w:r>
      <w:proofErr w:type="spellEnd"/>
      <w:r w:rsidR="001734DE" w:rsidRPr="001734DE">
        <w:t xml:space="preserve"> Affordable LLC</w:t>
      </w:r>
    </w:p>
    <w:p w14:paraId="775F507C" w14:textId="77777777" w:rsidR="007E0FFB" w:rsidRPr="00822F34" w:rsidRDefault="007E0FFB" w:rsidP="007E0FFB">
      <w:pPr>
        <w:pStyle w:val="MediumGrid1-Accent21"/>
        <w:numPr>
          <w:ilvl w:val="0"/>
          <w:numId w:val="1"/>
        </w:numPr>
      </w:pPr>
      <w:r w:rsidRPr="00822F34">
        <w:t>Purpose – preservation</w:t>
      </w:r>
    </w:p>
    <w:p w14:paraId="1E9F8F26" w14:textId="77777777" w:rsidR="007E0FFB" w:rsidRPr="00822F34" w:rsidRDefault="007E0FFB" w:rsidP="007E0FFB">
      <w:pPr>
        <w:pStyle w:val="MediumGrid1-Accent21"/>
        <w:numPr>
          <w:ilvl w:val="0"/>
          <w:numId w:val="1"/>
        </w:numPr>
      </w:pPr>
      <w:r w:rsidRPr="00822F34">
        <w:t xml:space="preserve">Cost to the City – </w:t>
      </w:r>
      <w:r w:rsidR="001734DE">
        <w:t>$6.8</w:t>
      </w:r>
      <w:r w:rsidRPr="00822F34">
        <w:t xml:space="preserve"> million</w:t>
      </w:r>
    </w:p>
    <w:p w14:paraId="6A436012" w14:textId="77777777" w:rsidR="007E0FFB" w:rsidRDefault="007E0FFB" w:rsidP="007E0FFB">
      <w:pPr>
        <w:pStyle w:val="MediumGrid1-Accent21"/>
        <w:numPr>
          <w:ilvl w:val="0"/>
          <w:numId w:val="1"/>
        </w:numPr>
      </w:pPr>
      <w:r w:rsidRPr="00822F34">
        <w:t>Housing Code Violations</w:t>
      </w:r>
      <w:r>
        <w:t xml:space="preserve"> </w:t>
      </w:r>
    </w:p>
    <w:p w14:paraId="35C98661" w14:textId="77777777" w:rsidR="007E0FFB" w:rsidRDefault="001734DE" w:rsidP="007E0FFB">
      <w:pPr>
        <w:pStyle w:val="MediumGrid1-Accent21"/>
        <w:numPr>
          <w:ilvl w:val="1"/>
          <w:numId w:val="1"/>
        </w:numPr>
      </w:pPr>
      <w:r>
        <w:t>Class A – 8</w:t>
      </w:r>
    </w:p>
    <w:p w14:paraId="0F350A0A" w14:textId="77777777" w:rsidR="007E0FFB" w:rsidRDefault="007E0FFB" w:rsidP="007E0FFB">
      <w:pPr>
        <w:pStyle w:val="MediumGrid1-Accent21"/>
        <w:numPr>
          <w:ilvl w:val="1"/>
          <w:numId w:val="1"/>
        </w:numPr>
      </w:pPr>
      <w:r>
        <w:t xml:space="preserve">Class B – </w:t>
      </w:r>
      <w:r w:rsidR="001734DE">
        <w:t>47</w:t>
      </w:r>
    </w:p>
    <w:p w14:paraId="00CECA19" w14:textId="77777777" w:rsidR="007E0FFB" w:rsidRDefault="007E0FFB" w:rsidP="007E0FFB">
      <w:pPr>
        <w:pStyle w:val="MediumGrid1-Accent21"/>
        <w:numPr>
          <w:ilvl w:val="1"/>
          <w:numId w:val="1"/>
        </w:numPr>
      </w:pPr>
      <w:r>
        <w:t xml:space="preserve">Class C – </w:t>
      </w:r>
      <w:r w:rsidR="001734DE">
        <w:t>1</w:t>
      </w:r>
    </w:p>
    <w:p w14:paraId="182BD7DB" w14:textId="6992FC1E" w:rsidR="001734DE" w:rsidRDefault="007E0FFB" w:rsidP="00416CFE">
      <w:pPr>
        <w:pStyle w:val="MediumGrid1-Accent21"/>
        <w:numPr>
          <w:ilvl w:val="0"/>
          <w:numId w:val="1"/>
        </w:numPr>
      </w:pPr>
      <w:r w:rsidRPr="00296772">
        <w:t>AMI targets –</w:t>
      </w:r>
      <w:r w:rsidR="001734DE">
        <w:t xml:space="preserve"> 6</w:t>
      </w:r>
      <w:r w:rsidRPr="00296772">
        <w:t>0% of AMI</w:t>
      </w:r>
    </w:p>
    <w:p w14:paraId="0E40ACCF" w14:textId="779710F4" w:rsidR="00A36A8B" w:rsidRDefault="00A36A8B" w:rsidP="00A36A8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Item </w:t>
      </w:r>
      <w:r w:rsidR="00A92638">
        <w:rPr>
          <w:b/>
          <w:u w:val="single"/>
        </w:rPr>
        <w:t>2</w:t>
      </w:r>
      <w:r w:rsidRPr="003023B1">
        <w:rPr>
          <w:b/>
          <w:u w:val="single"/>
        </w:rPr>
        <w:t>:</w:t>
      </w:r>
      <w:r w:rsidRPr="009B57F7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Olinville</w:t>
      </w:r>
      <w:proofErr w:type="spellEnd"/>
      <w:r>
        <w:rPr>
          <w:b/>
          <w:u w:val="single"/>
        </w:rPr>
        <w:t xml:space="preserve"> Manor</w:t>
      </w:r>
    </w:p>
    <w:p w14:paraId="623247B4" w14:textId="77777777" w:rsidR="00855278" w:rsidRDefault="00855278" w:rsidP="00A36A8B">
      <w:pPr>
        <w:jc w:val="both"/>
        <w:rPr>
          <w:b/>
          <w:u w:val="single"/>
        </w:rPr>
      </w:pPr>
    </w:p>
    <w:p w14:paraId="3DF5C1AC" w14:textId="7BFFC199" w:rsidR="00855278" w:rsidRDefault="00855278" w:rsidP="00855278">
      <w:pPr>
        <w:jc w:val="both"/>
      </w:pPr>
      <w:proofErr w:type="spellStart"/>
      <w:r>
        <w:t>Olinville</w:t>
      </w:r>
      <w:proofErr w:type="spellEnd"/>
      <w:r>
        <w:t xml:space="preserve"> Manor is </w:t>
      </w:r>
      <w:r w:rsidR="008F7E99">
        <w:t xml:space="preserve">a six-story walkup building in the </w:t>
      </w:r>
      <w:proofErr w:type="spellStart"/>
      <w:r>
        <w:t>Williamsbridge</w:t>
      </w:r>
      <w:proofErr w:type="spellEnd"/>
      <w:r>
        <w:t xml:space="preserve"> section of the Bronx comprised of 46 units, including 20 studios, six one-bedrooms, and 20 two-bedrooms, as well as a small meeting space and </w:t>
      </w:r>
      <w:r w:rsidR="00E10DE3">
        <w:t xml:space="preserve">ten </w:t>
      </w:r>
      <w:r>
        <w:t>parking spaces available for rent by residents.</w:t>
      </w:r>
    </w:p>
    <w:p w14:paraId="1813B1F0" w14:textId="77777777" w:rsidR="00EE6475" w:rsidRDefault="00EE6475" w:rsidP="00855278">
      <w:pPr>
        <w:jc w:val="both"/>
      </w:pPr>
    </w:p>
    <w:p w14:paraId="469DFE7B" w14:textId="0A561D2C" w:rsidR="008F7E99" w:rsidRDefault="008F7E99" w:rsidP="00855278">
      <w:pPr>
        <w:jc w:val="both"/>
      </w:pPr>
      <w:r>
        <w:t>The project has been a limited equity HDFC coop since 1984 and requires moderate rehabilitation, including façade work and asbestos removal from the roof and parapet walls. HPD proposes to finance the renovation with a $1.7 million loan</w:t>
      </w:r>
      <w:r w:rsidR="00EE6475">
        <w:t xml:space="preserve">. HPD is requesting that </w:t>
      </w:r>
      <w:r w:rsidRPr="00F766F6">
        <w:t xml:space="preserve">the Council approve a </w:t>
      </w:r>
      <w:r>
        <w:t>full</w:t>
      </w:r>
      <w:r w:rsidRPr="00F766F6">
        <w:t xml:space="preserve">, </w:t>
      </w:r>
      <w:r>
        <w:t>32</w:t>
      </w:r>
      <w:r w:rsidRPr="00F766F6">
        <w:t>-year Article XI property tax exemption</w:t>
      </w:r>
      <w:r>
        <w:t xml:space="preserve">. </w:t>
      </w:r>
      <w:r w:rsidRPr="008F7E99">
        <w:t>The property</w:t>
      </w:r>
      <w:r w:rsidR="00EF1417">
        <w:t xml:space="preserve"> currently receives a partial Article XI property tax exemption that the Council granted in</w:t>
      </w:r>
      <w:r>
        <w:t xml:space="preserve"> 1989 </w:t>
      </w:r>
      <w:r w:rsidR="00EF1417">
        <w:t>pursuant to a request from HPD’s</w:t>
      </w:r>
      <w:r>
        <w:t xml:space="preserve"> </w:t>
      </w:r>
      <w:r w:rsidRPr="008F7E99">
        <w:t xml:space="preserve">Division of Alternative Management </w:t>
      </w:r>
      <w:r>
        <w:t>Program (DAMP)</w:t>
      </w:r>
      <w:r w:rsidR="00EF1417">
        <w:t>. The existing exemption,</w:t>
      </w:r>
      <w:r>
        <w:t xml:space="preserve"> which is set to expire in </w:t>
      </w:r>
      <w:r w:rsidRPr="008F7E99">
        <w:t>June 2029</w:t>
      </w:r>
      <w:r w:rsidR="00EF1417">
        <w:t>,</w:t>
      </w:r>
      <w:r>
        <w:t xml:space="preserve"> would be terminated</w:t>
      </w:r>
      <w:r w:rsidR="00EF1417">
        <w:t xml:space="preserve"> upon the approval of the new Article XI exemption</w:t>
      </w:r>
      <w:r>
        <w:t xml:space="preserve">. </w:t>
      </w:r>
      <w:r w:rsidRPr="00F766F6">
        <w:t xml:space="preserve">Currently, there is no existing regulatory agreement for the property. </w:t>
      </w:r>
      <w:r>
        <w:t xml:space="preserve">At closing, </w:t>
      </w:r>
      <w:r w:rsidRPr="00F766F6">
        <w:t>HPD</w:t>
      </w:r>
      <w:r>
        <w:t xml:space="preserve"> and the </w:t>
      </w:r>
      <w:r w:rsidRPr="00F766F6">
        <w:t xml:space="preserve">HDFC </w:t>
      </w:r>
      <w:r w:rsidR="00EF1417">
        <w:t>would</w:t>
      </w:r>
      <w:r w:rsidR="00EF1417" w:rsidRPr="00F766F6">
        <w:t xml:space="preserve"> </w:t>
      </w:r>
      <w:r w:rsidRPr="00F766F6">
        <w:t xml:space="preserve">enter into a regulatory agreement ensuring that </w:t>
      </w:r>
      <w:r>
        <w:t xml:space="preserve">the units not be sold to </w:t>
      </w:r>
      <w:r w:rsidRPr="008F7E99">
        <w:t>households whose</w:t>
      </w:r>
      <w:r w:rsidR="00EE6475">
        <w:t xml:space="preserve"> annual household income</w:t>
      </w:r>
      <w:r w:rsidR="00EF1417">
        <w:t>s</w:t>
      </w:r>
      <w:r w:rsidR="00EE6475">
        <w:t xml:space="preserve"> exceed</w:t>
      </w:r>
      <w:r w:rsidRPr="008F7E99">
        <w:t xml:space="preserve"> 120% AMI.</w:t>
      </w:r>
    </w:p>
    <w:p w14:paraId="36389AA9" w14:textId="77777777" w:rsidR="00855278" w:rsidRDefault="00855278" w:rsidP="00855278">
      <w:pPr>
        <w:jc w:val="both"/>
      </w:pPr>
    </w:p>
    <w:p w14:paraId="34922767" w14:textId="77777777" w:rsidR="00EE6475" w:rsidRPr="0053456A" w:rsidRDefault="00EE6475" w:rsidP="00EE6475">
      <w:pPr>
        <w:rPr>
          <w:u w:val="single"/>
        </w:rPr>
      </w:pPr>
      <w:r w:rsidRPr="0053456A">
        <w:rPr>
          <w:u w:val="single"/>
        </w:rPr>
        <w:t>Summary:</w:t>
      </w:r>
    </w:p>
    <w:p w14:paraId="65FE645F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 xml:space="preserve">Borough – Bronx </w:t>
      </w:r>
    </w:p>
    <w:p w14:paraId="6B5D7510" w14:textId="77777777" w:rsidR="00EE6475" w:rsidRDefault="00EE6475" w:rsidP="00EE6475">
      <w:pPr>
        <w:pStyle w:val="MediumGrid1-Accent21"/>
        <w:numPr>
          <w:ilvl w:val="0"/>
          <w:numId w:val="1"/>
        </w:numPr>
      </w:pPr>
      <w:r w:rsidRPr="00521F20">
        <w:t xml:space="preserve">Block </w:t>
      </w:r>
      <w:r>
        <w:t>4594</w:t>
      </w:r>
      <w:r w:rsidRPr="00521F20">
        <w:t>, Lot</w:t>
      </w:r>
      <w:r>
        <w:t xml:space="preserve"> 44</w:t>
      </w:r>
    </w:p>
    <w:p w14:paraId="7B60DDDF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Council District – 15</w:t>
      </w:r>
    </w:p>
    <w:p w14:paraId="4E2CA5FA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Council Member – Torres</w:t>
      </w:r>
    </w:p>
    <w:p w14:paraId="21E84C4D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Council Member approval – Yes</w:t>
      </w:r>
    </w:p>
    <w:p w14:paraId="67C3EFB3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Number of buildings – 1</w:t>
      </w:r>
    </w:p>
    <w:p w14:paraId="62CF9C0A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Number of units – 46</w:t>
      </w:r>
    </w:p>
    <w:p w14:paraId="51A208B1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Type of exemption – Article XI, full, 32 years</w:t>
      </w:r>
    </w:p>
    <w:p w14:paraId="50345F11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Population – affordable homeownership</w:t>
      </w:r>
    </w:p>
    <w:p w14:paraId="042FF72E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 xml:space="preserve">Sponsor – </w:t>
      </w:r>
      <w:proofErr w:type="spellStart"/>
      <w:r w:rsidRPr="00EE6475">
        <w:t>Olinville</w:t>
      </w:r>
      <w:proofErr w:type="spellEnd"/>
      <w:r w:rsidRPr="00EE6475">
        <w:t xml:space="preserve"> Manor</w:t>
      </w:r>
      <w:r>
        <w:t xml:space="preserve"> HDFC, </w:t>
      </w:r>
      <w:proofErr w:type="spellStart"/>
      <w:r w:rsidRPr="00EE6475">
        <w:t>Newgent</w:t>
      </w:r>
      <w:proofErr w:type="spellEnd"/>
      <w:r w:rsidRPr="00EE6475">
        <w:t xml:space="preserve"> Management</w:t>
      </w:r>
      <w:r>
        <w:t xml:space="preserve"> </w:t>
      </w:r>
    </w:p>
    <w:p w14:paraId="3F2A57AF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Purpose – preservation</w:t>
      </w:r>
    </w:p>
    <w:p w14:paraId="5672A259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Cost to the City – $1.6M</w:t>
      </w:r>
    </w:p>
    <w:p w14:paraId="06CB1F01" w14:textId="77777777" w:rsidR="00EE6475" w:rsidRDefault="00EE6475" w:rsidP="00EE6475">
      <w:pPr>
        <w:pStyle w:val="MediumGrid1-Accent21"/>
        <w:numPr>
          <w:ilvl w:val="0"/>
          <w:numId w:val="1"/>
        </w:numPr>
      </w:pPr>
      <w:r>
        <w:t>Housing Code Violations</w:t>
      </w:r>
    </w:p>
    <w:p w14:paraId="397127B4" w14:textId="77777777" w:rsidR="00EE6475" w:rsidRDefault="00EE6475" w:rsidP="00EE6475">
      <w:pPr>
        <w:pStyle w:val="MediumGrid1-Accent21"/>
        <w:numPr>
          <w:ilvl w:val="1"/>
          <w:numId w:val="1"/>
        </w:numPr>
      </w:pPr>
      <w:r>
        <w:t>Class B – 2</w:t>
      </w:r>
    </w:p>
    <w:p w14:paraId="450D0306" w14:textId="77777777" w:rsidR="00EE6475" w:rsidRPr="001266CB" w:rsidRDefault="00EE6475" w:rsidP="00EE6475">
      <w:pPr>
        <w:pStyle w:val="ListParagraph"/>
        <w:numPr>
          <w:ilvl w:val="0"/>
          <w:numId w:val="1"/>
        </w:numPr>
      </w:pPr>
      <w:r>
        <w:t>AMI targets – 120% AMI</w:t>
      </w:r>
    </w:p>
    <w:p w14:paraId="1F39E6D5" w14:textId="77777777" w:rsidR="00A36A8B" w:rsidRDefault="00A36A8B" w:rsidP="00A36A8B">
      <w:pPr>
        <w:jc w:val="both"/>
        <w:rPr>
          <w:b/>
          <w:u w:val="single"/>
        </w:rPr>
      </w:pPr>
    </w:p>
    <w:p w14:paraId="0B593134" w14:textId="372B7CB0" w:rsidR="00A36A8B" w:rsidRDefault="00A36A8B" w:rsidP="00A36A8B">
      <w:pPr>
        <w:jc w:val="both"/>
        <w:rPr>
          <w:b/>
          <w:u w:val="single"/>
        </w:rPr>
      </w:pPr>
      <w:r>
        <w:rPr>
          <w:b/>
          <w:u w:val="single"/>
        </w:rPr>
        <w:t xml:space="preserve">Item </w:t>
      </w:r>
      <w:r w:rsidR="00A92638">
        <w:rPr>
          <w:b/>
          <w:u w:val="single"/>
        </w:rPr>
        <w:t>3</w:t>
      </w:r>
      <w:r w:rsidRPr="003023B1">
        <w:rPr>
          <w:b/>
          <w:u w:val="single"/>
        </w:rPr>
        <w:t>:</w:t>
      </w:r>
      <w:r w:rsidRPr="009B57F7">
        <w:rPr>
          <w:b/>
          <w:u w:val="single"/>
        </w:rPr>
        <w:t xml:space="preserve"> </w:t>
      </w:r>
      <w:r>
        <w:rPr>
          <w:b/>
          <w:u w:val="single"/>
        </w:rPr>
        <w:t>340 South</w:t>
      </w:r>
      <w:r w:rsidR="004F6952">
        <w:rPr>
          <w:b/>
          <w:u w:val="single"/>
        </w:rPr>
        <w:t xml:space="preserve"> Third</w:t>
      </w:r>
      <w:r>
        <w:rPr>
          <w:b/>
          <w:u w:val="single"/>
        </w:rPr>
        <w:t xml:space="preserve"> Street</w:t>
      </w:r>
    </w:p>
    <w:p w14:paraId="77C157BA" w14:textId="77777777" w:rsidR="00A36A8B" w:rsidRPr="00296772" w:rsidRDefault="00A36A8B" w:rsidP="00A36A8B">
      <w:pPr>
        <w:pStyle w:val="MediumGrid1-Accent21"/>
      </w:pPr>
    </w:p>
    <w:p w14:paraId="4F4F717B" w14:textId="4EB5905B" w:rsidR="006F314D" w:rsidRPr="006F314D" w:rsidRDefault="006908D6" w:rsidP="008F2502">
      <w:pPr>
        <w:jc w:val="both"/>
      </w:pPr>
      <w:r w:rsidRPr="006908D6">
        <w:t xml:space="preserve">340 South Third Street is a six-story, 41-unit </w:t>
      </w:r>
      <w:r w:rsidR="00CB0286">
        <w:t xml:space="preserve">rental </w:t>
      </w:r>
      <w:r w:rsidRPr="006908D6">
        <w:t>building located in the Williamsburg neighborhood of Brooklyn</w:t>
      </w:r>
      <w:r>
        <w:t xml:space="preserve"> consisting of 14</w:t>
      </w:r>
      <w:r w:rsidRPr="006908D6">
        <w:t xml:space="preserve"> one-bedroom</w:t>
      </w:r>
      <w:r>
        <w:t>s</w:t>
      </w:r>
      <w:r w:rsidRPr="006908D6">
        <w:t>, 13 two-bedroom</w:t>
      </w:r>
      <w:r>
        <w:t xml:space="preserve">s, and </w:t>
      </w:r>
      <w:r w:rsidRPr="006908D6">
        <w:t>seven three-bedroom</w:t>
      </w:r>
      <w:r>
        <w:t>s</w:t>
      </w:r>
      <w:r w:rsidRPr="006908D6">
        <w:t>.</w:t>
      </w:r>
      <w:r w:rsidR="00CB0286">
        <w:t xml:space="preserve"> </w:t>
      </w:r>
      <w:r w:rsidR="00CB0286" w:rsidRPr="00CB0286">
        <w:rPr>
          <w:rFonts w:eastAsia="Arial"/>
        </w:rPr>
        <w:t>It has been an HDFC since 1994</w:t>
      </w:r>
      <w:r w:rsidR="006F314D">
        <w:rPr>
          <w:rFonts w:eastAsia="Arial"/>
        </w:rPr>
        <w:t xml:space="preserve">. </w:t>
      </w:r>
      <w:r w:rsidR="005B315D">
        <w:rPr>
          <w:rFonts w:eastAsia="Arial"/>
        </w:rPr>
        <w:t xml:space="preserve">The HDFC began to accumulate property tax </w:t>
      </w:r>
      <w:r w:rsidR="005B315D" w:rsidRPr="005B315D">
        <w:rPr>
          <w:rFonts w:eastAsia="Arial"/>
        </w:rPr>
        <w:t xml:space="preserve">arrears in January 2016, </w:t>
      </w:r>
      <w:r w:rsidR="005B315D">
        <w:rPr>
          <w:rFonts w:eastAsia="Arial"/>
        </w:rPr>
        <w:t xml:space="preserve">six months after its </w:t>
      </w:r>
      <w:r w:rsidR="005B315D" w:rsidRPr="005B315D">
        <w:rPr>
          <w:rFonts w:eastAsia="Arial"/>
        </w:rPr>
        <w:t>J-51 tax abatement expired</w:t>
      </w:r>
      <w:r w:rsidR="005B315D">
        <w:rPr>
          <w:rFonts w:eastAsia="Arial"/>
        </w:rPr>
        <w:t xml:space="preserve">, but it entered into a </w:t>
      </w:r>
      <w:r w:rsidR="00501FE3">
        <w:rPr>
          <w:rFonts w:eastAsia="Arial"/>
        </w:rPr>
        <w:t>ten</w:t>
      </w:r>
      <w:r w:rsidR="005B315D" w:rsidRPr="005B315D">
        <w:rPr>
          <w:rFonts w:eastAsia="Arial"/>
        </w:rPr>
        <w:t>-year payment plan with DOF and has been paying down the arrears</w:t>
      </w:r>
      <w:r w:rsidR="005B315D">
        <w:rPr>
          <w:rFonts w:eastAsia="Arial"/>
        </w:rPr>
        <w:t>.</w:t>
      </w:r>
    </w:p>
    <w:p w14:paraId="35C15FB7" w14:textId="77777777" w:rsidR="006F314D" w:rsidRDefault="006F314D" w:rsidP="008F2502">
      <w:pPr>
        <w:jc w:val="both"/>
        <w:rPr>
          <w:rFonts w:eastAsia="Arial"/>
        </w:rPr>
      </w:pPr>
    </w:p>
    <w:p w14:paraId="5681B5C3" w14:textId="6B4C96D2" w:rsidR="006F314D" w:rsidRDefault="005B315D" w:rsidP="008F2502">
      <w:pPr>
        <w:jc w:val="both"/>
        <w:rPr>
          <w:rFonts w:eastAsia="Arial"/>
        </w:rPr>
      </w:pPr>
      <w:r>
        <w:rPr>
          <w:rFonts w:eastAsia="Arial"/>
        </w:rPr>
        <w:t xml:space="preserve">HPD and the HDFC propose a coop-conversion simultaneous with a </w:t>
      </w:r>
      <w:r w:rsidRPr="00CB0286">
        <w:rPr>
          <w:rFonts w:eastAsia="Arial"/>
        </w:rPr>
        <w:t>moderate rehabilitation</w:t>
      </w:r>
      <w:r>
        <w:rPr>
          <w:rFonts w:eastAsia="Arial"/>
        </w:rPr>
        <w:t xml:space="preserve">. </w:t>
      </w:r>
      <w:r w:rsidR="004E4F8E">
        <w:rPr>
          <w:rFonts w:eastAsia="Arial"/>
        </w:rPr>
        <w:t xml:space="preserve">To </w:t>
      </w:r>
      <w:r w:rsidR="006F314D">
        <w:rPr>
          <w:rFonts w:eastAsia="Arial"/>
        </w:rPr>
        <w:t xml:space="preserve">help </w:t>
      </w:r>
      <w:r w:rsidR="004E4F8E">
        <w:rPr>
          <w:rFonts w:eastAsia="Arial"/>
        </w:rPr>
        <w:t xml:space="preserve">finance this project, HPD is requesting that the Council grant the </w:t>
      </w:r>
      <w:r w:rsidR="00AD73D9">
        <w:rPr>
          <w:rFonts w:eastAsia="Arial"/>
        </w:rPr>
        <w:t xml:space="preserve">property </w:t>
      </w:r>
      <w:r w:rsidR="004E4F8E">
        <w:rPr>
          <w:rFonts w:eastAsia="Arial"/>
        </w:rPr>
        <w:t>a</w:t>
      </w:r>
      <w:r w:rsidR="00AD73D9">
        <w:rPr>
          <w:rFonts w:eastAsia="Arial"/>
        </w:rPr>
        <w:t xml:space="preserve"> full,</w:t>
      </w:r>
      <w:r w:rsidR="004E4F8E">
        <w:rPr>
          <w:rFonts w:eastAsia="Arial"/>
        </w:rPr>
        <w:t xml:space="preserve"> 40-year Article XI</w:t>
      </w:r>
      <w:r w:rsidR="00AD73D9">
        <w:rPr>
          <w:rFonts w:eastAsia="Arial"/>
        </w:rPr>
        <w:t xml:space="preserve"> </w:t>
      </w:r>
      <w:r w:rsidR="004E4F8E">
        <w:rPr>
          <w:rFonts w:eastAsia="Arial"/>
        </w:rPr>
        <w:t>tax exemption</w:t>
      </w:r>
      <w:r w:rsidR="004F6952">
        <w:rPr>
          <w:rFonts w:eastAsia="Arial"/>
        </w:rPr>
        <w:t xml:space="preserve">. The exemption </w:t>
      </w:r>
      <w:r w:rsidR="00501FE3">
        <w:rPr>
          <w:rFonts w:eastAsia="Arial"/>
        </w:rPr>
        <w:t>would be</w:t>
      </w:r>
      <w:r w:rsidR="004F6952">
        <w:rPr>
          <w:rFonts w:eastAsia="Arial"/>
        </w:rPr>
        <w:t xml:space="preserve"> </w:t>
      </w:r>
      <w:r w:rsidR="004E4F8E">
        <w:rPr>
          <w:rFonts w:eastAsia="Arial"/>
        </w:rPr>
        <w:t>retroactive to January 2016</w:t>
      </w:r>
      <w:r w:rsidR="004F6952">
        <w:rPr>
          <w:rFonts w:eastAsia="Arial"/>
        </w:rPr>
        <w:t xml:space="preserve"> and would result in a refund of $160,000</w:t>
      </w:r>
      <w:r w:rsidR="00501FE3">
        <w:rPr>
          <w:rFonts w:eastAsia="Arial"/>
        </w:rPr>
        <w:t xml:space="preserve"> that the HDFC already paid towards its ten-year payment plan</w:t>
      </w:r>
      <w:r w:rsidR="004F6952">
        <w:rPr>
          <w:rFonts w:eastAsia="Arial"/>
        </w:rPr>
        <w:t xml:space="preserve">, which would instead be </w:t>
      </w:r>
      <w:r w:rsidR="004E4F8E">
        <w:rPr>
          <w:rFonts w:eastAsia="Arial"/>
        </w:rPr>
        <w:t xml:space="preserve">used to pay </w:t>
      </w:r>
      <w:r w:rsidR="006F314D">
        <w:rPr>
          <w:rFonts w:eastAsia="Arial"/>
        </w:rPr>
        <w:t>water and sewer debt</w:t>
      </w:r>
      <w:r w:rsidR="004E4F8E">
        <w:rPr>
          <w:rFonts w:eastAsia="Arial"/>
        </w:rPr>
        <w:t xml:space="preserve">, establish reserves, </w:t>
      </w:r>
      <w:r w:rsidR="006F314D">
        <w:rPr>
          <w:rFonts w:eastAsia="Arial"/>
        </w:rPr>
        <w:t xml:space="preserve">contribute towards soft costs to the renovation, and be applied to owner-equity requirements. </w:t>
      </w:r>
    </w:p>
    <w:p w14:paraId="7442DD8A" w14:textId="77777777" w:rsidR="00072993" w:rsidRDefault="00072993" w:rsidP="008F2502">
      <w:pPr>
        <w:jc w:val="both"/>
        <w:rPr>
          <w:rFonts w:eastAsia="Arial"/>
        </w:rPr>
      </w:pPr>
    </w:p>
    <w:p w14:paraId="73C132CA" w14:textId="2219759E" w:rsidR="006908D6" w:rsidRDefault="006F314D" w:rsidP="008F2502">
      <w:pPr>
        <w:jc w:val="both"/>
        <w:rPr>
          <w:rFonts w:eastAsia="Arial"/>
        </w:rPr>
      </w:pPr>
      <w:r>
        <w:rPr>
          <w:rFonts w:eastAsia="Arial"/>
        </w:rPr>
        <w:t xml:space="preserve">The HDFC and HPD would enter into a regulatory agreement that anticipates two possible scenarios. If the project successfully converts to a limited-equity coop </w:t>
      </w:r>
      <w:r w:rsidRPr="006F314D">
        <w:rPr>
          <w:rFonts w:eastAsia="Arial"/>
        </w:rPr>
        <w:t>by the first quarter of 2021</w:t>
      </w:r>
      <w:r>
        <w:rPr>
          <w:rFonts w:eastAsia="Arial"/>
        </w:rPr>
        <w:t>, i</w:t>
      </w:r>
      <w:r w:rsidRPr="006F314D">
        <w:rPr>
          <w:rFonts w:eastAsia="Arial"/>
        </w:rPr>
        <w:t xml:space="preserve">nitial maintenance fees </w:t>
      </w:r>
      <w:r w:rsidR="00AD73D9">
        <w:rPr>
          <w:rFonts w:eastAsia="Arial"/>
        </w:rPr>
        <w:t>would</w:t>
      </w:r>
      <w:r w:rsidR="00AD73D9" w:rsidRPr="006F314D">
        <w:rPr>
          <w:rFonts w:eastAsia="Arial"/>
        </w:rPr>
        <w:t xml:space="preserve"> </w:t>
      </w:r>
      <w:r w:rsidRPr="006F314D">
        <w:rPr>
          <w:rFonts w:eastAsia="Arial"/>
        </w:rPr>
        <w:t>be set at $175 per room</w:t>
      </w:r>
      <w:r>
        <w:rPr>
          <w:rFonts w:eastAsia="Arial"/>
        </w:rPr>
        <w:t>, s</w:t>
      </w:r>
      <w:r w:rsidRPr="006F314D">
        <w:rPr>
          <w:rFonts w:eastAsia="Arial"/>
        </w:rPr>
        <w:t xml:space="preserve">ales prices </w:t>
      </w:r>
      <w:r w:rsidR="00AD73D9">
        <w:rPr>
          <w:rFonts w:eastAsia="Arial"/>
        </w:rPr>
        <w:t>would</w:t>
      </w:r>
      <w:r w:rsidR="00AD73D9" w:rsidRPr="006F314D">
        <w:rPr>
          <w:rFonts w:eastAsia="Arial"/>
        </w:rPr>
        <w:t xml:space="preserve"> </w:t>
      </w:r>
      <w:r w:rsidRPr="006F314D">
        <w:rPr>
          <w:rFonts w:eastAsia="Arial"/>
        </w:rPr>
        <w:t>be capped at 80% AMI</w:t>
      </w:r>
      <w:r>
        <w:rPr>
          <w:rFonts w:eastAsia="Arial"/>
        </w:rPr>
        <w:t>, and i</w:t>
      </w:r>
      <w:r w:rsidRPr="006F314D">
        <w:rPr>
          <w:rFonts w:eastAsia="Arial"/>
        </w:rPr>
        <w:t xml:space="preserve">ncomes </w:t>
      </w:r>
      <w:r w:rsidR="00AD73D9">
        <w:rPr>
          <w:rFonts w:eastAsia="Arial"/>
        </w:rPr>
        <w:t>would</w:t>
      </w:r>
      <w:r w:rsidR="00AD73D9" w:rsidRPr="006F314D">
        <w:rPr>
          <w:rFonts w:eastAsia="Arial"/>
        </w:rPr>
        <w:t xml:space="preserve"> </w:t>
      </w:r>
      <w:r w:rsidRPr="006F314D">
        <w:rPr>
          <w:rFonts w:eastAsia="Arial"/>
        </w:rPr>
        <w:t>be capped at 120% AMI</w:t>
      </w:r>
      <w:r>
        <w:rPr>
          <w:rFonts w:eastAsia="Arial"/>
        </w:rPr>
        <w:t>. However, if the project does</w:t>
      </w:r>
      <w:r w:rsidR="00AD73D9">
        <w:rPr>
          <w:rFonts w:eastAsia="Arial"/>
        </w:rPr>
        <w:t xml:space="preserve"> </w:t>
      </w:r>
      <w:r>
        <w:rPr>
          <w:rFonts w:eastAsia="Arial"/>
        </w:rPr>
        <w:t>n</w:t>
      </w:r>
      <w:r w:rsidR="00AD73D9">
        <w:rPr>
          <w:rFonts w:eastAsia="Arial"/>
        </w:rPr>
        <w:t>o</w:t>
      </w:r>
      <w:r>
        <w:rPr>
          <w:rFonts w:eastAsia="Arial"/>
        </w:rPr>
        <w:t>t become a limited-equity coop, then r</w:t>
      </w:r>
      <w:r w:rsidRPr="006F314D">
        <w:rPr>
          <w:rFonts w:eastAsia="Arial"/>
        </w:rPr>
        <w:t xml:space="preserve">ents </w:t>
      </w:r>
      <w:r w:rsidR="00AD73D9">
        <w:rPr>
          <w:rFonts w:eastAsia="Arial"/>
        </w:rPr>
        <w:t>would</w:t>
      </w:r>
      <w:r w:rsidR="00AD73D9" w:rsidRPr="006F314D">
        <w:rPr>
          <w:rFonts w:eastAsia="Arial"/>
        </w:rPr>
        <w:t xml:space="preserve"> </w:t>
      </w:r>
      <w:r w:rsidRPr="006F314D">
        <w:rPr>
          <w:rFonts w:eastAsia="Arial"/>
        </w:rPr>
        <w:t xml:space="preserve">be capped at 60% AMI </w:t>
      </w:r>
      <w:r>
        <w:rPr>
          <w:rFonts w:eastAsia="Arial"/>
        </w:rPr>
        <w:t>and i</w:t>
      </w:r>
      <w:r w:rsidRPr="006F314D">
        <w:rPr>
          <w:rFonts w:eastAsia="Arial"/>
        </w:rPr>
        <w:t>ncome</w:t>
      </w:r>
      <w:r>
        <w:rPr>
          <w:rFonts w:eastAsia="Arial"/>
        </w:rPr>
        <w:t>s</w:t>
      </w:r>
      <w:r w:rsidRPr="006F314D">
        <w:rPr>
          <w:rFonts w:eastAsia="Arial"/>
        </w:rPr>
        <w:t xml:space="preserve"> </w:t>
      </w:r>
      <w:r w:rsidR="00AD73D9">
        <w:rPr>
          <w:rFonts w:eastAsia="Arial"/>
        </w:rPr>
        <w:t>would</w:t>
      </w:r>
      <w:r w:rsidR="00AD73D9" w:rsidRPr="006F314D">
        <w:rPr>
          <w:rFonts w:eastAsia="Arial"/>
        </w:rPr>
        <w:t xml:space="preserve"> </w:t>
      </w:r>
      <w:r w:rsidRPr="006F314D">
        <w:rPr>
          <w:rFonts w:eastAsia="Arial"/>
        </w:rPr>
        <w:t>be capped at 70% AMI</w:t>
      </w:r>
      <w:r>
        <w:rPr>
          <w:rFonts w:eastAsia="Arial"/>
        </w:rPr>
        <w:t>.</w:t>
      </w:r>
    </w:p>
    <w:p w14:paraId="55C67547" w14:textId="77777777" w:rsidR="006F314D" w:rsidRDefault="006F314D" w:rsidP="006F314D">
      <w:pPr>
        <w:rPr>
          <w:rFonts w:eastAsia="Arial"/>
        </w:rPr>
      </w:pPr>
    </w:p>
    <w:p w14:paraId="398E1569" w14:textId="77777777" w:rsidR="006F314D" w:rsidRPr="0053456A" w:rsidRDefault="006F314D" w:rsidP="006F314D">
      <w:pPr>
        <w:rPr>
          <w:u w:val="single"/>
        </w:rPr>
      </w:pPr>
      <w:r w:rsidRPr="0053456A">
        <w:rPr>
          <w:u w:val="single"/>
        </w:rPr>
        <w:t>Summary:</w:t>
      </w:r>
    </w:p>
    <w:p w14:paraId="1AD83736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 xml:space="preserve">Borough – Brooklyn </w:t>
      </w:r>
    </w:p>
    <w:p w14:paraId="73CAD2D4" w14:textId="77777777" w:rsidR="006F314D" w:rsidRDefault="006F314D" w:rsidP="006F314D">
      <w:pPr>
        <w:pStyle w:val="MediumGrid1-Accent21"/>
        <w:numPr>
          <w:ilvl w:val="0"/>
          <w:numId w:val="1"/>
        </w:numPr>
      </w:pPr>
      <w:r w:rsidRPr="00521F20">
        <w:t xml:space="preserve">Block </w:t>
      </w:r>
      <w:r>
        <w:t>2437</w:t>
      </w:r>
      <w:r w:rsidRPr="00521F20">
        <w:t>, Lot</w:t>
      </w:r>
      <w:r>
        <w:t xml:space="preserve"> 11</w:t>
      </w:r>
    </w:p>
    <w:p w14:paraId="47070268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Council District – 34</w:t>
      </w:r>
    </w:p>
    <w:p w14:paraId="72F41F21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Council Member – Reynoso</w:t>
      </w:r>
    </w:p>
    <w:p w14:paraId="1A5B1C8B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Council Member approval – Yes</w:t>
      </w:r>
    </w:p>
    <w:p w14:paraId="3462B52C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Number of buildings – 1</w:t>
      </w:r>
    </w:p>
    <w:p w14:paraId="49CD270F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Number of units – 41</w:t>
      </w:r>
    </w:p>
    <w:p w14:paraId="5E604EA0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Type of exemption – Article XI, full, 40 years</w:t>
      </w:r>
    </w:p>
    <w:p w14:paraId="2FB54AB6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Population – affordable homeownership, with affordable rental fallback</w:t>
      </w:r>
    </w:p>
    <w:p w14:paraId="58FFE1E3" w14:textId="562BCBE8" w:rsidR="006F314D" w:rsidRDefault="006F314D" w:rsidP="006F314D">
      <w:pPr>
        <w:pStyle w:val="MediumGrid1-Accent21"/>
        <w:numPr>
          <w:ilvl w:val="0"/>
          <w:numId w:val="1"/>
        </w:numPr>
      </w:pPr>
      <w:r>
        <w:t xml:space="preserve">Sponsor – </w:t>
      </w:r>
      <w:r w:rsidRPr="006F314D">
        <w:t>340 South Third Street HDFC</w:t>
      </w:r>
    </w:p>
    <w:p w14:paraId="6B899D06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Purpose – preservation</w:t>
      </w:r>
    </w:p>
    <w:p w14:paraId="1959EE09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Cost to the City – $1.6M</w:t>
      </w:r>
    </w:p>
    <w:p w14:paraId="2A0D96AE" w14:textId="77777777" w:rsidR="006F314D" w:rsidRDefault="006F314D" w:rsidP="006F314D">
      <w:pPr>
        <w:pStyle w:val="MediumGrid1-Accent21"/>
        <w:numPr>
          <w:ilvl w:val="0"/>
          <w:numId w:val="1"/>
        </w:numPr>
      </w:pPr>
      <w:r>
        <w:t>Housing Code Violations</w:t>
      </w:r>
    </w:p>
    <w:p w14:paraId="665A48A8" w14:textId="77777777" w:rsidR="006F314D" w:rsidRDefault="006F314D" w:rsidP="006F314D">
      <w:pPr>
        <w:pStyle w:val="MediumGrid1-Accent21"/>
        <w:numPr>
          <w:ilvl w:val="1"/>
          <w:numId w:val="1"/>
        </w:numPr>
      </w:pPr>
      <w:r>
        <w:t>Class A – 25</w:t>
      </w:r>
    </w:p>
    <w:p w14:paraId="30A23EC2" w14:textId="77777777" w:rsidR="006F314D" w:rsidRDefault="006F314D" w:rsidP="006F314D">
      <w:pPr>
        <w:pStyle w:val="MediumGrid1-Accent21"/>
        <w:numPr>
          <w:ilvl w:val="1"/>
          <w:numId w:val="1"/>
        </w:numPr>
      </w:pPr>
      <w:r>
        <w:t>Class B – 79</w:t>
      </w:r>
    </w:p>
    <w:p w14:paraId="5B4E5744" w14:textId="77777777" w:rsidR="006F314D" w:rsidRDefault="006F314D" w:rsidP="006F314D">
      <w:pPr>
        <w:pStyle w:val="MediumGrid1-Accent21"/>
        <w:numPr>
          <w:ilvl w:val="1"/>
          <w:numId w:val="1"/>
        </w:numPr>
      </w:pPr>
      <w:r>
        <w:t>Class C – 16</w:t>
      </w:r>
    </w:p>
    <w:p w14:paraId="6776ADC8" w14:textId="17183204" w:rsidR="006F314D" w:rsidRDefault="006F314D" w:rsidP="006F314D">
      <w:pPr>
        <w:pStyle w:val="ListParagraph"/>
        <w:numPr>
          <w:ilvl w:val="0"/>
          <w:numId w:val="1"/>
        </w:numPr>
      </w:pPr>
      <w:r>
        <w:t xml:space="preserve">AMI targets – </w:t>
      </w:r>
      <w:r w:rsidRPr="006F314D">
        <w:t>120% AMI (homeownership)</w:t>
      </w:r>
      <w:r>
        <w:t xml:space="preserve"> or </w:t>
      </w:r>
      <w:r w:rsidRPr="006F314D">
        <w:t xml:space="preserve">70% </w:t>
      </w:r>
      <w:r>
        <w:t xml:space="preserve">AMI </w:t>
      </w:r>
      <w:r w:rsidRPr="006F314D">
        <w:t>(rental)</w:t>
      </w:r>
    </w:p>
    <w:p w14:paraId="4EF5C8F1" w14:textId="77777777" w:rsidR="00A92638" w:rsidRDefault="00A92638" w:rsidP="008F2502"/>
    <w:p w14:paraId="462AA5FC" w14:textId="11C97316" w:rsidR="00A92638" w:rsidRDefault="00A92638" w:rsidP="00A92638">
      <w:pPr>
        <w:jc w:val="both"/>
        <w:rPr>
          <w:b/>
          <w:u w:val="single"/>
        </w:rPr>
      </w:pPr>
      <w:r>
        <w:rPr>
          <w:b/>
          <w:u w:val="single"/>
        </w:rPr>
        <w:t>Item 4</w:t>
      </w:r>
      <w:r w:rsidRPr="003023B1">
        <w:rPr>
          <w:b/>
          <w:u w:val="single"/>
        </w:rPr>
        <w:t>:</w:t>
      </w:r>
      <w:r w:rsidRPr="009B57F7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Langsam</w:t>
      </w:r>
      <w:proofErr w:type="spellEnd"/>
      <w:r>
        <w:rPr>
          <w:b/>
          <w:u w:val="single"/>
        </w:rPr>
        <w:t xml:space="preserve"> 4 (1975 Davidson Ave., Bronx)</w:t>
      </w:r>
    </w:p>
    <w:p w14:paraId="6D2E859E" w14:textId="77777777" w:rsidR="00A92638" w:rsidRDefault="00A92638" w:rsidP="00A92638">
      <w:pPr>
        <w:jc w:val="both"/>
        <w:rPr>
          <w:b/>
          <w:u w:val="single"/>
        </w:rPr>
      </w:pPr>
    </w:p>
    <w:p w14:paraId="2CC8ECC5" w14:textId="41200721" w:rsidR="00A92638" w:rsidRDefault="00A92638" w:rsidP="00A92638">
      <w:pPr>
        <w:jc w:val="both"/>
      </w:pPr>
      <w:r>
        <w:t>In December 2018, Council approved partial 30-year Article XI tax exemptions for each of 17 buildings in the “</w:t>
      </w:r>
      <w:proofErr w:type="spellStart"/>
      <w:r>
        <w:t>Langsam</w:t>
      </w:r>
      <w:proofErr w:type="spellEnd"/>
      <w:r>
        <w:t xml:space="preserve"> Portfolio,” comprised of </w:t>
      </w:r>
      <w:r w:rsidRPr="00F766F6">
        <w:t>745 rent-stabilized residential units, 14 superintendent</w:t>
      </w:r>
      <w:r>
        <w:t>’</w:t>
      </w:r>
      <w:r w:rsidRPr="00F766F6">
        <w:t>s units, and 22 commerc</w:t>
      </w:r>
      <w:r>
        <w:t xml:space="preserve">ial units located in the Bronx. One of those properties was </w:t>
      </w:r>
      <w:proofErr w:type="spellStart"/>
      <w:r>
        <w:t>Langsam</w:t>
      </w:r>
      <w:proofErr w:type="spellEnd"/>
      <w:r>
        <w:t xml:space="preserve"> 4, located at 1975 Davidson Avenue. In order to correct a typographical error, HPD is requesting that Council approve a technical amendment to the prior resolution approving the </w:t>
      </w:r>
      <w:r w:rsidRPr="00F766F6">
        <w:t>partial, 30-year Article XI property tax exemption</w:t>
      </w:r>
      <w:r>
        <w:t xml:space="preserve"> for </w:t>
      </w:r>
      <w:proofErr w:type="spellStart"/>
      <w:r>
        <w:t>Langsam</w:t>
      </w:r>
      <w:proofErr w:type="spellEnd"/>
      <w:r>
        <w:t xml:space="preserve"> 4. </w:t>
      </w:r>
    </w:p>
    <w:p w14:paraId="33300A79" w14:textId="77777777" w:rsidR="00A92638" w:rsidRDefault="00A92638" w:rsidP="00A92638">
      <w:pPr>
        <w:jc w:val="both"/>
      </w:pPr>
    </w:p>
    <w:p w14:paraId="336EA382" w14:textId="77777777" w:rsidR="00A92638" w:rsidRPr="0053456A" w:rsidRDefault="00A92638" w:rsidP="00A92638">
      <w:pPr>
        <w:rPr>
          <w:u w:val="single"/>
        </w:rPr>
      </w:pPr>
      <w:r w:rsidRPr="0053456A">
        <w:rPr>
          <w:u w:val="single"/>
        </w:rPr>
        <w:t>Summary:</w:t>
      </w:r>
    </w:p>
    <w:p w14:paraId="3683725E" w14:textId="77777777" w:rsidR="00A92638" w:rsidRDefault="00A92638" w:rsidP="00A92638">
      <w:pPr>
        <w:pStyle w:val="MediumGrid1-Accent21"/>
        <w:numPr>
          <w:ilvl w:val="0"/>
          <w:numId w:val="1"/>
        </w:numPr>
      </w:pPr>
      <w:r>
        <w:t xml:space="preserve">Borough – Bronx </w:t>
      </w:r>
    </w:p>
    <w:p w14:paraId="6BC74634" w14:textId="77777777" w:rsidR="00A92638" w:rsidRDefault="00A92638" w:rsidP="00A92638">
      <w:pPr>
        <w:pStyle w:val="MediumGrid1-Accent21"/>
        <w:numPr>
          <w:ilvl w:val="0"/>
          <w:numId w:val="1"/>
        </w:numPr>
      </w:pPr>
      <w:r w:rsidRPr="00521F20">
        <w:t xml:space="preserve">Block </w:t>
      </w:r>
      <w:r>
        <w:t>2870</w:t>
      </w:r>
      <w:r w:rsidRPr="00521F20">
        <w:t>, Lot</w:t>
      </w:r>
      <w:r>
        <w:t xml:space="preserve"> 61</w:t>
      </w:r>
    </w:p>
    <w:p w14:paraId="56DD32B9" w14:textId="77777777" w:rsidR="00A92638" w:rsidRDefault="00A92638" w:rsidP="00A92638">
      <w:pPr>
        <w:pStyle w:val="MediumGrid1-Accent21"/>
        <w:numPr>
          <w:ilvl w:val="0"/>
          <w:numId w:val="1"/>
        </w:numPr>
      </w:pPr>
      <w:r>
        <w:t>Council District – 14</w:t>
      </w:r>
    </w:p>
    <w:p w14:paraId="7EEFCA88" w14:textId="77777777" w:rsidR="00A92638" w:rsidRDefault="00A92638" w:rsidP="00A92638">
      <w:pPr>
        <w:pStyle w:val="MediumGrid1-Accent21"/>
        <w:numPr>
          <w:ilvl w:val="0"/>
          <w:numId w:val="1"/>
        </w:numPr>
      </w:pPr>
      <w:r>
        <w:t>Council Member – Cabrera</w:t>
      </w:r>
    </w:p>
    <w:p w14:paraId="5039AFC0" w14:textId="77777777" w:rsidR="00A92638" w:rsidRDefault="00A92638" w:rsidP="00A92638">
      <w:pPr>
        <w:pStyle w:val="MediumGrid1-Accent21"/>
        <w:numPr>
          <w:ilvl w:val="0"/>
          <w:numId w:val="1"/>
        </w:numPr>
      </w:pPr>
      <w:r>
        <w:t>Council Member approval – Yes</w:t>
      </w:r>
    </w:p>
    <w:p w14:paraId="50184BC4" w14:textId="77777777" w:rsidR="00A92638" w:rsidRDefault="00A92638" w:rsidP="00A92638">
      <w:pPr>
        <w:pStyle w:val="MediumGrid1-Accent21"/>
        <w:numPr>
          <w:ilvl w:val="0"/>
          <w:numId w:val="1"/>
        </w:numPr>
      </w:pPr>
      <w:r>
        <w:t>Number of buildings – 1</w:t>
      </w:r>
    </w:p>
    <w:p w14:paraId="4F1F7113" w14:textId="77777777" w:rsidR="00A92638" w:rsidRDefault="00A92638" w:rsidP="00A92638">
      <w:pPr>
        <w:pStyle w:val="MediumGrid1-Accent21"/>
        <w:numPr>
          <w:ilvl w:val="0"/>
          <w:numId w:val="1"/>
        </w:numPr>
      </w:pPr>
      <w:r>
        <w:t>Number of units – 33</w:t>
      </w:r>
    </w:p>
    <w:p w14:paraId="0441BBB3" w14:textId="77777777" w:rsidR="00A92638" w:rsidRDefault="00A92638" w:rsidP="00A92638">
      <w:pPr>
        <w:pStyle w:val="MediumGrid1-Accent21"/>
        <w:numPr>
          <w:ilvl w:val="0"/>
          <w:numId w:val="1"/>
        </w:numPr>
      </w:pPr>
      <w:r>
        <w:t>Type of exemption – Article XI, partial, 30 years</w:t>
      </w:r>
    </w:p>
    <w:p w14:paraId="155EA2DB" w14:textId="4070F4E7" w:rsidR="00A92638" w:rsidRPr="006F314D" w:rsidRDefault="00A92638" w:rsidP="008F2502">
      <w:pPr>
        <w:pStyle w:val="MediumGrid1-Accent21"/>
        <w:numPr>
          <w:ilvl w:val="0"/>
          <w:numId w:val="1"/>
        </w:numPr>
      </w:pPr>
      <w:r>
        <w:t>Purpose – technical amendment</w:t>
      </w:r>
    </w:p>
    <w:sectPr w:rsidR="00A92638" w:rsidRPr="006F314D" w:rsidSect="00072993">
      <w:footerReference w:type="default" r:id="rId7"/>
      <w:pgSz w:w="12240" w:h="15840"/>
      <w:pgMar w:top="1296" w:right="1440" w:bottom="1152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A862" w14:textId="77777777" w:rsidR="00A92638" w:rsidRDefault="00A92638" w:rsidP="00A92638">
      <w:r>
        <w:separator/>
      </w:r>
    </w:p>
  </w:endnote>
  <w:endnote w:type="continuationSeparator" w:id="0">
    <w:p w14:paraId="2E04E4D1" w14:textId="77777777" w:rsidR="00A92638" w:rsidRDefault="00A92638" w:rsidP="00A9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02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2E46D" w14:textId="223C9BFA" w:rsidR="00A92638" w:rsidRDefault="00A92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121FC2" w14:textId="77777777" w:rsidR="00A92638" w:rsidRDefault="00A9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5EDB" w14:textId="77777777" w:rsidR="00A92638" w:rsidRDefault="00A92638" w:rsidP="00A92638">
      <w:r>
        <w:separator/>
      </w:r>
    </w:p>
  </w:footnote>
  <w:footnote w:type="continuationSeparator" w:id="0">
    <w:p w14:paraId="07431849" w14:textId="77777777" w:rsidR="00A92638" w:rsidRDefault="00A92638" w:rsidP="00A9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504"/>
    <w:multiLevelType w:val="hybridMultilevel"/>
    <w:tmpl w:val="B79E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061F4"/>
    <w:multiLevelType w:val="hybridMultilevel"/>
    <w:tmpl w:val="433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B"/>
    <w:rsid w:val="0002757A"/>
    <w:rsid w:val="000561A6"/>
    <w:rsid w:val="00072993"/>
    <w:rsid w:val="000E13FA"/>
    <w:rsid w:val="000E488F"/>
    <w:rsid w:val="00122975"/>
    <w:rsid w:val="00133658"/>
    <w:rsid w:val="001734DE"/>
    <w:rsid w:val="00176F9C"/>
    <w:rsid w:val="001C2722"/>
    <w:rsid w:val="00276FB5"/>
    <w:rsid w:val="002954A3"/>
    <w:rsid w:val="00302BC8"/>
    <w:rsid w:val="0031065A"/>
    <w:rsid w:val="00313B9D"/>
    <w:rsid w:val="00364767"/>
    <w:rsid w:val="00406408"/>
    <w:rsid w:val="004E2EE3"/>
    <w:rsid w:val="004E4F8E"/>
    <w:rsid w:val="004F6952"/>
    <w:rsid w:val="004F73B1"/>
    <w:rsid w:val="00501FE3"/>
    <w:rsid w:val="0057327D"/>
    <w:rsid w:val="005947BC"/>
    <w:rsid w:val="005B315D"/>
    <w:rsid w:val="005E7D72"/>
    <w:rsid w:val="00627117"/>
    <w:rsid w:val="006908D6"/>
    <w:rsid w:val="006B1E83"/>
    <w:rsid w:val="006C5F0D"/>
    <w:rsid w:val="006F314D"/>
    <w:rsid w:val="0072398B"/>
    <w:rsid w:val="00736B63"/>
    <w:rsid w:val="0074263B"/>
    <w:rsid w:val="007E09AD"/>
    <w:rsid w:val="007E0FFB"/>
    <w:rsid w:val="00855278"/>
    <w:rsid w:val="008701F1"/>
    <w:rsid w:val="00872493"/>
    <w:rsid w:val="008F2502"/>
    <w:rsid w:val="008F7E99"/>
    <w:rsid w:val="0090101E"/>
    <w:rsid w:val="00971B8F"/>
    <w:rsid w:val="00A146D4"/>
    <w:rsid w:val="00A36A8B"/>
    <w:rsid w:val="00A40AC9"/>
    <w:rsid w:val="00A92638"/>
    <w:rsid w:val="00AD73D9"/>
    <w:rsid w:val="00AF20E4"/>
    <w:rsid w:val="00B24E23"/>
    <w:rsid w:val="00B2771D"/>
    <w:rsid w:val="00B802F0"/>
    <w:rsid w:val="00B92CC3"/>
    <w:rsid w:val="00BC6068"/>
    <w:rsid w:val="00C36EA7"/>
    <w:rsid w:val="00C57D0B"/>
    <w:rsid w:val="00CB0286"/>
    <w:rsid w:val="00CB708C"/>
    <w:rsid w:val="00CE2D0F"/>
    <w:rsid w:val="00D061BC"/>
    <w:rsid w:val="00D623AF"/>
    <w:rsid w:val="00D86AE4"/>
    <w:rsid w:val="00D95389"/>
    <w:rsid w:val="00DD0D91"/>
    <w:rsid w:val="00DD6CD5"/>
    <w:rsid w:val="00DF451B"/>
    <w:rsid w:val="00E05A67"/>
    <w:rsid w:val="00E10DE3"/>
    <w:rsid w:val="00E30EF4"/>
    <w:rsid w:val="00E9371B"/>
    <w:rsid w:val="00E944A6"/>
    <w:rsid w:val="00EA2BEA"/>
    <w:rsid w:val="00EE6475"/>
    <w:rsid w:val="00EF1417"/>
    <w:rsid w:val="00EF331D"/>
    <w:rsid w:val="00F26530"/>
    <w:rsid w:val="00F26FC3"/>
    <w:rsid w:val="00F535C2"/>
    <w:rsid w:val="00FB3611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E9E5C"/>
  <w15:chartTrackingRefBased/>
  <w15:docId w15:val="{2243D586-33ED-4E59-A34F-59264EE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E0FFB"/>
    <w:pPr>
      <w:ind w:left="720"/>
    </w:pPr>
  </w:style>
  <w:style w:type="paragraph" w:styleId="ListParagraph">
    <w:name w:val="List Paragraph"/>
    <w:basedOn w:val="Normal"/>
    <w:uiPriority w:val="34"/>
    <w:qFormat/>
    <w:rsid w:val="00D86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2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3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Noah</dc:creator>
  <cp:keywords/>
  <dc:description/>
  <cp:lastModifiedBy>DelFranco, Ruthie</cp:lastModifiedBy>
  <cp:revision>2</cp:revision>
  <cp:lastPrinted>2019-08-13T18:35:00Z</cp:lastPrinted>
  <dcterms:created xsi:type="dcterms:W3CDTF">2019-08-13T20:18:00Z</dcterms:created>
  <dcterms:modified xsi:type="dcterms:W3CDTF">2019-08-13T20:18:00Z</dcterms:modified>
</cp:coreProperties>
</file>