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575C70" w:rsidRPr="003E7EE9" w:rsidRDefault="00575C70" w:rsidP="00575C70">
      <w:pPr>
        <w:jc w:val="center"/>
        <w:rPr>
          <w:b/>
          <w:sz w:val="24"/>
          <w:szCs w:val="24"/>
        </w:rPr>
      </w:pPr>
      <w:r w:rsidRPr="003E7EE9">
        <w:rPr>
          <w:b/>
          <w:sz w:val="24"/>
          <w:szCs w:val="24"/>
        </w:rPr>
        <w:t>SUBCOMMITTEE ON LANDMARKS, PUBLIC SITING</w:t>
      </w:r>
    </w:p>
    <w:p w:rsidR="00575C70" w:rsidRPr="003E7EE9" w:rsidRDefault="00575C70" w:rsidP="00575C70">
      <w:pPr>
        <w:jc w:val="center"/>
        <w:rPr>
          <w:b/>
          <w:sz w:val="24"/>
          <w:szCs w:val="24"/>
        </w:rPr>
      </w:pPr>
      <w:r w:rsidRPr="003E7EE9">
        <w:rPr>
          <w:b/>
          <w:sz w:val="24"/>
          <w:szCs w:val="24"/>
        </w:rPr>
        <w:t>AND MARITIME USES</w:t>
      </w:r>
    </w:p>
    <w:p w:rsidR="00E4613D" w:rsidRDefault="00E4613D">
      <w:pPr>
        <w:jc w:val="center"/>
        <w:rPr>
          <w:b/>
          <w:sz w:val="24"/>
        </w:rPr>
      </w:pPr>
    </w:p>
    <w:p w:rsidR="004615AD" w:rsidRDefault="00E4613D">
      <w:pPr>
        <w:jc w:val="center"/>
        <w:rPr>
          <w:b/>
          <w:sz w:val="24"/>
        </w:rPr>
      </w:pPr>
      <w:r>
        <w:rPr>
          <w:b/>
          <w:sz w:val="24"/>
        </w:rPr>
        <w:t>L.U. No</w:t>
      </w:r>
      <w:r w:rsidR="00CF6634">
        <w:rPr>
          <w:b/>
          <w:sz w:val="24"/>
        </w:rPr>
        <w:t>s</w:t>
      </w:r>
      <w:r>
        <w:rPr>
          <w:b/>
          <w:sz w:val="24"/>
        </w:rPr>
        <w:t xml:space="preserve">. </w:t>
      </w:r>
      <w:r w:rsidR="00CF6634">
        <w:rPr>
          <w:b/>
          <w:sz w:val="24"/>
        </w:rPr>
        <w:t>467 and 468</w:t>
      </w:r>
      <w:r>
        <w:rPr>
          <w:b/>
          <w:sz w:val="24"/>
        </w:rPr>
        <w:t xml:space="preserve"> </w:t>
      </w:r>
    </w:p>
    <w:p w:rsidR="00E4613D" w:rsidRDefault="00E4613D">
      <w:pPr>
        <w:jc w:val="center"/>
        <w:rPr>
          <w:b/>
          <w:sz w:val="24"/>
        </w:rPr>
      </w:pPr>
      <w:r>
        <w:rPr>
          <w:b/>
          <w:sz w:val="24"/>
        </w:rPr>
        <w:t>(Res. No</w:t>
      </w:r>
      <w:r w:rsidR="004615AD">
        <w:rPr>
          <w:b/>
          <w:sz w:val="24"/>
        </w:rPr>
        <w:t>s</w:t>
      </w:r>
      <w:r>
        <w:rPr>
          <w:b/>
          <w:sz w:val="24"/>
        </w:rPr>
        <w:t>.</w:t>
      </w:r>
      <w:r w:rsidR="00A17B48">
        <w:rPr>
          <w:b/>
          <w:sz w:val="24"/>
        </w:rPr>
        <w:t xml:space="preserve"> </w:t>
      </w:r>
      <w:r w:rsidR="004615AD">
        <w:rPr>
          <w:b/>
          <w:sz w:val="24"/>
        </w:rPr>
        <w:t>1013 and 1014</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A56C11">
        <w:rPr>
          <w:b/>
          <w:sz w:val="24"/>
        </w:rPr>
        <w:t>Salamanca</w:t>
      </w:r>
      <w:r w:rsidR="00277209">
        <w:rPr>
          <w:b/>
          <w:sz w:val="24"/>
        </w:rPr>
        <w:t xml:space="preserve"> and </w:t>
      </w:r>
      <w:r w:rsidR="00575C70">
        <w:rPr>
          <w:b/>
          <w:sz w:val="24"/>
        </w:rPr>
        <w:t>Adams</w:t>
      </w:r>
    </w:p>
    <w:p w:rsidR="00E4613D" w:rsidRDefault="00E4613D">
      <w:pPr>
        <w:rPr>
          <w:b/>
          <w:sz w:val="24"/>
        </w:rPr>
      </w:pPr>
    </w:p>
    <w:p w:rsidR="00E4613D" w:rsidRDefault="00E4613D">
      <w:pPr>
        <w:rPr>
          <w:b/>
          <w:sz w:val="24"/>
        </w:rPr>
      </w:pPr>
    </w:p>
    <w:p w:rsidR="00E4613D" w:rsidRDefault="00E4613D">
      <w:pPr>
        <w:pStyle w:val="Heading2"/>
      </w:pPr>
      <w:r>
        <w:t>SUBJECT</w:t>
      </w:r>
    </w:p>
    <w:p w:rsidR="00E4613D" w:rsidRDefault="00E4613D">
      <w:pPr>
        <w:rPr>
          <w:sz w:val="24"/>
        </w:rPr>
      </w:pPr>
    </w:p>
    <w:p w:rsidR="00D05100" w:rsidRDefault="00D05100" w:rsidP="00D05100">
      <w:pPr>
        <w:widowControl w:val="0"/>
        <w:tabs>
          <w:tab w:val="left" w:pos="7740"/>
          <w:tab w:val="left" w:pos="8010"/>
          <w:tab w:val="left" w:pos="8100"/>
          <w:tab w:val="left" w:pos="8190"/>
          <w:tab w:val="left" w:pos="8280"/>
          <w:tab w:val="left" w:pos="8460"/>
        </w:tabs>
        <w:spacing w:after="3" w:line="250" w:lineRule="auto"/>
        <w:ind w:right="58"/>
        <w:jc w:val="both"/>
        <w:rPr>
          <w:b/>
          <w:snapToGrid w:val="0"/>
          <w:sz w:val="24"/>
          <w:szCs w:val="24"/>
        </w:rPr>
      </w:pPr>
    </w:p>
    <w:p w:rsidR="00D05100" w:rsidRDefault="00D05100" w:rsidP="00D05100">
      <w:pPr>
        <w:tabs>
          <w:tab w:val="left" w:pos="2430"/>
          <w:tab w:val="left" w:pos="7020"/>
        </w:tabs>
        <w:ind w:left="2430" w:hanging="2430"/>
        <w:jc w:val="both"/>
        <w:rPr>
          <w:b/>
          <w:sz w:val="24"/>
          <w:szCs w:val="24"/>
        </w:rPr>
      </w:pPr>
      <w:r>
        <w:rPr>
          <w:b/>
          <w:sz w:val="24"/>
          <w:szCs w:val="24"/>
        </w:rPr>
        <w:t xml:space="preserve">BRONX CB-1  -  TWO APPLICATIONS RELATED TO 784 </w:t>
      </w:r>
      <w:r w:rsidR="00CF6634">
        <w:rPr>
          <w:b/>
          <w:sz w:val="24"/>
          <w:szCs w:val="24"/>
        </w:rPr>
        <w:t>COURTLANDT AVENUE</w:t>
      </w:r>
    </w:p>
    <w:p w:rsidR="00D05100" w:rsidRDefault="00D05100" w:rsidP="00D05100">
      <w:pPr>
        <w:widowControl w:val="0"/>
        <w:tabs>
          <w:tab w:val="left" w:pos="7740"/>
          <w:tab w:val="left" w:pos="8010"/>
          <w:tab w:val="left" w:pos="8100"/>
          <w:tab w:val="left" w:pos="8190"/>
          <w:tab w:val="left" w:pos="8280"/>
          <w:tab w:val="left" w:pos="8460"/>
        </w:tabs>
        <w:spacing w:after="3" w:line="250" w:lineRule="auto"/>
        <w:ind w:right="58"/>
        <w:jc w:val="both"/>
        <w:rPr>
          <w:b/>
          <w:snapToGrid w:val="0"/>
          <w:sz w:val="24"/>
          <w:szCs w:val="24"/>
        </w:rPr>
      </w:pPr>
    </w:p>
    <w:p w:rsidR="00D05100" w:rsidRDefault="00D05100" w:rsidP="00D05100">
      <w:pPr>
        <w:widowControl w:val="0"/>
        <w:tabs>
          <w:tab w:val="left" w:pos="7740"/>
          <w:tab w:val="left" w:pos="8010"/>
          <w:tab w:val="left" w:pos="8100"/>
          <w:tab w:val="left" w:pos="8190"/>
          <w:tab w:val="left" w:pos="8280"/>
          <w:tab w:val="left" w:pos="8460"/>
        </w:tabs>
        <w:spacing w:after="3" w:line="250" w:lineRule="auto"/>
        <w:ind w:right="58"/>
        <w:jc w:val="both"/>
        <w:rPr>
          <w:b/>
          <w:snapToGrid w:val="0"/>
          <w:sz w:val="24"/>
          <w:szCs w:val="24"/>
        </w:rPr>
      </w:pPr>
    </w:p>
    <w:p w:rsidR="00451F0D" w:rsidRPr="00D05100" w:rsidRDefault="00451F0D" w:rsidP="00451F0D">
      <w:pPr>
        <w:widowControl w:val="0"/>
        <w:tabs>
          <w:tab w:val="left" w:pos="7740"/>
          <w:tab w:val="left" w:pos="8010"/>
          <w:tab w:val="left" w:pos="8100"/>
          <w:tab w:val="left" w:pos="8190"/>
          <w:tab w:val="left" w:pos="8280"/>
          <w:tab w:val="left" w:pos="8460"/>
        </w:tabs>
        <w:spacing w:after="3" w:line="250" w:lineRule="auto"/>
        <w:ind w:right="58"/>
        <w:jc w:val="both"/>
        <w:rPr>
          <w:b/>
          <w:color w:val="000000"/>
          <w:sz w:val="24"/>
          <w:szCs w:val="22"/>
        </w:rPr>
      </w:pPr>
      <w:r w:rsidRPr="00D05100">
        <w:rPr>
          <w:b/>
          <w:snapToGrid w:val="0"/>
          <w:sz w:val="24"/>
          <w:szCs w:val="24"/>
        </w:rPr>
        <w:t>BRONX</w:t>
      </w:r>
      <w:r w:rsidRPr="00D05100">
        <w:rPr>
          <w:b/>
          <w:snapToGrid w:val="0"/>
          <w:sz w:val="26"/>
        </w:rPr>
        <w:t xml:space="preserve"> </w:t>
      </w:r>
      <w:r w:rsidRPr="00D05100">
        <w:rPr>
          <w:b/>
          <w:snapToGrid w:val="0"/>
          <w:sz w:val="24"/>
          <w:szCs w:val="24"/>
        </w:rPr>
        <w:t>CB - 1</w:t>
      </w:r>
      <w:r w:rsidRPr="00D05100">
        <w:rPr>
          <w:b/>
          <w:snapToGrid w:val="0"/>
          <w:sz w:val="24"/>
          <w:szCs w:val="24"/>
        </w:rPr>
        <w:tab/>
      </w:r>
      <w:r w:rsidRPr="00D05100">
        <w:rPr>
          <w:b/>
          <w:color w:val="000000"/>
          <w:sz w:val="24"/>
          <w:szCs w:val="22"/>
        </w:rPr>
        <w:t>C 19029</w:t>
      </w:r>
      <w:r>
        <w:rPr>
          <w:b/>
          <w:color w:val="000000"/>
          <w:sz w:val="24"/>
          <w:szCs w:val="22"/>
        </w:rPr>
        <w:t>2</w:t>
      </w:r>
      <w:r w:rsidRPr="00D05100">
        <w:rPr>
          <w:b/>
          <w:color w:val="000000"/>
          <w:sz w:val="24"/>
          <w:szCs w:val="22"/>
        </w:rPr>
        <w:t xml:space="preserve"> H</w:t>
      </w:r>
      <w:r>
        <w:rPr>
          <w:b/>
          <w:color w:val="000000"/>
          <w:sz w:val="24"/>
          <w:szCs w:val="22"/>
        </w:rPr>
        <w:t>U</w:t>
      </w:r>
      <w:r w:rsidRPr="00D05100">
        <w:rPr>
          <w:b/>
          <w:color w:val="000000"/>
          <w:sz w:val="24"/>
          <w:szCs w:val="22"/>
        </w:rPr>
        <w:t>X</w:t>
      </w:r>
    </w:p>
    <w:p w:rsidR="00451F0D" w:rsidRDefault="00451F0D" w:rsidP="00CF6634">
      <w:pPr>
        <w:widowControl w:val="0"/>
        <w:tabs>
          <w:tab w:val="left" w:pos="7740"/>
          <w:tab w:val="left" w:pos="8010"/>
          <w:tab w:val="left" w:pos="8100"/>
          <w:tab w:val="left" w:pos="8190"/>
          <w:tab w:val="left" w:pos="8280"/>
          <w:tab w:val="left" w:pos="8460"/>
        </w:tabs>
        <w:spacing w:after="3" w:line="250" w:lineRule="auto"/>
        <w:ind w:right="58"/>
        <w:jc w:val="both"/>
        <w:rPr>
          <w:b/>
          <w:snapToGrid w:val="0"/>
          <w:sz w:val="24"/>
          <w:szCs w:val="24"/>
        </w:rPr>
      </w:pPr>
    </w:p>
    <w:p w:rsidR="00451F0D" w:rsidRPr="00451F0D" w:rsidRDefault="00451F0D" w:rsidP="00451F0D">
      <w:pPr>
        <w:tabs>
          <w:tab w:val="left" w:pos="720"/>
        </w:tabs>
        <w:spacing w:after="3" w:line="238" w:lineRule="auto"/>
        <w:ind w:left="-5" w:hanging="10"/>
        <w:jc w:val="both"/>
        <w:rPr>
          <w:color w:val="000000"/>
          <w:sz w:val="24"/>
          <w:szCs w:val="24"/>
        </w:rPr>
      </w:pPr>
      <w:r>
        <w:rPr>
          <w:color w:val="000000"/>
          <w:sz w:val="24"/>
          <w:szCs w:val="24"/>
        </w:rPr>
        <w:tab/>
      </w:r>
      <w:r>
        <w:rPr>
          <w:color w:val="000000"/>
          <w:sz w:val="24"/>
          <w:szCs w:val="24"/>
        </w:rPr>
        <w:tab/>
      </w:r>
      <w:r w:rsidRPr="00C169E0">
        <w:rPr>
          <w:sz w:val="24"/>
          <w:szCs w:val="24"/>
        </w:rPr>
        <w:t xml:space="preserve">City Planning Commission decision approving an </w:t>
      </w:r>
      <w:r w:rsidRPr="00377C0D">
        <w:rPr>
          <w:sz w:val="24"/>
          <w:szCs w:val="24"/>
        </w:rPr>
        <w:t xml:space="preserve">application submitted </w:t>
      </w:r>
      <w:r>
        <w:rPr>
          <w:sz w:val="24"/>
          <w:szCs w:val="24"/>
        </w:rPr>
        <w:t>a</w:t>
      </w:r>
      <w:r w:rsidRPr="00451F0D">
        <w:rPr>
          <w:color w:val="000000"/>
          <w:sz w:val="24"/>
          <w:szCs w:val="24"/>
        </w:rPr>
        <w:t>pplication submitted by the Department of Housing Preservation and Development (HPD) pursuant to Section 505 of Article 15 of the General Municipal (Urban Renewal) Law of New York State and Section 197-c of the New York City Charter, for the fourth amendment to the Melrose Commons Urban Renewal Plan for the Melrose Commons Urban Renewal Area</w:t>
      </w:r>
      <w:r>
        <w:rPr>
          <w:color w:val="000000"/>
          <w:sz w:val="24"/>
          <w:szCs w:val="24"/>
        </w:rPr>
        <w:t>.</w:t>
      </w:r>
    </w:p>
    <w:p w:rsidR="00451F0D" w:rsidRDefault="00451F0D" w:rsidP="00CF6634">
      <w:pPr>
        <w:widowControl w:val="0"/>
        <w:tabs>
          <w:tab w:val="left" w:pos="7740"/>
          <w:tab w:val="left" w:pos="8010"/>
          <w:tab w:val="left" w:pos="8100"/>
          <w:tab w:val="left" w:pos="8190"/>
          <w:tab w:val="left" w:pos="8280"/>
          <w:tab w:val="left" w:pos="8460"/>
        </w:tabs>
        <w:spacing w:after="3" w:line="250" w:lineRule="auto"/>
        <w:ind w:right="58"/>
        <w:jc w:val="both"/>
        <w:rPr>
          <w:b/>
          <w:snapToGrid w:val="0"/>
          <w:sz w:val="24"/>
          <w:szCs w:val="24"/>
        </w:rPr>
      </w:pPr>
    </w:p>
    <w:p w:rsidR="00451F0D" w:rsidRDefault="00451F0D" w:rsidP="00CF6634">
      <w:pPr>
        <w:widowControl w:val="0"/>
        <w:tabs>
          <w:tab w:val="left" w:pos="7740"/>
          <w:tab w:val="left" w:pos="8010"/>
          <w:tab w:val="left" w:pos="8100"/>
          <w:tab w:val="left" w:pos="8190"/>
          <w:tab w:val="left" w:pos="8280"/>
          <w:tab w:val="left" w:pos="8460"/>
        </w:tabs>
        <w:spacing w:after="3" w:line="250" w:lineRule="auto"/>
        <w:ind w:right="58"/>
        <w:jc w:val="both"/>
        <w:rPr>
          <w:b/>
          <w:snapToGrid w:val="0"/>
          <w:sz w:val="24"/>
          <w:szCs w:val="24"/>
        </w:rPr>
      </w:pPr>
    </w:p>
    <w:p w:rsidR="00D05100" w:rsidRPr="00D05100" w:rsidRDefault="00D05100" w:rsidP="00CF6634">
      <w:pPr>
        <w:widowControl w:val="0"/>
        <w:tabs>
          <w:tab w:val="left" w:pos="7740"/>
          <w:tab w:val="left" w:pos="8010"/>
          <w:tab w:val="left" w:pos="8100"/>
          <w:tab w:val="left" w:pos="8190"/>
          <w:tab w:val="left" w:pos="8280"/>
          <w:tab w:val="left" w:pos="8460"/>
        </w:tabs>
        <w:spacing w:after="3" w:line="250" w:lineRule="auto"/>
        <w:ind w:right="58"/>
        <w:jc w:val="both"/>
        <w:rPr>
          <w:b/>
          <w:color w:val="000000"/>
          <w:sz w:val="24"/>
          <w:szCs w:val="22"/>
        </w:rPr>
      </w:pPr>
      <w:r w:rsidRPr="00D05100">
        <w:rPr>
          <w:b/>
          <w:snapToGrid w:val="0"/>
          <w:sz w:val="24"/>
          <w:szCs w:val="24"/>
        </w:rPr>
        <w:t>BRONX</w:t>
      </w:r>
      <w:r w:rsidRPr="00D05100">
        <w:rPr>
          <w:b/>
          <w:snapToGrid w:val="0"/>
          <w:sz w:val="26"/>
        </w:rPr>
        <w:t xml:space="preserve"> </w:t>
      </w:r>
      <w:r w:rsidRPr="00D05100">
        <w:rPr>
          <w:b/>
          <w:snapToGrid w:val="0"/>
          <w:sz w:val="24"/>
          <w:szCs w:val="24"/>
        </w:rPr>
        <w:t>CB - 1</w:t>
      </w:r>
      <w:r w:rsidRPr="00D05100">
        <w:rPr>
          <w:b/>
          <w:snapToGrid w:val="0"/>
          <w:sz w:val="24"/>
          <w:szCs w:val="24"/>
        </w:rPr>
        <w:tab/>
      </w:r>
      <w:r w:rsidRPr="00D05100">
        <w:rPr>
          <w:b/>
          <w:color w:val="000000"/>
          <w:sz w:val="24"/>
          <w:szCs w:val="22"/>
        </w:rPr>
        <w:t>C 190293 HAX</w:t>
      </w:r>
    </w:p>
    <w:p w:rsidR="00D05100" w:rsidRPr="00D05100" w:rsidRDefault="00D05100" w:rsidP="00CF6634">
      <w:pPr>
        <w:widowControl w:val="0"/>
        <w:spacing w:after="3" w:line="250" w:lineRule="auto"/>
        <w:ind w:left="720" w:right="58" w:hanging="14"/>
        <w:jc w:val="both"/>
        <w:rPr>
          <w:b/>
          <w:snapToGrid w:val="0"/>
          <w:sz w:val="24"/>
          <w:szCs w:val="24"/>
        </w:rPr>
      </w:pPr>
    </w:p>
    <w:p w:rsidR="00CF6634" w:rsidRPr="00377C0D" w:rsidRDefault="00CF6634" w:rsidP="00C65EF1">
      <w:pPr>
        <w:pStyle w:val="BodyText"/>
        <w:rPr>
          <w:szCs w:val="24"/>
        </w:rPr>
      </w:pPr>
      <w:r>
        <w:rPr>
          <w:color w:val="000000"/>
          <w:szCs w:val="22"/>
        </w:rPr>
        <w:tab/>
      </w:r>
      <w:r w:rsidRPr="00C169E0">
        <w:rPr>
          <w:szCs w:val="24"/>
        </w:rPr>
        <w:t xml:space="preserve">City Planning Commission decision approving an </w:t>
      </w:r>
      <w:r w:rsidRPr="00377C0D">
        <w:rPr>
          <w:szCs w:val="24"/>
        </w:rPr>
        <w:t>application submitted by the Department of Housing Preservation and Development (HPD)</w:t>
      </w:r>
      <w:r w:rsidR="00C65EF1">
        <w:rPr>
          <w:szCs w:val="24"/>
        </w:rPr>
        <w:t>;</w:t>
      </w:r>
    </w:p>
    <w:p w:rsidR="00CF6634" w:rsidRPr="00377C0D" w:rsidRDefault="00CF6634" w:rsidP="00C65EF1">
      <w:pPr>
        <w:pStyle w:val="BodyText"/>
        <w:rPr>
          <w:szCs w:val="24"/>
        </w:rPr>
      </w:pPr>
    </w:p>
    <w:p w:rsidR="00CF6634" w:rsidRPr="00377C0D" w:rsidRDefault="00CF6634" w:rsidP="00C65EF1">
      <w:pPr>
        <w:pStyle w:val="ListParagraph"/>
        <w:numPr>
          <w:ilvl w:val="0"/>
          <w:numId w:val="5"/>
        </w:numPr>
        <w:tabs>
          <w:tab w:val="left" w:pos="720"/>
        </w:tabs>
        <w:autoSpaceDE w:val="0"/>
        <w:autoSpaceDN w:val="0"/>
        <w:spacing w:after="0" w:line="240" w:lineRule="auto"/>
        <w:ind w:right="0" w:hanging="720"/>
        <w:contextualSpacing w:val="0"/>
        <w:rPr>
          <w:szCs w:val="24"/>
        </w:rPr>
      </w:pPr>
      <w:r w:rsidRPr="00377C0D">
        <w:rPr>
          <w:szCs w:val="24"/>
        </w:rPr>
        <w:t>pursuant to Article 16 of the General Municipal Law of New York State</w:t>
      </w:r>
      <w:r w:rsidRPr="00377C0D">
        <w:rPr>
          <w:spacing w:val="-13"/>
          <w:szCs w:val="24"/>
        </w:rPr>
        <w:t xml:space="preserve"> </w:t>
      </w:r>
      <w:r w:rsidRPr="00377C0D">
        <w:rPr>
          <w:szCs w:val="24"/>
        </w:rPr>
        <w:t>for:</w:t>
      </w:r>
    </w:p>
    <w:p w:rsidR="00CF6634" w:rsidRPr="00377C0D" w:rsidRDefault="00CF6634" w:rsidP="00C65EF1">
      <w:pPr>
        <w:pStyle w:val="BodyText"/>
        <w:rPr>
          <w:szCs w:val="24"/>
        </w:rPr>
      </w:pPr>
    </w:p>
    <w:p w:rsidR="00CF6634" w:rsidRPr="00377C0D" w:rsidRDefault="00CF6634" w:rsidP="00C65EF1">
      <w:pPr>
        <w:pStyle w:val="ListParagraph"/>
        <w:numPr>
          <w:ilvl w:val="1"/>
          <w:numId w:val="5"/>
        </w:numPr>
        <w:autoSpaceDE w:val="0"/>
        <w:autoSpaceDN w:val="0"/>
        <w:spacing w:after="0" w:line="240" w:lineRule="auto"/>
        <w:ind w:right="0" w:hanging="540"/>
        <w:contextualSpacing w:val="0"/>
        <w:rPr>
          <w:szCs w:val="24"/>
        </w:rPr>
      </w:pPr>
      <w:r w:rsidRPr="00377C0D">
        <w:rPr>
          <w:szCs w:val="24"/>
        </w:rPr>
        <w:t>the designation of property located at 359 East 157</w:t>
      </w:r>
      <w:r w:rsidRPr="00377C0D">
        <w:rPr>
          <w:szCs w:val="24"/>
          <w:vertAlign w:val="superscript"/>
        </w:rPr>
        <w:t>th</w:t>
      </w:r>
      <w:r w:rsidRPr="00377C0D">
        <w:rPr>
          <w:szCs w:val="24"/>
        </w:rPr>
        <w:t xml:space="preserve"> Street and 784 Courtlandt Avenue (Block 2404, Lots 1 and 2)</w:t>
      </w:r>
      <w:r w:rsidRPr="00377C0D">
        <w:rPr>
          <w:color w:val="FF0000"/>
          <w:szCs w:val="24"/>
        </w:rPr>
        <w:t xml:space="preserve"> </w:t>
      </w:r>
      <w:r w:rsidRPr="00377C0D">
        <w:rPr>
          <w:szCs w:val="24"/>
        </w:rPr>
        <w:t>as an Urban Development Action Area;</w:t>
      </w:r>
      <w:r w:rsidRPr="00377C0D">
        <w:rPr>
          <w:spacing w:val="-2"/>
          <w:szCs w:val="24"/>
        </w:rPr>
        <w:t xml:space="preserve"> </w:t>
      </w:r>
      <w:r w:rsidRPr="00377C0D">
        <w:rPr>
          <w:szCs w:val="24"/>
        </w:rPr>
        <w:t>and</w:t>
      </w:r>
    </w:p>
    <w:p w:rsidR="00CF6634" w:rsidRPr="00377C0D" w:rsidRDefault="00CF6634" w:rsidP="00C65EF1">
      <w:pPr>
        <w:pStyle w:val="ListParagraph"/>
        <w:numPr>
          <w:ilvl w:val="1"/>
          <w:numId w:val="5"/>
        </w:numPr>
        <w:autoSpaceDE w:val="0"/>
        <w:autoSpaceDN w:val="0"/>
        <w:spacing w:before="201" w:after="0" w:line="240" w:lineRule="auto"/>
        <w:ind w:left="1350" w:right="0" w:hanging="539"/>
        <w:contextualSpacing w:val="0"/>
        <w:rPr>
          <w:szCs w:val="24"/>
        </w:rPr>
      </w:pPr>
      <w:r w:rsidRPr="00377C0D">
        <w:rPr>
          <w:szCs w:val="24"/>
        </w:rPr>
        <w:t>an Urban Development Action Area Project for such area;</w:t>
      </w:r>
      <w:r w:rsidRPr="00377C0D">
        <w:rPr>
          <w:spacing w:val="-3"/>
          <w:szCs w:val="24"/>
        </w:rPr>
        <w:t xml:space="preserve"> </w:t>
      </w:r>
      <w:r w:rsidRPr="00377C0D">
        <w:rPr>
          <w:szCs w:val="24"/>
        </w:rPr>
        <w:t>and</w:t>
      </w:r>
    </w:p>
    <w:p w:rsidR="00CF6634" w:rsidRPr="00377C0D" w:rsidRDefault="00CF6634" w:rsidP="00C65EF1">
      <w:pPr>
        <w:pStyle w:val="BodyText"/>
        <w:rPr>
          <w:szCs w:val="24"/>
        </w:rPr>
      </w:pPr>
    </w:p>
    <w:p w:rsidR="00CF6634" w:rsidRPr="00377C0D" w:rsidRDefault="00CF6634" w:rsidP="00C65EF1">
      <w:pPr>
        <w:pStyle w:val="ListParagraph"/>
        <w:numPr>
          <w:ilvl w:val="0"/>
          <w:numId w:val="5"/>
        </w:numPr>
        <w:tabs>
          <w:tab w:val="left" w:pos="720"/>
        </w:tabs>
        <w:autoSpaceDE w:val="0"/>
        <w:autoSpaceDN w:val="0"/>
        <w:spacing w:after="0" w:line="240" w:lineRule="auto"/>
        <w:ind w:right="0" w:hanging="720"/>
        <w:contextualSpacing w:val="0"/>
        <w:rPr>
          <w:szCs w:val="24"/>
        </w:rPr>
      </w:pPr>
      <w:r w:rsidRPr="00377C0D">
        <w:rPr>
          <w:szCs w:val="24"/>
        </w:rPr>
        <w:t>pursuant to Section 197-c of the New York City Charter for the disposition of such property to a developer to be selected by</w:t>
      </w:r>
      <w:r w:rsidRPr="00377C0D">
        <w:rPr>
          <w:spacing w:val="-1"/>
          <w:szCs w:val="24"/>
        </w:rPr>
        <w:t xml:space="preserve"> </w:t>
      </w:r>
      <w:r w:rsidRPr="00377C0D">
        <w:rPr>
          <w:szCs w:val="24"/>
        </w:rPr>
        <w:t>HPD;</w:t>
      </w:r>
    </w:p>
    <w:p w:rsidR="00CF6634" w:rsidRPr="00377C0D" w:rsidRDefault="00CF6634" w:rsidP="00C65EF1">
      <w:pPr>
        <w:pStyle w:val="BodyText"/>
        <w:rPr>
          <w:szCs w:val="24"/>
        </w:rPr>
      </w:pPr>
    </w:p>
    <w:p w:rsidR="00CF6634" w:rsidRPr="009E02FB" w:rsidRDefault="00CF6634" w:rsidP="00C65EF1">
      <w:pPr>
        <w:pStyle w:val="BodyText"/>
        <w:rPr>
          <w:szCs w:val="24"/>
        </w:rPr>
      </w:pPr>
      <w:r w:rsidRPr="009E02FB">
        <w:rPr>
          <w:szCs w:val="24"/>
        </w:rPr>
        <w:lastRenderedPageBreak/>
        <w:t>to facilitate development of a building containing approximately 20 affordable housing units, retail and community facility space</w:t>
      </w:r>
      <w:r w:rsidR="00451F0D">
        <w:rPr>
          <w:szCs w:val="24"/>
        </w:rPr>
        <w:t>.</w:t>
      </w:r>
      <w:r w:rsidRPr="00CF6634">
        <w:rPr>
          <w:rFonts w:eastAsia="Calibri"/>
          <w:szCs w:val="24"/>
        </w:rPr>
        <w:t xml:space="preserve"> </w:t>
      </w:r>
    </w:p>
    <w:p w:rsidR="00D05100" w:rsidRDefault="00D05100" w:rsidP="00CF6634">
      <w:pPr>
        <w:tabs>
          <w:tab w:val="left" w:pos="720"/>
        </w:tabs>
        <w:spacing w:after="5" w:line="248" w:lineRule="auto"/>
        <w:jc w:val="both"/>
        <w:rPr>
          <w:b/>
          <w:sz w:val="24"/>
          <w:szCs w:val="24"/>
        </w:rPr>
      </w:pPr>
    </w:p>
    <w:p w:rsidR="00D05100" w:rsidRDefault="00D05100" w:rsidP="00324509">
      <w:pPr>
        <w:tabs>
          <w:tab w:val="left" w:pos="720"/>
          <w:tab w:val="left" w:pos="1440"/>
          <w:tab w:val="left" w:pos="7560"/>
        </w:tabs>
        <w:ind w:right="90"/>
        <w:jc w:val="both"/>
        <w:rPr>
          <w:b/>
          <w:sz w:val="24"/>
          <w:szCs w:val="24"/>
        </w:rPr>
      </w:pPr>
    </w:p>
    <w:p w:rsidR="00D05100" w:rsidRDefault="00D05100" w:rsidP="00324509">
      <w:pPr>
        <w:tabs>
          <w:tab w:val="left" w:pos="720"/>
          <w:tab w:val="left" w:pos="1440"/>
          <w:tab w:val="left" w:pos="7560"/>
        </w:tabs>
        <w:ind w:right="90"/>
        <w:jc w:val="both"/>
        <w:rPr>
          <w:b/>
          <w:sz w:val="24"/>
          <w:szCs w:val="24"/>
        </w:rPr>
      </w:pPr>
    </w:p>
    <w:p w:rsidR="00E4613D" w:rsidRDefault="00E4613D">
      <w:pPr>
        <w:jc w:val="both"/>
        <w:rPr>
          <w:sz w:val="24"/>
        </w:rPr>
      </w:pPr>
    </w:p>
    <w:p w:rsidR="00E4613D" w:rsidRDefault="00E4613D">
      <w:pPr>
        <w:pStyle w:val="Heading2"/>
        <w:jc w:val="both"/>
      </w:pPr>
      <w:r>
        <w:t>INTENT</w:t>
      </w:r>
    </w:p>
    <w:p w:rsidR="00E4613D" w:rsidRDefault="00E4613D">
      <w:pPr>
        <w:jc w:val="both"/>
        <w:rPr>
          <w:sz w:val="24"/>
        </w:rPr>
      </w:pPr>
    </w:p>
    <w:p w:rsidR="00C65EF1" w:rsidRPr="00C65EF1" w:rsidRDefault="005D6A1A" w:rsidP="00C65EF1">
      <w:pPr>
        <w:tabs>
          <w:tab w:val="left" w:pos="720"/>
        </w:tabs>
        <w:ind w:left="-5"/>
        <w:jc w:val="both"/>
        <w:rPr>
          <w:color w:val="000000"/>
          <w:sz w:val="24"/>
          <w:szCs w:val="22"/>
        </w:rPr>
      </w:pPr>
      <w:r w:rsidRPr="005D6A1A">
        <w:rPr>
          <w:rFonts w:eastAsia="Calibri"/>
          <w:sz w:val="24"/>
          <w:szCs w:val="22"/>
        </w:rPr>
        <w:tab/>
        <w:t xml:space="preserve">To approve the </w:t>
      </w:r>
      <w:r w:rsidR="00C65EF1">
        <w:rPr>
          <w:rFonts w:eastAsia="Calibri"/>
          <w:sz w:val="24"/>
          <w:szCs w:val="22"/>
        </w:rPr>
        <w:t xml:space="preserve">fourth amendment </w:t>
      </w:r>
      <w:r w:rsidR="00744F5D">
        <w:rPr>
          <w:rFonts w:eastAsia="Calibri"/>
          <w:sz w:val="24"/>
          <w:szCs w:val="22"/>
        </w:rPr>
        <w:t>for the</w:t>
      </w:r>
      <w:r w:rsidR="00C65EF1">
        <w:rPr>
          <w:rFonts w:eastAsia="Calibri"/>
          <w:sz w:val="24"/>
          <w:szCs w:val="22"/>
        </w:rPr>
        <w:t xml:space="preserve"> Melrose Commons Urban Renewal </w:t>
      </w:r>
      <w:r w:rsidR="00744F5D">
        <w:rPr>
          <w:rFonts w:eastAsia="Calibri"/>
          <w:sz w:val="24"/>
          <w:szCs w:val="22"/>
        </w:rPr>
        <w:t>Area</w:t>
      </w:r>
      <w:r w:rsidR="006D1E39">
        <w:rPr>
          <w:rFonts w:eastAsia="Calibri"/>
          <w:sz w:val="24"/>
          <w:szCs w:val="22"/>
        </w:rPr>
        <w:t>;</w:t>
      </w:r>
      <w:r w:rsidR="00C65EF1">
        <w:rPr>
          <w:rFonts w:eastAsia="Calibri"/>
          <w:sz w:val="24"/>
          <w:szCs w:val="22"/>
        </w:rPr>
        <w:t xml:space="preserve"> and </w:t>
      </w:r>
      <w:r w:rsidR="00032C87">
        <w:rPr>
          <w:rFonts w:eastAsia="Calibri"/>
          <w:sz w:val="24"/>
          <w:szCs w:val="22"/>
        </w:rPr>
        <w:t xml:space="preserve">to approve an </w:t>
      </w:r>
      <w:r w:rsidRPr="005D6A1A">
        <w:rPr>
          <w:rFonts w:eastAsia="Calibri"/>
          <w:sz w:val="24"/>
          <w:szCs w:val="22"/>
        </w:rPr>
        <w:t xml:space="preserve">urban development action area designation, project approval, </w:t>
      </w:r>
      <w:r w:rsidR="000638EE">
        <w:rPr>
          <w:rFonts w:eastAsia="Calibri"/>
          <w:sz w:val="24"/>
          <w:szCs w:val="22"/>
        </w:rPr>
        <w:t xml:space="preserve">and </w:t>
      </w:r>
      <w:r w:rsidRPr="005D6A1A">
        <w:rPr>
          <w:rFonts w:eastAsia="Calibri"/>
          <w:sz w:val="24"/>
          <w:szCs w:val="22"/>
        </w:rPr>
        <w:t>disposition of city-owned property</w:t>
      </w:r>
      <w:r w:rsidR="00C65EF1">
        <w:rPr>
          <w:rFonts w:eastAsia="Calibri"/>
          <w:sz w:val="24"/>
          <w:szCs w:val="22"/>
        </w:rPr>
        <w:t xml:space="preserve"> </w:t>
      </w:r>
      <w:r w:rsidR="00744F5D">
        <w:rPr>
          <w:rFonts w:eastAsia="Calibri"/>
          <w:sz w:val="24"/>
          <w:szCs w:val="22"/>
        </w:rPr>
        <w:t>located at 359 East 157</w:t>
      </w:r>
      <w:r w:rsidR="00744F5D" w:rsidRPr="00744F5D">
        <w:rPr>
          <w:rFonts w:eastAsia="Calibri"/>
          <w:sz w:val="24"/>
          <w:szCs w:val="22"/>
          <w:vertAlign w:val="superscript"/>
        </w:rPr>
        <w:t>th</w:t>
      </w:r>
      <w:r w:rsidR="00744F5D">
        <w:rPr>
          <w:rFonts w:eastAsia="Calibri"/>
          <w:sz w:val="24"/>
          <w:szCs w:val="22"/>
        </w:rPr>
        <w:t xml:space="preserve"> Street and 784 Courtlandt Avenue (Block 2404, Lots 1 and 2),</w:t>
      </w:r>
      <w:r w:rsidR="00032C87">
        <w:rPr>
          <w:rFonts w:eastAsia="Calibri"/>
          <w:sz w:val="24"/>
          <w:szCs w:val="22"/>
        </w:rPr>
        <w:t xml:space="preserve"> </w:t>
      </w:r>
      <w:r w:rsidR="00C65EF1">
        <w:rPr>
          <w:rFonts w:eastAsia="Calibri"/>
          <w:sz w:val="24"/>
          <w:szCs w:val="22"/>
        </w:rPr>
        <w:t xml:space="preserve">to </w:t>
      </w:r>
      <w:r w:rsidR="00C65EF1" w:rsidRPr="00C65EF1">
        <w:rPr>
          <w:sz w:val="24"/>
          <w:szCs w:val="24"/>
        </w:rPr>
        <w:t>facilitate the development of a seven-story</w:t>
      </w:r>
      <w:r w:rsidR="006D1E39">
        <w:rPr>
          <w:sz w:val="24"/>
          <w:szCs w:val="24"/>
        </w:rPr>
        <w:t>,</w:t>
      </w:r>
      <w:r w:rsidR="00C65EF1" w:rsidRPr="00C65EF1">
        <w:rPr>
          <w:sz w:val="24"/>
          <w:szCs w:val="24"/>
        </w:rPr>
        <w:t xml:space="preserve"> mixed-use building containing 20 residential units and commercial and community facility space in the Melrose neighborhood of the Bronx, Community District 1. </w:t>
      </w:r>
    </w:p>
    <w:p w:rsidR="00C65EF1" w:rsidRDefault="00C65EF1" w:rsidP="00F6409E">
      <w:pPr>
        <w:tabs>
          <w:tab w:val="left" w:pos="720"/>
        </w:tabs>
        <w:rPr>
          <w:rFonts w:eastAsia="Calibri"/>
          <w:sz w:val="24"/>
          <w:szCs w:val="22"/>
        </w:rPr>
      </w:pPr>
    </w:p>
    <w:p w:rsidR="00C65EF1" w:rsidRDefault="00C65EF1" w:rsidP="00F6409E">
      <w:pPr>
        <w:tabs>
          <w:tab w:val="left" w:pos="720"/>
        </w:tabs>
        <w:rPr>
          <w:rFonts w:eastAsia="Calibri"/>
          <w:sz w:val="24"/>
          <w:szCs w:val="22"/>
        </w:rPr>
      </w:pPr>
    </w:p>
    <w:p w:rsidR="000638EE" w:rsidRDefault="000638EE">
      <w:pPr>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6D1E39">
        <w:rPr>
          <w:sz w:val="24"/>
        </w:rPr>
        <w:t>June 20</w:t>
      </w:r>
      <w:r w:rsidR="005D67B3">
        <w:rPr>
          <w:sz w:val="24"/>
        </w:rPr>
        <w:t>, 201</w:t>
      </w:r>
      <w:r w:rsidR="006D1E39">
        <w:rPr>
          <w:sz w:val="24"/>
        </w:rPr>
        <w:t>9</w:t>
      </w:r>
    </w:p>
    <w:p w:rsidR="00E4613D" w:rsidRDefault="00E4613D">
      <w:pPr>
        <w:jc w:val="both"/>
        <w:rPr>
          <w:sz w:val="24"/>
        </w:rPr>
      </w:pPr>
    </w:p>
    <w:p w:rsidR="00E4613D" w:rsidRDefault="00E4613D">
      <w:pPr>
        <w:jc w:val="both"/>
        <w:rPr>
          <w:sz w:val="24"/>
        </w:rPr>
      </w:pPr>
      <w:r>
        <w:rPr>
          <w:sz w:val="24"/>
        </w:rPr>
        <w:tab/>
      </w:r>
      <w:r>
        <w:rPr>
          <w:b/>
          <w:sz w:val="24"/>
        </w:rPr>
        <w:t>Witnesses in Favor:</w:t>
      </w:r>
      <w:r>
        <w:rPr>
          <w:sz w:val="24"/>
        </w:rPr>
        <w:t xml:space="preserve">  </w:t>
      </w:r>
      <w:r w:rsidR="006D1E39">
        <w:rPr>
          <w:sz w:val="24"/>
        </w:rPr>
        <w:t>Two</w:t>
      </w:r>
      <w:r w:rsidR="00E1730C">
        <w:rPr>
          <w:sz w:val="24"/>
        </w:rPr>
        <w:tab/>
      </w:r>
      <w:r>
        <w:rPr>
          <w:sz w:val="24"/>
        </w:rPr>
        <w:tab/>
      </w:r>
      <w:r>
        <w:rPr>
          <w:sz w:val="24"/>
        </w:rPr>
        <w:tab/>
      </w:r>
      <w:r>
        <w:rPr>
          <w:sz w:val="24"/>
        </w:rPr>
        <w:tab/>
      </w:r>
      <w:r>
        <w:rPr>
          <w:b/>
          <w:sz w:val="24"/>
        </w:rPr>
        <w:t>Witnesses Against:</w:t>
      </w:r>
      <w:r>
        <w:rPr>
          <w:sz w:val="24"/>
        </w:rPr>
        <w:t xml:space="preserve">  </w:t>
      </w:r>
      <w:r w:rsidR="00E1730C">
        <w:rPr>
          <w:sz w:val="24"/>
        </w:rPr>
        <w:t>None</w:t>
      </w:r>
    </w:p>
    <w:p w:rsidR="00E4613D" w:rsidRDefault="00E4613D">
      <w:pPr>
        <w:jc w:val="both"/>
        <w:rPr>
          <w:sz w:val="24"/>
        </w:rPr>
      </w:pPr>
    </w:p>
    <w:p w:rsidR="007C7914" w:rsidRDefault="007C7914" w:rsidP="007C7914"/>
    <w:p w:rsidR="006D1E39" w:rsidRDefault="006D1E39" w:rsidP="007C7914"/>
    <w:p w:rsidR="006D1E39" w:rsidRDefault="006D1E39" w:rsidP="007C7914"/>
    <w:p w:rsidR="00F6409E" w:rsidRDefault="00F6409E" w:rsidP="007C7914"/>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6D1E39">
        <w:rPr>
          <w:sz w:val="24"/>
        </w:rPr>
        <w:t>July 16, 2019</w:t>
      </w:r>
    </w:p>
    <w:p w:rsidR="00E4613D" w:rsidRDefault="00E4613D">
      <w:pPr>
        <w:jc w:val="both"/>
        <w:rPr>
          <w:sz w:val="24"/>
        </w:rPr>
      </w:pPr>
    </w:p>
    <w:p w:rsidR="00F73DEE" w:rsidRPr="00435B48" w:rsidRDefault="00E4613D" w:rsidP="00F73DEE">
      <w:pPr>
        <w:ind w:right="-180"/>
        <w:jc w:val="both"/>
        <w:rPr>
          <w:sz w:val="24"/>
          <w:szCs w:val="24"/>
        </w:rPr>
      </w:pPr>
      <w:r>
        <w:tab/>
      </w:r>
      <w:r w:rsidR="00F73DEE" w:rsidRPr="00435B48">
        <w:rPr>
          <w:sz w:val="24"/>
          <w:szCs w:val="24"/>
        </w:rPr>
        <w:t xml:space="preserve">The Subcommittee recommends that the Land Use Committee approve the decision of the City Planning Commission </w:t>
      </w:r>
      <w:r w:rsidR="00F73DEE">
        <w:rPr>
          <w:sz w:val="24"/>
          <w:szCs w:val="24"/>
        </w:rPr>
        <w:t xml:space="preserve">and </w:t>
      </w:r>
      <w:r w:rsidR="00F73DEE" w:rsidRPr="00435B48">
        <w:rPr>
          <w:sz w:val="24"/>
          <w:szCs w:val="24"/>
        </w:rPr>
        <w:t>the HPD request.</w:t>
      </w:r>
    </w:p>
    <w:p w:rsidR="00E4613D" w:rsidRDefault="00E4613D" w:rsidP="00F73DEE">
      <w:pPr>
        <w:pStyle w:val="BodyText"/>
        <w:widowControl/>
        <w:tabs>
          <w:tab w:val="clear" w:pos="720"/>
          <w:tab w:val="clear" w:pos="7560"/>
        </w:tabs>
        <w:ind w:right="-180"/>
      </w:pPr>
    </w:p>
    <w:p w:rsidR="00E4613D" w:rsidRPr="00FC2A3B" w:rsidRDefault="00E4613D">
      <w:pPr>
        <w:jc w:val="both"/>
        <w:rPr>
          <w:sz w:val="24"/>
        </w:rPr>
      </w:pPr>
      <w:r>
        <w:rPr>
          <w:b/>
          <w:sz w:val="24"/>
        </w:rPr>
        <w:t>In Favor:</w:t>
      </w:r>
      <w:r w:rsidRPr="00FC2A3B">
        <w:rPr>
          <w:sz w:val="24"/>
        </w:rPr>
        <w:tab/>
      </w:r>
      <w:r>
        <w:rPr>
          <w:b/>
          <w:sz w:val="24"/>
        </w:rPr>
        <w:tab/>
      </w:r>
      <w:r>
        <w:rPr>
          <w:b/>
          <w:sz w:val="24"/>
        </w:rPr>
        <w:tab/>
        <w:t>Against:</w:t>
      </w:r>
      <w:r>
        <w:rPr>
          <w:b/>
          <w:sz w:val="24"/>
        </w:rPr>
        <w:tab/>
      </w:r>
      <w:r>
        <w:rPr>
          <w:b/>
          <w:sz w:val="24"/>
        </w:rPr>
        <w:tab/>
      </w:r>
      <w:r>
        <w:rPr>
          <w:b/>
          <w:sz w:val="24"/>
        </w:rPr>
        <w:tab/>
        <w:t>Abstain:</w:t>
      </w:r>
      <w:r w:rsidR="00FC2A3B">
        <w:rPr>
          <w:b/>
          <w:sz w:val="24"/>
        </w:rPr>
        <w:t xml:space="preserve"> </w:t>
      </w:r>
    </w:p>
    <w:p w:rsidR="00E4613D" w:rsidRDefault="00AF1064">
      <w:pPr>
        <w:jc w:val="both"/>
        <w:rPr>
          <w:sz w:val="24"/>
        </w:rPr>
      </w:pPr>
      <w:r>
        <w:rPr>
          <w:sz w:val="24"/>
        </w:rPr>
        <w:t>Adams</w:t>
      </w:r>
      <w:r>
        <w:rPr>
          <w:sz w:val="24"/>
        </w:rPr>
        <w:tab/>
      </w:r>
      <w:r>
        <w:rPr>
          <w:sz w:val="24"/>
        </w:rPr>
        <w:tab/>
      </w:r>
      <w:r>
        <w:rPr>
          <w:sz w:val="24"/>
        </w:rPr>
        <w:tab/>
      </w:r>
      <w:r>
        <w:rPr>
          <w:sz w:val="24"/>
        </w:rPr>
        <w:tab/>
        <w:t>None</w:t>
      </w:r>
      <w:r>
        <w:rPr>
          <w:sz w:val="24"/>
        </w:rPr>
        <w:tab/>
      </w:r>
      <w:r>
        <w:rPr>
          <w:sz w:val="24"/>
        </w:rPr>
        <w:tab/>
      </w:r>
      <w:r>
        <w:rPr>
          <w:sz w:val="24"/>
        </w:rPr>
        <w:tab/>
      </w:r>
      <w:r>
        <w:rPr>
          <w:sz w:val="24"/>
        </w:rPr>
        <w:tab/>
        <w:t>None</w:t>
      </w:r>
    </w:p>
    <w:p w:rsidR="00AF1064" w:rsidRDefault="00AF1064">
      <w:pPr>
        <w:jc w:val="both"/>
        <w:rPr>
          <w:sz w:val="24"/>
        </w:rPr>
      </w:pPr>
      <w:r>
        <w:rPr>
          <w:sz w:val="24"/>
        </w:rPr>
        <w:t>Barron</w:t>
      </w:r>
      <w:r>
        <w:rPr>
          <w:sz w:val="24"/>
        </w:rPr>
        <w:tab/>
      </w:r>
    </w:p>
    <w:p w:rsidR="00AF1064" w:rsidRDefault="00AF1064">
      <w:pPr>
        <w:jc w:val="both"/>
        <w:rPr>
          <w:sz w:val="24"/>
        </w:rPr>
      </w:pPr>
      <w:r>
        <w:rPr>
          <w:sz w:val="24"/>
        </w:rPr>
        <w:t>Treyger</w:t>
      </w:r>
    </w:p>
    <w:p w:rsidR="00E4613D" w:rsidRDefault="00E4613D">
      <w:pPr>
        <w:jc w:val="both"/>
        <w:rPr>
          <w:sz w:val="24"/>
        </w:rPr>
      </w:pPr>
    </w:p>
    <w:p w:rsidR="006D1E39" w:rsidRDefault="006D1E39">
      <w:pPr>
        <w:jc w:val="both"/>
        <w:rPr>
          <w:sz w:val="24"/>
        </w:rPr>
      </w:pPr>
    </w:p>
    <w:p w:rsidR="00AF1064" w:rsidRDefault="00AF1064">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F73DEE">
        <w:rPr>
          <w:sz w:val="24"/>
        </w:rPr>
        <w:t>July 18, 2019</w:t>
      </w:r>
    </w:p>
    <w:p w:rsidR="00E4613D" w:rsidRDefault="00E4613D">
      <w:pPr>
        <w:jc w:val="both"/>
        <w:rPr>
          <w:sz w:val="24"/>
        </w:rPr>
      </w:pPr>
    </w:p>
    <w:p w:rsidR="00600B93" w:rsidRDefault="00E4613D" w:rsidP="00600B93">
      <w:pPr>
        <w:tabs>
          <w:tab w:val="left" w:pos="-1440"/>
        </w:tabs>
        <w:jc w:val="both"/>
        <w:rPr>
          <w:sz w:val="24"/>
          <w:szCs w:val="24"/>
        </w:rPr>
      </w:pPr>
      <w:r>
        <w:rPr>
          <w:sz w:val="24"/>
        </w:rPr>
        <w:tab/>
        <w:t xml:space="preserve">The Committee recommends that the Council </w:t>
      </w:r>
      <w:r w:rsidR="00600B93">
        <w:rPr>
          <w:sz w:val="24"/>
          <w:szCs w:val="24"/>
        </w:rPr>
        <w:t>approve the attached resolution.</w:t>
      </w:r>
    </w:p>
    <w:p w:rsidR="00E4613D" w:rsidRDefault="00E4613D">
      <w:pPr>
        <w:jc w:val="both"/>
        <w:rPr>
          <w:sz w:val="24"/>
        </w:rPr>
      </w:pPr>
    </w:p>
    <w:p w:rsidR="00E4613D" w:rsidRDefault="00E4613D">
      <w:pPr>
        <w:jc w:val="both"/>
        <w:rPr>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0D6332" w:rsidRDefault="000D6332" w:rsidP="000D6332">
      <w:pPr>
        <w:tabs>
          <w:tab w:val="left" w:pos="-1440"/>
          <w:tab w:val="left" w:pos="2880"/>
          <w:tab w:val="left" w:pos="5760"/>
        </w:tabs>
        <w:jc w:val="both"/>
        <w:rPr>
          <w:sz w:val="24"/>
          <w:szCs w:val="24"/>
        </w:rPr>
      </w:pPr>
      <w:r w:rsidRPr="00570203">
        <w:rPr>
          <w:sz w:val="24"/>
          <w:szCs w:val="24"/>
        </w:rPr>
        <w:t>Salamanca</w:t>
      </w:r>
      <w:r>
        <w:rPr>
          <w:sz w:val="24"/>
          <w:szCs w:val="24"/>
        </w:rPr>
        <w:tab/>
        <w:t>None</w:t>
      </w:r>
      <w:r>
        <w:rPr>
          <w:sz w:val="24"/>
          <w:szCs w:val="24"/>
        </w:rPr>
        <w:tab/>
        <w:t>None</w:t>
      </w:r>
    </w:p>
    <w:p w:rsidR="000D6332" w:rsidRDefault="000D6332" w:rsidP="000D6332">
      <w:pPr>
        <w:tabs>
          <w:tab w:val="left" w:pos="-1440"/>
          <w:tab w:val="left" w:pos="2520"/>
          <w:tab w:val="left" w:pos="4860"/>
          <w:tab w:val="left" w:pos="5040"/>
        </w:tabs>
        <w:jc w:val="both"/>
        <w:rPr>
          <w:sz w:val="24"/>
          <w:szCs w:val="24"/>
        </w:rPr>
      </w:pPr>
      <w:r>
        <w:rPr>
          <w:sz w:val="24"/>
          <w:szCs w:val="24"/>
        </w:rPr>
        <w:t>Gibson</w:t>
      </w:r>
    </w:p>
    <w:p w:rsidR="000D6332" w:rsidRDefault="000D6332" w:rsidP="000D6332">
      <w:pPr>
        <w:tabs>
          <w:tab w:val="left" w:pos="-1440"/>
          <w:tab w:val="left" w:pos="2520"/>
          <w:tab w:val="left" w:pos="4860"/>
          <w:tab w:val="left" w:pos="5040"/>
        </w:tabs>
        <w:jc w:val="both"/>
        <w:rPr>
          <w:sz w:val="24"/>
          <w:szCs w:val="24"/>
        </w:rPr>
      </w:pPr>
      <w:r>
        <w:rPr>
          <w:sz w:val="24"/>
          <w:szCs w:val="24"/>
        </w:rPr>
        <w:t>Barron</w:t>
      </w:r>
    </w:p>
    <w:p w:rsidR="000D6332" w:rsidRDefault="000D6332" w:rsidP="000D6332">
      <w:pPr>
        <w:tabs>
          <w:tab w:val="left" w:pos="-1440"/>
          <w:tab w:val="left" w:pos="2520"/>
          <w:tab w:val="left" w:pos="4860"/>
          <w:tab w:val="left" w:pos="5040"/>
        </w:tabs>
        <w:jc w:val="both"/>
        <w:rPr>
          <w:sz w:val="24"/>
          <w:szCs w:val="24"/>
        </w:rPr>
      </w:pPr>
      <w:r>
        <w:rPr>
          <w:sz w:val="24"/>
          <w:szCs w:val="24"/>
        </w:rPr>
        <w:t>Deutsch</w:t>
      </w:r>
    </w:p>
    <w:p w:rsidR="000D6332" w:rsidRDefault="000D6332" w:rsidP="000D6332">
      <w:pPr>
        <w:tabs>
          <w:tab w:val="left" w:pos="-1440"/>
          <w:tab w:val="left" w:pos="2520"/>
          <w:tab w:val="left" w:pos="4860"/>
          <w:tab w:val="left" w:pos="5040"/>
        </w:tabs>
        <w:jc w:val="both"/>
        <w:rPr>
          <w:sz w:val="24"/>
          <w:szCs w:val="24"/>
        </w:rPr>
      </w:pPr>
      <w:r>
        <w:rPr>
          <w:sz w:val="24"/>
          <w:szCs w:val="24"/>
        </w:rPr>
        <w:t>Koo</w:t>
      </w:r>
    </w:p>
    <w:p w:rsidR="000D6332" w:rsidRDefault="000D6332" w:rsidP="000D6332">
      <w:pPr>
        <w:tabs>
          <w:tab w:val="left" w:pos="-1440"/>
          <w:tab w:val="left" w:pos="2520"/>
          <w:tab w:val="left" w:pos="4860"/>
          <w:tab w:val="left" w:pos="5040"/>
        </w:tabs>
        <w:jc w:val="both"/>
        <w:rPr>
          <w:sz w:val="24"/>
          <w:szCs w:val="24"/>
        </w:rPr>
      </w:pPr>
      <w:r>
        <w:rPr>
          <w:sz w:val="24"/>
          <w:szCs w:val="24"/>
        </w:rPr>
        <w:t>Lancman</w:t>
      </w:r>
    </w:p>
    <w:p w:rsidR="000D6332" w:rsidRDefault="000D6332" w:rsidP="000D6332">
      <w:pPr>
        <w:tabs>
          <w:tab w:val="left" w:pos="-1440"/>
          <w:tab w:val="left" w:pos="2520"/>
          <w:tab w:val="left" w:pos="4860"/>
          <w:tab w:val="left" w:pos="5040"/>
        </w:tabs>
        <w:jc w:val="both"/>
        <w:rPr>
          <w:sz w:val="24"/>
          <w:szCs w:val="24"/>
        </w:rPr>
      </w:pPr>
      <w:r>
        <w:rPr>
          <w:sz w:val="24"/>
          <w:szCs w:val="24"/>
        </w:rPr>
        <w:t>Levin</w:t>
      </w:r>
    </w:p>
    <w:p w:rsidR="000D6332" w:rsidRDefault="000D6332" w:rsidP="000D6332">
      <w:pPr>
        <w:tabs>
          <w:tab w:val="left" w:pos="-1440"/>
          <w:tab w:val="left" w:pos="2520"/>
          <w:tab w:val="left" w:pos="4860"/>
          <w:tab w:val="left" w:pos="5040"/>
        </w:tabs>
        <w:jc w:val="both"/>
        <w:rPr>
          <w:sz w:val="24"/>
          <w:szCs w:val="24"/>
        </w:rPr>
      </w:pPr>
      <w:r>
        <w:rPr>
          <w:sz w:val="24"/>
          <w:szCs w:val="24"/>
        </w:rPr>
        <w:t>Miller</w:t>
      </w:r>
    </w:p>
    <w:p w:rsidR="000D6332" w:rsidRDefault="000D6332" w:rsidP="000D6332">
      <w:pPr>
        <w:tabs>
          <w:tab w:val="left" w:pos="-1440"/>
          <w:tab w:val="left" w:pos="2520"/>
          <w:tab w:val="left" w:pos="4860"/>
          <w:tab w:val="left" w:pos="5040"/>
        </w:tabs>
        <w:jc w:val="both"/>
        <w:rPr>
          <w:sz w:val="24"/>
          <w:szCs w:val="24"/>
        </w:rPr>
      </w:pPr>
      <w:r>
        <w:rPr>
          <w:sz w:val="24"/>
          <w:szCs w:val="24"/>
        </w:rPr>
        <w:t>Reynoso</w:t>
      </w:r>
    </w:p>
    <w:p w:rsidR="000D6332" w:rsidRDefault="000D6332" w:rsidP="000D6332">
      <w:pPr>
        <w:tabs>
          <w:tab w:val="left" w:pos="-1440"/>
          <w:tab w:val="left" w:pos="2520"/>
          <w:tab w:val="left" w:pos="4860"/>
          <w:tab w:val="left" w:pos="5040"/>
        </w:tabs>
        <w:jc w:val="both"/>
        <w:rPr>
          <w:sz w:val="24"/>
          <w:szCs w:val="24"/>
        </w:rPr>
      </w:pPr>
      <w:r>
        <w:rPr>
          <w:sz w:val="24"/>
          <w:szCs w:val="24"/>
        </w:rPr>
        <w:t>Richards</w:t>
      </w:r>
    </w:p>
    <w:p w:rsidR="000D6332" w:rsidRDefault="000D6332" w:rsidP="000D6332">
      <w:pPr>
        <w:tabs>
          <w:tab w:val="left" w:pos="-1440"/>
          <w:tab w:val="left" w:pos="2520"/>
          <w:tab w:val="left" w:pos="4860"/>
          <w:tab w:val="left" w:pos="5040"/>
        </w:tabs>
        <w:jc w:val="both"/>
        <w:rPr>
          <w:sz w:val="24"/>
          <w:szCs w:val="24"/>
        </w:rPr>
      </w:pPr>
      <w:r>
        <w:rPr>
          <w:sz w:val="24"/>
          <w:szCs w:val="24"/>
        </w:rPr>
        <w:t>Treyger</w:t>
      </w:r>
    </w:p>
    <w:p w:rsidR="000D6332" w:rsidRDefault="000D6332" w:rsidP="000D6332">
      <w:pPr>
        <w:tabs>
          <w:tab w:val="left" w:pos="-1440"/>
          <w:tab w:val="left" w:pos="2520"/>
          <w:tab w:val="left" w:pos="4860"/>
          <w:tab w:val="left" w:pos="5040"/>
        </w:tabs>
        <w:jc w:val="both"/>
        <w:rPr>
          <w:sz w:val="24"/>
          <w:szCs w:val="24"/>
        </w:rPr>
      </w:pPr>
      <w:r>
        <w:rPr>
          <w:sz w:val="24"/>
          <w:szCs w:val="24"/>
        </w:rPr>
        <w:t>Adams</w:t>
      </w:r>
    </w:p>
    <w:p w:rsidR="000D6332" w:rsidRDefault="000D6332" w:rsidP="000D6332">
      <w:pPr>
        <w:tabs>
          <w:tab w:val="left" w:pos="-1440"/>
          <w:tab w:val="left" w:pos="2520"/>
          <w:tab w:val="left" w:pos="4860"/>
          <w:tab w:val="left" w:pos="5040"/>
        </w:tabs>
        <w:jc w:val="both"/>
        <w:rPr>
          <w:sz w:val="24"/>
          <w:szCs w:val="24"/>
        </w:rPr>
      </w:pPr>
      <w:r>
        <w:rPr>
          <w:sz w:val="24"/>
          <w:szCs w:val="24"/>
        </w:rPr>
        <w:t>Moya</w:t>
      </w:r>
    </w:p>
    <w:p w:rsidR="000D6332" w:rsidRPr="00570203" w:rsidRDefault="000D6332" w:rsidP="000D6332">
      <w:pPr>
        <w:tabs>
          <w:tab w:val="left" w:pos="-1440"/>
          <w:tab w:val="left" w:pos="2520"/>
          <w:tab w:val="left" w:pos="4860"/>
          <w:tab w:val="left" w:pos="5040"/>
        </w:tabs>
        <w:jc w:val="both"/>
        <w:rPr>
          <w:sz w:val="24"/>
          <w:szCs w:val="24"/>
        </w:rPr>
      </w:pPr>
      <w:r>
        <w:rPr>
          <w:sz w:val="24"/>
          <w:szCs w:val="24"/>
        </w:rPr>
        <w:t>Rivera</w:t>
      </w:r>
    </w:p>
    <w:p w:rsidR="00E4613D" w:rsidRDefault="00E4613D">
      <w:pPr>
        <w:jc w:val="both"/>
        <w:rPr>
          <w:sz w:val="24"/>
        </w:rPr>
      </w:pPr>
    </w:p>
    <w:sectPr w:rsidR="00E4613D"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CC" w:rsidRDefault="00D041CC">
      <w:r>
        <w:separator/>
      </w:r>
    </w:p>
  </w:endnote>
  <w:endnote w:type="continuationSeparator" w:id="0">
    <w:p w:rsidR="00D041CC" w:rsidRDefault="00D0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CC" w:rsidRDefault="00D041CC">
      <w:r>
        <w:separator/>
      </w:r>
    </w:p>
  </w:footnote>
  <w:footnote w:type="continuationSeparator" w:id="0">
    <w:p w:rsidR="00D041CC" w:rsidRDefault="00D0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5D67B3" w:rsidRDefault="005D67B3">
    <w:pPr>
      <w:pStyle w:val="Header"/>
    </w:pPr>
  </w:p>
  <w:p w:rsidR="005D67B3" w:rsidRDefault="005D67B3">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Pr>
        <w:b/>
        <w:sz w:val="24"/>
        <w:szCs w:val="24"/>
      </w:rPr>
      <w:fldChar w:fldCharType="separate"/>
    </w:r>
    <w:r w:rsidR="00C8678F">
      <w:rPr>
        <w:b/>
        <w:noProof/>
        <w:sz w:val="24"/>
        <w:szCs w:val="24"/>
      </w:rPr>
      <w:t>3</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Pr>
        <w:b/>
        <w:sz w:val="24"/>
        <w:szCs w:val="24"/>
      </w:rPr>
      <w:fldChar w:fldCharType="separate"/>
    </w:r>
    <w:r w:rsidR="00C8678F">
      <w:rPr>
        <w:b/>
        <w:noProof/>
        <w:sz w:val="24"/>
        <w:szCs w:val="24"/>
      </w:rPr>
      <w:t>3</w:t>
    </w:r>
    <w:r w:rsidRPr="00A17B48">
      <w:rPr>
        <w:b/>
        <w:sz w:val="24"/>
        <w:szCs w:val="24"/>
      </w:rPr>
      <w:fldChar w:fldCharType="end"/>
    </w:r>
  </w:p>
  <w:p w:rsidR="00602F02" w:rsidRDefault="00744F5D">
    <w:pPr>
      <w:pStyle w:val="Header"/>
      <w:rPr>
        <w:b/>
        <w:sz w:val="24"/>
        <w:szCs w:val="24"/>
      </w:rPr>
    </w:pPr>
    <w:r>
      <w:rPr>
        <w:b/>
        <w:sz w:val="24"/>
        <w:szCs w:val="24"/>
      </w:rPr>
      <w:t>C 190292 HUX and C 190293 HAX</w:t>
    </w:r>
  </w:p>
  <w:p w:rsidR="0062778A" w:rsidRDefault="0062778A">
    <w:pPr>
      <w:pStyle w:val="Header"/>
      <w:rPr>
        <w:b/>
        <w:sz w:val="24"/>
        <w:szCs w:val="24"/>
      </w:rPr>
    </w:pPr>
    <w:r>
      <w:rPr>
        <w:b/>
        <w:sz w:val="24"/>
        <w:szCs w:val="24"/>
      </w:rPr>
      <w:t>L.U. No</w:t>
    </w:r>
    <w:r w:rsidR="00744F5D">
      <w:rPr>
        <w:b/>
        <w:sz w:val="24"/>
        <w:szCs w:val="24"/>
      </w:rPr>
      <w:t>s. 467 and 468</w:t>
    </w:r>
    <w:r>
      <w:rPr>
        <w:b/>
        <w:sz w:val="24"/>
        <w:szCs w:val="24"/>
      </w:rPr>
      <w:t xml:space="preserve"> (Res. No</w:t>
    </w:r>
    <w:r w:rsidR="00744F5D">
      <w:rPr>
        <w:b/>
        <w:sz w:val="24"/>
        <w:szCs w:val="24"/>
      </w:rPr>
      <w:t>s</w:t>
    </w:r>
    <w:r>
      <w:rPr>
        <w:b/>
        <w:sz w:val="24"/>
        <w:szCs w:val="24"/>
      </w:rPr>
      <w:t xml:space="preserve">. </w:t>
    </w:r>
    <w:r w:rsidR="004615AD">
      <w:rPr>
        <w:b/>
        <w:sz w:val="24"/>
        <w:szCs w:val="24"/>
      </w:rPr>
      <w:t>1013 and 1014</w:t>
    </w:r>
    <w:r>
      <w:rPr>
        <w:b/>
        <w:sz w:val="24"/>
        <w:szCs w:val="24"/>
      </w:rPr>
      <w:t>)</w:t>
    </w:r>
  </w:p>
  <w:p w:rsidR="005D67B3" w:rsidRDefault="005D67B3">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A4E"/>
    <w:multiLevelType w:val="hybridMultilevel"/>
    <w:tmpl w:val="03820FC2"/>
    <w:lvl w:ilvl="0" w:tplc="04090011">
      <w:start w:val="1"/>
      <w:numFmt w:val="decimal"/>
      <w:lvlText w:val="%1)"/>
      <w:lvlJc w:val="left"/>
      <w:pPr>
        <w:ind w:left="720" w:hanging="540"/>
      </w:pPr>
      <w:rPr>
        <w:spacing w:val="-20"/>
        <w:w w:val="99"/>
        <w:sz w:val="24"/>
        <w:szCs w:val="24"/>
      </w:rPr>
    </w:lvl>
    <w:lvl w:ilvl="1" w:tplc="EFDEE00A">
      <w:start w:val="1"/>
      <w:numFmt w:val="lowerLetter"/>
      <w:lvlText w:val="%2)"/>
      <w:lvlJc w:val="left"/>
      <w:pPr>
        <w:ind w:left="1320" w:hanging="541"/>
      </w:pPr>
      <w:rPr>
        <w:rFonts w:ascii="Times New Roman" w:eastAsia="Times New Roman" w:hAnsi="Times New Roman" w:cs="Times New Roman" w:hint="default"/>
        <w:spacing w:val="-3"/>
        <w:w w:val="99"/>
        <w:sz w:val="24"/>
        <w:szCs w:val="24"/>
      </w:rPr>
    </w:lvl>
    <w:lvl w:ilvl="2" w:tplc="7510531A">
      <w:numFmt w:val="bullet"/>
      <w:lvlText w:val="•"/>
      <w:lvlJc w:val="left"/>
      <w:pPr>
        <w:ind w:left="2331" w:hanging="541"/>
      </w:pPr>
    </w:lvl>
    <w:lvl w:ilvl="3" w:tplc="7FDCAF62">
      <w:numFmt w:val="bullet"/>
      <w:lvlText w:val="•"/>
      <w:lvlJc w:val="left"/>
      <w:pPr>
        <w:ind w:left="3342" w:hanging="541"/>
      </w:pPr>
    </w:lvl>
    <w:lvl w:ilvl="4" w:tplc="C5B684D2">
      <w:numFmt w:val="bullet"/>
      <w:lvlText w:val="•"/>
      <w:lvlJc w:val="left"/>
      <w:pPr>
        <w:ind w:left="4353" w:hanging="541"/>
      </w:pPr>
    </w:lvl>
    <w:lvl w:ilvl="5" w:tplc="D5220C34">
      <w:numFmt w:val="bullet"/>
      <w:lvlText w:val="•"/>
      <w:lvlJc w:val="left"/>
      <w:pPr>
        <w:ind w:left="5364" w:hanging="541"/>
      </w:pPr>
    </w:lvl>
    <w:lvl w:ilvl="6" w:tplc="9B44FE56">
      <w:numFmt w:val="bullet"/>
      <w:lvlText w:val="•"/>
      <w:lvlJc w:val="left"/>
      <w:pPr>
        <w:ind w:left="6375" w:hanging="541"/>
      </w:pPr>
    </w:lvl>
    <w:lvl w:ilvl="7" w:tplc="CE622CD0">
      <w:numFmt w:val="bullet"/>
      <w:lvlText w:val="•"/>
      <w:lvlJc w:val="left"/>
      <w:pPr>
        <w:ind w:left="7386" w:hanging="541"/>
      </w:pPr>
    </w:lvl>
    <w:lvl w:ilvl="8" w:tplc="8D6CCAB2">
      <w:numFmt w:val="bullet"/>
      <w:lvlText w:val="•"/>
      <w:lvlJc w:val="left"/>
      <w:pPr>
        <w:ind w:left="8397" w:hanging="541"/>
      </w:pPr>
    </w:lvl>
  </w:abstractNum>
  <w:abstractNum w:abstractNumId="1"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4"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32C87"/>
    <w:rsid w:val="00052C2E"/>
    <w:rsid w:val="000638EE"/>
    <w:rsid w:val="000B6B9E"/>
    <w:rsid w:val="000D6332"/>
    <w:rsid w:val="001D40C3"/>
    <w:rsid w:val="00277209"/>
    <w:rsid w:val="002B54E5"/>
    <w:rsid w:val="00324509"/>
    <w:rsid w:val="003320D0"/>
    <w:rsid w:val="00333C6C"/>
    <w:rsid w:val="0036689B"/>
    <w:rsid w:val="003B2A58"/>
    <w:rsid w:val="003B6D64"/>
    <w:rsid w:val="00451F0D"/>
    <w:rsid w:val="004615AD"/>
    <w:rsid w:val="004A4339"/>
    <w:rsid w:val="004F534A"/>
    <w:rsid w:val="004F55A4"/>
    <w:rsid w:val="00567160"/>
    <w:rsid w:val="00575C70"/>
    <w:rsid w:val="005A70A6"/>
    <w:rsid w:val="005D4A07"/>
    <w:rsid w:val="005D67B3"/>
    <w:rsid w:val="005D6A1A"/>
    <w:rsid w:val="00600B93"/>
    <w:rsid w:val="00602F02"/>
    <w:rsid w:val="0062778A"/>
    <w:rsid w:val="0068344E"/>
    <w:rsid w:val="0068682C"/>
    <w:rsid w:val="006976FE"/>
    <w:rsid w:val="006C118D"/>
    <w:rsid w:val="006D09EB"/>
    <w:rsid w:val="006D1E39"/>
    <w:rsid w:val="006D78B6"/>
    <w:rsid w:val="00722D3F"/>
    <w:rsid w:val="00744F5D"/>
    <w:rsid w:val="00745FE8"/>
    <w:rsid w:val="00746A43"/>
    <w:rsid w:val="00757941"/>
    <w:rsid w:val="007815D1"/>
    <w:rsid w:val="007C7914"/>
    <w:rsid w:val="007D6971"/>
    <w:rsid w:val="00866718"/>
    <w:rsid w:val="008728C9"/>
    <w:rsid w:val="00900806"/>
    <w:rsid w:val="00944F2E"/>
    <w:rsid w:val="009832B1"/>
    <w:rsid w:val="00993A3E"/>
    <w:rsid w:val="009F587D"/>
    <w:rsid w:val="00A02C93"/>
    <w:rsid w:val="00A02D33"/>
    <w:rsid w:val="00A17B48"/>
    <w:rsid w:val="00A56C11"/>
    <w:rsid w:val="00A804F4"/>
    <w:rsid w:val="00A86BCF"/>
    <w:rsid w:val="00AA643D"/>
    <w:rsid w:val="00AF1064"/>
    <w:rsid w:val="00B37B02"/>
    <w:rsid w:val="00B40A53"/>
    <w:rsid w:val="00BA59B4"/>
    <w:rsid w:val="00C034C5"/>
    <w:rsid w:val="00C65EF1"/>
    <w:rsid w:val="00C800FD"/>
    <w:rsid w:val="00C8678F"/>
    <w:rsid w:val="00C96CB5"/>
    <w:rsid w:val="00C975F8"/>
    <w:rsid w:val="00CB6C53"/>
    <w:rsid w:val="00CE42B8"/>
    <w:rsid w:val="00CE532C"/>
    <w:rsid w:val="00CF6634"/>
    <w:rsid w:val="00D041CC"/>
    <w:rsid w:val="00D05100"/>
    <w:rsid w:val="00D228D6"/>
    <w:rsid w:val="00D40054"/>
    <w:rsid w:val="00DE6CCA"/>
    <w:rsid w:val="00DF615E"/>
    <w:rsid w:val="00E0062D"/>
    <w:rsid w:val="00E1730C"/>
    <w:rsid w:val="00E306D6"/>
    <w:rsid w:val="00E4613D"/>
    <w:rsid w:val="00E65477"/>
    <w:rsid w:val="00E865F5"/>
    <w:rsid w:val="00EA1721"/>
    <w:rsid w:val="00EA61A6"/>
    <w:rsid w:val="00EB11E7"/>
    <w:rsid w:val="00F6194A"/>
    <w:rsid w:val="00F6409E"/>
    <w:rsid w:val="00F73A15"/>
    <w:rsid w:val="00F73DEE"/>
    <w:rsid w:val="00FA5BC8"/>
    <w:rsid w:val="00FB400C"/>
    <w:rsid w:val="00FC2A3B"/>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B1EE85-2CD1-4CF2-AFDE-1B4EC15A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ListParagraph">
    <w:name w:val="List Paragraph"/>
    <w:basedOn w:val="Normal"/>
    <w:link w:val="ListParagraphChar"/>
    <w:uiPriority w:val="34"/>
    <w:qFormat/>
    <w:rsid w:val="00CF6634"/>
    <w:pPr>
      <w:spacing w:after="3" w:line="364" w:lineRule="auto"/>
      <w:ind w:left="720" w:right="2" w:hanging="10"/>
      <w:contextualSpacing/>
      <w:jc w:val="both"/>
    </w:pPr>
    <w:rPr>
      <w:color w:val="000000"/>
      <w:sz w:val="24"/>
      <w:szCs w:val="22"/>
    </w:rPr>
  </w:style>
  <w:style w:type="character" w:customStyle="1" w:styleId="ListParagraphChar">
    <w:name w:val="List Paragraph Char"/>
    <w:link w:val="ListParagraph"/>
    <w:uiPriority w:val="34"/>
    <w:rsid w:val="00CF6634"/>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1075">
      <w:bodyDiv w:val="1"/>
      <w:marLeft w:val="0"/>
      <w:marRight w:val="0"/>
      <w:marTop w:val="0"/>
      <w:marBottom w:val="0"/>
      <w:divBdr>
        <w:top w:val="none" w:sz="0" w:space="0" w:color="auto"/>
        <w:left w:val="none" w:sz="0" w:space="0" w:color="auto"/>
        <w:bottom w:val="none" w:sz="0" w:space="0" w:color="auto"/>
        <w:right w:val="none" w:sz="0" w:space="0" w:color="auto"/>
      </w:divBdr>
    </w:div>
    <w:div w:id="17774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2019-07-25T20:39:00Z</dcterms:created>
  <dcterms:modified xsi:type="dcterms:W3CDTF">2019-07-25T20:39:00Z</dcterms:modified>
</cp:coreProperties>
</file>