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7706" w14:textId="77777777" w:rsidR="006B4A62" w:rsidRDefault="006B4A62">
      <w:pPr>
        <w:rPr>
          <w:sz w:val="24"/>
          <w:szCs w:val="24"/>
        </w:rPr>
      </w:pPr>
      <w:bookmarkStart w:id="0" w:name="_GoBack"/>
      <w:bookmarkEnd w:id="0"/>
    </w:p>
    <w:p w14:paraId="180C079C" w14:textId="77777777" w:rsidR="005331EE" w:rsidRPr="00AC55AD" w:rsidRDefault="005331EE">
      <w:pPr>
        <w:rPr>
          <w:sz w:val="24"/>
          <w:szCs w:val="24"/>
        </w:rPr>
      </w:pPr>
    </w:p>
    <w:p w14:paraId="208CAAD7" w14:textId="77777777" w:rsidR="00092583" w:rsidRPr="00AC55AD" w:rsidRDefault="00092583">
      <w:pPr>
        <w:rPr>
          <w:sz w:val="24"/>
          <w:szCs w:val="24"/>
        </w:rPr>
      </w:pPr>
    </w:p>
    <w:p w14:paraId="4F82B24D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63FF16A7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4C14E6F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58EDC44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348FF89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2408B0E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51235587" w14:textId="77777777"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55716E">
        <w:rPr>
          <w:b/>
          <w:sz w:val="24"/>
          <w:szCs w:val="24"/>
        </w:rPr>
        <w:t>464</w:t>
      </w:r>
      <w:r w:rsidR="00B85331">
        <w:rPr>
          <w:b/>
          <w:sz w:val="24"/>
          <w:szCs w:val="24"/>
        </w:rPr>
        <w:t xml:space="preserve"> and </w:t>
      </w:r>
      <w:r w:rsidR="0055716E">
        <w:rPr>
          <w:b/>
          <w:sz w:val="24"/>
          <w:szCs w:val="24"/>
        </w:rPr>
        <w:t>465</w:t>
      </w:r>
    </w:p>
    <w:p w14:paraId="5394F3C8" w14:textId="02430F28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985DE2">
        <w:rPr>
          <w:b/>
          <w:sz w:val="24"/>
          <w:szCs w:val="24"/>
        </w:rPr>
        <w:t>1011</w:t>
      </w:r>
      <w:r w:rsidR="00A07B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985DE2">
        <w:rPr>
          <w:b/>
          <w:sz w:val="24"/>
          <w:szCs w:val="24"/>
        </w:rPr>
        <w:t>1012</w:t>
      </w:r>
      <w:r>
        <w:rPr>
          <w:b/>
          <w:sz w:val="24"/>
          <w:szCs w:val="24"/>
        </w:rPr>
        <w:t>)</w:t>
      </w:r>
    </w:p>
    <w:p w14:paraId="14593466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3D3BE062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3D1BD356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6F876BDF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39423DDA" w14:textId="77777777" w:rsidR="0071456F" w:rsidRPr="00AC55AD" w:rsidRDefault="0071456F" w:rsidP="0071456F">
      <w:pPr>
        <w:pStyle w:val="Heading2"/>
        <w:rPr>
          <w:szCs w:val="24"/>
        </w:rPr>
      </w:pPr>
    </w:p>
    <w:p w14:paraId="3D4BA724" w14:textId="77777777" w:rsidR="0055716E" w:rsidRDefault="0055716E" w:rsidP="00A07B12">
      <w:pPr>
        <w:tabs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A07B12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>CB</w:t>
      </w:r>
      <w:r w:rsidR="00A07B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7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 xml:space="preserve">KISSENA CENTER </w:t>
      </w:r>
    </w:p>
    <w:p w14:paraId="1A57ECD8" w14:textId="77777777" w:rsidR="00A819F7" w:rsidRDefault="0055716E" w:rsidP="0055716E">
      <w:pPr>
        <w:tabs>
          <w:tab w:val="left" w:pos="2070"/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14:paraId="3A25C900" w14:textId="77777777"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14:paraId="569CD71F" w14:textId="77777777" w:rsidR="001C1EAC" w:rsidRDefault="001C1EAC" w:rsidP="00A07B12">
      <w:pPr>
        <w:ind w:right="90"/>
        <w:jc w:val="both"/>
        <w:rPr>
          <w:b/>
          <w:sz w:val="24"/>
          <w:szCs w:val="24"/>
        </w:rPr>
      </w:pPr>
    </w:p>
    <w:p w14:paraId="59F59D19" w14:textId="77777777" w:rsidR="00802D5F" w:rsidRPr="0055716E" w:rsidRDefault="0055716E" w:rsidP="00A07B12">
      <w:pPr>
        <w:ind w:right="90"/>
        <w:jc w:val="both"/>
        <w:rPr>
          <w:b/>
          <w:sz w:val="24"/>
          <w:szCs w:val="24"/>
        </w:rPr>
      </w:pPr>
      <w:r w:rsidRPr="0055716E">
        <w:rPr>
          <w:b/>
          <w:sz w:val="24"/>
          <w:szCs w:val="24"/>
        </w:rPr>
        <w:t xml:space="preserve">C 190202 ZMQ </w:t>
      </w:r>
      <w:r w:rsidR="00C82611" w:rsidRPr="0055716E">
        <w:rPr>
          <w:b/>
          <w:sz w:val="24"/>
          <w:szCs w:val="24"/>
        </w:rPr>
        <w:t xml:space="preserve">(L.U. </w:t>
      </w:r>
      <w:r w:rsidR="00562122" w:rsidRPr="0055716E">
        <w:rPr>
          <w:b/>
          <w:sz w:val="24"/>
          <w:szCs w:val="24"/>
        </w:rPr>
        <w:t xml:space="preserve">No. </w:t>
      </w:r>
      <w:r w:rsidRPr="0055716E">
        <w:rPr>
          <w:b/>
          <w:sz w:val="24"/>
          <w:szCs w:val="24"/>
        </w:rPr>
        <w:t>464</w:t>
      </w:r>
      <w:r w:rsidR="00C82611" w:rsidRPr="0055716E">
        <w:rPr>
          <w:b/>
          <w:sz w:val="24"/>
          <w:szCs w:val="24"/>
        </w:rPr>
        <w:t>)</w:t>
      </w:r>
    </w:p>
    <w:p w14:paraId="3E98A3F2" w14:textId="77777777" w:rsidR="00C82611" w:rsidRPr="00CD1900" w:rsidRDefault="00C82611" w:rsidP="00CD1900">
      <w:pPr>
        <w:jc w:val="both"/>
        <w:rPr>
          <w:sz w:val="24"/>
          <w:szCs w:val="24"/>
        </w:rPr>
      </w:pPr>
    </w:p>
    <w:p w14:paraId="00D648EB" w14:textId="39B4C0A2" w:rsidR="0055716E" w:rsidRPr="0055716E" w:rsidRDefault="00562122" w:rsidP="0055716E">
      <w:pPr>
        <w:jc w:val="both"/>
        <w:rPr>
          <w:rFonts w:eastAsia="Calibri"/>
          <w:sz w:val="24"/>
          <w:szCs w:val="24"/>
        </w:rPr>
      </w:pPr>
      <w:r w:rsidRPr="00CD1900">
        <w:rPr>
          <w:sz w:val="24"/>
          <w:szCs w:val="24"/>
        </w:rPr>
        <w:tab/>
      </w:r>
      <w:r w:rsidR="00A07B12" w:rsidRPr="00531B15">
        <w:rPr>
          <w:sz w:val="24"/>
          <w:szCs w:val="24"/>
        </w:rPr>
        <w:t>City Planning Commission decision approving an application</w:t>
      </w:r>
      <w:r w:rsidR="00A07B12" w:rsidRPr="003E57DC">
        <w:rPr>
          <w:color w:val="000000"/>
          <w:sz w:val="24"/>
          <w:szCs w:val="22"/>
        </w:rPr>
        <w:t xml:space="preserve"> </w:t>
      </w:r>
      <w:r w:rsidR="0055716E" w:rsidRPr="0055716E">
        <w:rPr>
          <w:rFonts w:eastAsia="Calibri"/>
          <w:sz w:val="24"/>
          <w:szCs w:val="24"/>
        </w:rPr>
        <w:t xml:space="preserve">submitted by </w:t>
      </w:r>
      <w:proofErr w:type="spellStart"/>
      <w:r w:rsidR="0055716E" w:rsidRPr="0055716E">
        <w:rPr>
          <w:rFonts w:eastAsia="Calibri"/>
          <w:sz w:val="24"/>
          <w:szCs w:val="24"/>
        </w:rPr>
        <w:t>Kimco</w:t>
      </w:r>
      <w:proofErr w:type="spellEnd"/>
      <w:r w:rsidR="0055716E" w:rsidRPr="0055716E">
        <w:rPr>
          <w:rFonts w:eastAsia="Calibri"/>
          <w:sz w:val="24"/>
          <w:szCs w:val="24"/>
        </w:rPr>
        <w:t xml:space="preserve"> </w:t>
      </w:r>
      <w:proofErr w:type="spellStart"/>
      <w:r w:rsidR="0055716E" w:rsidRPr="0055716E">
        <w:rPr>
          <w:rFonts w:eastAsia="Calibri"/>
          <w:sz w:val="24"/>
          <w:szCs w:val="24"/>
        </w:rPr>
        <w:t>Kissena</w:t>
      </w:r>
      <w:proofErr w:type="spellEnd"/>
      <w:r w:rsidR="0055716E" w:rsidRPr="0055716E">
        <w:rPr>
          <w:rFonts w:eastAsia="Calibri"/>
          <w:sz w:val="24"/>
          <w:szCs w:val="24"/>
        </w:rPr>
        <w:t xml:space="preserve"> Center</w:t>
      </w:r>
      <w:r w:rsidR="0055716E">
        <w:rPr>
          <w:rFonts w:eastAsia="Calibri"/>
          <w:sz w:val="24"/>
          <w:szCs w:val="24"/>
        </w:rPr>
        <w:t>,</w:t>
      </w:r>
      <w:r w:rsidR="0055716E" w:rsidRPr="0055716E">
        <w:rPr>
          <w:rFonts w:eastAsia="Calibri"/>
          <w:sz w:val="24"/>
          <w:szCs w:val="24"/>
        </w:rPr>
        <w:t xml:space="preserve"> LLC</w:t>
      </w:r>
      <w:r w:rsidR="0055716E">
        <w:rPr>
          <w:rFonts w:eastAsia="Calibri"/>
          <w:sz w:val="24"/>
          <w:szCs w:val="24"/>
        </w:rPr>
        <w:t>,</w:t>
      </w:r>
      <w:r w:rsidR="0055716E" w:rsidRPr="0055716E">
        <w:rPr>
          <w:rFonts w:eastAsia="Calibri"/>
          <w:sz w:val="24"/>
          <w:szCs w:val="24"/>
        </w:rPr>
        <w:t xml:space="preserve"> pursuant to Sections 197-c and 201 of the New York City Charter for an amendment of the Zoning Map, Section No. 10d: </w:t>
      </w:r>
    </w:p>
    <w:p w14:paraId="37B81638" w14:textId="77777777" w:rsidR="0055716E" w:rsidRPr="0055716E" w:rsidRDefault="0055716E" w:rsidP="005571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5716E">
        <w:rPr>
          <w:rFonts w:eastAsia="Calibri"/>
          <w:sz w:val="24"/>
          <w:szCs w:val="24"/>
        </w:rPr>
        <w:t xml:space="preserve"> </w:t>
      </w:r>
    </w:p>
    <w:p w14:paraId="2C393AB0" w14:textId="508A09BC" w:rsidR="0055716E" w:rsidRPr="00E67C60" w:rsidRDefault="0055716E" w:rsidP="0055716E">
      <w:pPr>
        <w:autoSpaceDE w:val="0"/>
        <w:autoSpaceDN w:val="0"/>
        <w:adjustRightInd w:val="0"/>
        <w:spacing w:after="200"/>
        <w:ind w:left="720" w:hanging="720"/>
        <w:jc w:val="both"/>
        <w:rPr>
          <w:rFonts w:eastAsia="Calibri"/>
          <w:sz w:val="24"/>
          <w:szCs w:val="24"/>
        </w:rPr>
      </w:pPr>
      <w:r w:rsidRPr="0055716E">
        <w:rPr>
          <w:rFonts w:eastAsia="Calibri"/>
          <w:sz w:val="24"/>
          <w:szCs w:val="24"/>
        </w:rPr>
        <w:t>1.</w:t>
      </w:r>
      <w:r w:rsidRPr="0055716E">
        <w:rPr>
          <w:rFonts w:eastAsia="Calibri"/>
          <w:sz w:val="24"/>
          <w:szCs w:val="24"/>
        </w:rPr>
        <w:tab/>
      </w:r>
      <w:r w:rsidR="00E67C60" w:rsidRPr="00304C25">
        <w:rPr>
          <w:sz w:val="24"/>
          <w:szCs w:val="24"/>
        </w:rPr>
        <w:t xml:space="preserve">eliminating from within an existing R3-2 District a C2-2 District bounded by Holly Avenue, line 100 feet northeasterly of </w:t>
      </w:r>
      <w:proofErr w:type="spellStart"/>
      <w:r w:rsidR="00E67C60" w:rsidRPr="00304C25">
        <w:rPr>
          <w:sz w:val="24"/>
          <w:szCs w:val="24"/>
        </w:rPr>
        <w:t>Kissena</w:t>
      </w:r>
      <w:proofErr w:type="spellEnd"/>
      <w:r w:rsidR="00E67C60" w:rsidRPr="00304C25">
        <w:rPr>
          <w:sz w:val="24"/>
          <w:szCs w:val="24"/>
        </w:rPr>
        <w:t xml:space="preserve"> Boulevard, a line 375 feet southeasterly of Holly Avenue, and </w:t>
      </w:r>
      <w:proofErr w:type="spellStart"/>
      <w:r w:rsidR="00E67C60" w:rsidRPr="00304C25">
        <w:rPr>
          <w:sz w:val="24"/>
          <w:szCs w:val="24"/>
        </w:rPr>
        <w:t>Kissena</w:t>
      </w:r>
      <w:proofErr w:type="spellEnd"/>
      <w:r w:rsidR="00E67C60" w:rsidRPr="00304C25">
        <w:rPr>
          <w:sz w:val="24"/>
          <w:szCs w:val="24"/>
        </w:rPr>
        <w:t xml:space="preserve"> Boulevard;</w:t>
      </w:r>
    </w:p>
    <w:p w14:paraId="2A8D36CC" w14:textId="53DC8B52" w:rsidR="0055716E" w:rsidRPr="00E67C60" w:rsidRDefault="0055716E" w:rsidP="00E67C60">
      <w:pPr>
        <w:autoSpaceDE w:val="0"/>
        <w:autoSpaceDN w:val="0"/>
        <w:adjustRightInd w:val="0"/>
        <w:spacing w:after="200"/>
        <w:ind w:left="720" w:hanging="720"/>
        <w:jc w:val="both"/>
        <w:rPr>
          <w:rFonts w:eastAsia="Calibri"/>
          <w:sz w:val="24"/>
          <w:szCs w:val="24"/>
        </w:rPr>
      </w:pPr>
      <w:r w:rsidRPr="0055716E">
        <w:rPr>
          <w:rFonts w:eastAsia="Calibri"/>
          <w:sz w:val="24"/>
          <w:szCs w:val="24"/>
        </w:rPr>
        <w:t>2.</w:t>
      </w:r>
      <w:r w:rsidRPr="0055716E">
        <w:rPr>
          <w:rFonts w:eastAsia="Calibri"/>
          <w:sz w:val="24"/>
          <w:szCs w:val="24"/>
        </w:rPr>
        <w:tab/>
      </w:r>
      <w:r w:rsidR="00E67C60" w:rsidRPr="00304C25">
        <w:rPr>
          <w:sz w:val="24"/>
          <w:szCs w:val="24"/>
        </w:rPr>
        <w:t xml:space="preserve">changing from an R3-2 District to an R6A District property bounded by the northeasterly centerline prolongation of Geranium Avenue, a line 100 feet southwesterly of Union Street, Holly Avenue, a line 100 feet northeasterly of </w:t>
      </w:r>
      <w:proofErr w:type="spellStart"/>
      <w:r w:rsidR="00E67C60" w:rsidRPr="00304C25">
        <w:rPr>
          <w:sz w:val="24"/>
          <w:szCs w:val="24"/>
        </w:rPr>
        <w:t>Kissena</w:t>
      </w:r>
      <w:proofErr w:type="spellEnd"/>
      <w:r w:rsidR="00E67C60" w:rsidRPr="00304C25">
        <w:rPr>
          <w:sz w:val="24"/>
          <w:szCs w:val="24"/>
        </w:rPr>
        <w:t xml:space="preserve"> Boulevard, a line 100 feet southeasterly of Holly Avenue, a line 100 feet southwesterly of Union Street, a line 375 feet southeasterly of Holly Avenue, and </w:t>
      </w:r>
      <w:proofErr w:type="spellStart"/>
      <w:r w:rsidR="00E67C60" w:rsidRPr="00304C25">
        <w:rPr>
          <w:sz w:val="24"/>
          <w:szCs w:val="24"/>
        </w:rPr>
        <w:t>Kissena</w:t>
      </w:r>
      <w:proofErr w:type="spellEnd"/>
      <w:r w:rsidR="00E67C60" w:rsidRPr="00304C25">
        <w:rPr>
          <w:sz w:val="24"/>
          <w:szCs w:val="24"/>
        </w:rPr>
        <w:t xml:space="preserve"> Boulevard; and</w:t>
      </w:r>
    </w:p>
    <w:p w14:paraId="067C072E" w14:textId="6BF8CC83" w:rsidR="0055716E" w:rsidRDefault="0055716E" w:rsidP="008C0525">
      <w:pPr>
        <w:autoSpaceDE w:val="0"/>
        <w:autoSpaceDN w:val="0"/>
        <w:adjustRightInd w:val="0"/>
        <w:ind w:left="720" w:hanging="720"/>
        <w:jc w:val="both"/>
        <w:rPr>
          <w:rFonts w:eastAsia="Calibri"/>
          <w:sz w:val="24"/>
          <w:szCs w:val="24"/>
        </w:rPr>
      </w:pPr>
      <w:r w:rsidRPr="0055716E">
        <w:rPr>
          <w:rFonts w:eastAsia="Calibri"/>
          <w:sz w:val="24"/>
          <w:szCs w:val="24"/>
        </w:rPr>
        <w:t>3.</w:t>
      </w:r>
      <w:r w:rsidRPr="0055716E">
        <w:rPr>
          <w:rFonts w:eastAsia="Calibri"/>
          <w:sz w:val="24"/>
          <w:szCs w:val="24"/>
        </w:rPr>
        <w:tab/>
      </w:r>
      <w:r w:rsidR="00E67C60" w:rsidRPr="00304C25">
        <w:rPr>
          <w:sz w:val="24"/>
          <w:szCs w:val="24"/>
        </w:rPr>
        <w:t xml:space="preserve">establishing within the proposed R6A District a C2-3 District bounded by Holly Avenue, a line 100 feet northeasterly of </w:t>
      </w:r>
      <w:proofErr w:type="spellStart"/>
      <w:r w:rsidR="00E67C60" w:rsidRPr="00304C25">
        <w:rPr>
          <w:sz w:val="24"/>
          <w:szCs w:val="24"/>
        </w:rPr>
        <w:t>Kissena</w:t>
      </w:r>
      <w:proofErr w:type="spellEnd"/>
      <w:r w:rsidR="00E67C60" w:rsidRPr="00304C25">
        <w:rPr>
          <w:sz w:val="24"/>
          <w:szCs w:val="24"/>
        </w:rPr>
        <w:t xml:space="preserve"> Boulevard, a line 100 feet southeasterly of Holly Avenue, a line 100 feet southwesterly of Union Street, a line 375 feet southeasterly of Holly Avenue, and </w:t>
      </w:r>
      <w:proofErr w:type="spellStart"/>
      <w:r w:rsidR="00E67C60" w:rsidRPr="00304C25">
        <w:rPr>
          <w:sz w:val="24"/>
          <w:szCs w:val="24"/>
        </w:rPr>
        <w:t>Kissena</w:t>
      </w:r>
      <w:proofErr w:type="spellEnd"/>
      <w:r w:rsidR="00E67C60" w:rsidRPr="00304C25">
        <w:rPr>
          <w:sz w:val="24"/>
          <w:szCs w:val="24"/>
        </w:rPr>
        <w:t xml:space="preserve"> Boulevard,</w:t>
      </w:r>
    </w:p>
    <w:p w14:paraId="65477BD7" w14:textId="77777777" w:rsidR="008C0525" w:rsidRDefault="008C0525" w:rsidP="008C052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bookmarkStart w:id="1" w:name="_Hlk9499419"/>
    </w:p>
    <w:p w14:paraId="5F2C25BC" w14:textId="668707EA" w:rsidR="0055716E" w:rsidRPr="0055716E" w:rsidRDefault="00E67C60" w:rsidP="008C052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Borough of Queens, Community District 7, </w:t>
      </w:r>
      <w:r w:rsidR="0055716E" w:rsidRPr="0055716E">
        <w:rPr>
          <w:rFonts w:eastAsia="Calibri"/>
          <w:sz w:val="24"/>
          <w:szCs w:val="24"/>
        </w:rPr>
        <w:t xml:space="preserve">as shown on a diagram (for illustrative purposes only) dated January 7, 2019, </w:t>
      </w:r>
      <w:r>
        <w:rPr>
          <w:rFonts w:eastAsia="Calibri"/>
          <w:sz w:val="24"/>
          <w:szCs w:val="24"/>
        </w:rPr>
        <w:t xml:space="preserve">modified by the City Planning Commission on June 3, 2019, </w:t>
      </w:r>
      <w:r w:rsidR="0055716E" w:rsidRPr="0055716E">
        <w:rPr>
          <w:rFonts w:eastAsia="Calibri"/>
          <w:sz w:val="24"/>
          <w:szCs w:val="24"/>
        </w:rPr>
        <w:t>and subject to the conditions of CEQR Declaration E-514.</w:t>
      </w:r>
    </w:p>
    <w:bookmarkEnd w:id="1"/>
    <w:p w14:paraId="3BB075B6" w14:textId="77777777" w:rsidR="00A07B12" w:rsidRPr="00A07B12" w:rsidRDefault="00A07B12" w:rsidP="0055716E">
      <w:pPr>
        <w:tabs>
          <w:tab w:val="left" w:pos="720"/>
        </w:tabs>
        <w:jc w:val="both"/>
        <w:rPr>
          <w:sz w:val="24"/>
          <w:szCs w:val="24"/>
        </w:rPr>
      </w:pPr>
    </w:p>
    <w:p w14:paraId="7BA0ADD7" w14:textId="77777777" w:rsidR="00A07B12" w:rsidRDefault="00A07B12" w:rsidP="0055716E">
      <w:pPr>
        <w:spacing w:after="2" w:line="241" w:lineRule="auto"/>
        <w:ind w:left="-5" w:hanging="10"/>
        <w:rPr>
          <w:color w:val="000000"/>
          <w:sz w:val="24"/>
          <w:szCs w:val="22"/>
        </w:rPr>
      </w:pPr>
    </w:p>
    <w:p w14:paraId="5E3A126E" w14:textId="77777777" w:rsidR="0055716E" w:rsidRDefault="0055716E" w:rsidP="0055716E">
      <w:pPr>
        <w:spacing w:after="2" w:line="241" w:lineRule="auto"/>
        <w:ind w:left="-5" w:hanging="10"/>
        <w:rPr>
          <w:color w:val="000000"/>
          <w:sz w:val="24"/>
          <w:szCs w:val="22"/>
        </w:rPr>
      </w:pPr>
    </w:p>
    <w:p w14:paraId="74E1F394" w14:textId="77777777" w:rsidR="00562122" w:rsidRDefault="00562122" w:rsidP="002E3ABA">
      <w:pPr>
        <w:jc w:val="both"/>
        <w:rPr>
          <w:rFonts w:eastAsia="Calibri"/>
          <w:color w:val="000000"/>
          <w:sz w:val="24"/>
          <w:szCs w:val="24"/>
        </w:rPr>
      </w:pPr>
    </w:p>
    <w:p w14:paraId="1B4A6B01" w14:textId="77777777" w:rsidR="00F33120" w:rsidRPr="0055716E" w:rsidRDefault="0055716E" w:rsidP="00F503C5">
      <w:pPr>
        <w:jc w:val="both"/>
        <w:rPr>
          <w:b/>
          <w:sz w:val="24"/>
          <w:szCs w:val="24"/>
        </w:rPr>
      </w:pPr>
      <w:r w:rsidRPr="0055716E">
        <w:rPr>
          <w:rFonts w:eastAsia="Cambria"/>
          <w:b/>
          <w:sz w:val="24"/>
          <w:szCs w:val="24"/>
        </w:rPr>
        <w:t>N 190203 ZRQ</w:t>
      </w:r>
      <w:r w:rsidRPr="0055716E">
        <w:rPr>
          <w:b/>
          <w:sz w:val="24"/>
          <w:szCs w:val="24"/>
        </w:rPr>
        <w:t xml:space="preserve"> </w:t>
      </w:r>
      <w:r w:rsidR="002E3ABA" w:rsidRPr="0055716E">
        <w:rPr>
          <w:b/>
          <w:sz w:val="24"/>
          <w:szCs w:val="24"/>
        </w:rPr>
        <w:t xml:space="preserve">(L.U. </w:t>
      </w:r>
      <w:r w:rsidR="00562122" w:rsidRPr="0055716E">
        <w:rPr>
          <w:b/>
          <w:sz w:val="24"/>
          <w:szCs w:val="24"/>
        </w:rPr>
        <w:t xml:space="preserve">No. </w:t>
      </w:r>
      <w:r w:rsidRPr="0055716E">
        <w:rPr>
          <w:b/>
          <w:sz w:val="24"/>
          <w:szCs w:val="24"/>
        </w:rPr>
        <w:t>465</w:t>
      </w:r>
      <w:r w:rsidR="002E3ABA" w:rsidRPr="0055716E">
        <w:rPr>
          <w:b/>
          <w:sz w:val="24"/>
          <w:szCs w:val="24"/>
        </w:rPr>
        <w:t>)</w:t>
      </w:r>
    </w:p>
    <w:p w14:paraId="10F7D11E" w14:textId="77777777" w:rsidR="002E3ABA" w:rsidRPr="00F503C5" w:rsidRDefault="002E3ABA" w:rsidP="00B4558D">
      <w:pPr>
        <w:jc w:val="both"/>
        <w:rPr>
          <w:sz w:val="24"/>
          <w:szCs w:val="24"/>
        </w:rPr>
      </w:pPr>
    </w:p>
    <w:p w14:paraId="0E1E37E1" w14:textId="77777777" w:rsidR="0055716E" w:rsidRPr="0055716E" w:rsidRDefault="00B4558D" w:rsidP="0055716E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ab/>
      </w:r>
      <w:r w:rsidRPr="00531B15">
        <w:rPr>
          <w:sz w:val="24"/>
          <w:szCs w:val="24"/>
        </w:rPr>
        <w:t>City Planning Commission decision approving an</w:t>
      </w:r>
      <w:r>
        <w:rPr>
          <w:sz w:val="24"/>
          <w:szCs w:val="24"/>
        </w:rPr>
        <w:t xml:space="preserve"> </w:t>
      </w:r>
      <w:r w:rsidRPr="00B4558D">
        <w:rPr>
          <w:rFonts w:eastAsia="Calibri"/>
          <w:sz w:val="24"/>
          <w:szCs w:val="24"/>
        </w:rPr>
        <w:t xml:space="preserve">application </w:t>
      </w:r>
      <w:r w:rsidR="0055716E" w:rsidRPr="0055716E">
        <w:rPr>
          <w:rFonts w:eastAsia="Cambria"/>
          <w:sz w:val="24"/>
          <w:szCs w:val="24"/>
        </w:rPr>
        <w:t xml:space="preserve">submitted by </w:t>
      </w:r>
      <w:proofErr w:type="spellStart"/>
      <w:r w:rsidR="0055716E" w:rsidRPr="0055716E">
        <w:rPr>
          <w:rFonts w:eastAsia="Cambria"/>
          <w:sz w:val="24"/>
          <w:szCs w:val="24"/>
        </w:rPr>
        <w:t>Kimco</w:t>
      </w:r>
      <w:proofErr w:type="spellEnd"/>
      <w:r w:rsidR="0055716E" w:rsidRPr="0055716E">
        <w:rPr>
          <w:rFonts w:eastAsia="Cambria"/>
          <w:sz w:val="24"/>
          <w:szCs w:val="24"/>
        </w:rPr>
        <w:t xml:space="preserve"> </w:t>
      </w:r>
      <w:proofErr w:type="spellStart"/>
      <w:r w:rsidR="0055716E" w:rsidRPr="0055716E">
        <w:rPr>
          <w:rFonts w:eastAsia="Cambria"/>
          <w:sz w:val="24"/>
          <w:szCs w:val="24"/>
        </w:rPr>
        <w:t>Kissena</w:t>
      </w:r>
      <w:proofErr w:type="spellEnd"/>
      <w:r w:rsidR="0055716E" w:rsidRPr="0055716E">
        <w:rPr>
          <w:rFonts w:eastAsia="Cambria"/>
          <w:sz w:val="24"/>
          <w:szCs w:val="24"/>
        </w:rPr>
        <w:t xml:space="preserve"> Center</w:t>
      </w:r>
      <w:r w:rsidR="0055716E">
        <w:rPr>
          <w:rFonts w:eastAsia="Cambria"/>
          <w:sz w:val="24"/>
          <w:szCs w:val="24"/>
        </w:rPr>
        <w:t>,</w:t>
      </w:r>
      <w:r w:rsidR="0055716E" w:rsidRPr="0055716E">
        <w:rPr>
          <w:rFonts w:eastAsia="Cambria"/>
          <w:sz w:val="24"/>
          <w:szCs w:val="24"/>
        </w:rPr>
        <w:t xml:space="preserve"> LLC, pursuant to Section 201 of the New York City Charter, for an amendment of the Zoning Resolution of the City of New York, modifying Appendix F for the purpose of establishing a Mandatory Inclusionary Housing area</w:t>
      </w:r>
      <w:r w:rsidR="0055716E">
        <w:rPr>
          <w:rFonts w:eastAsia="Cambria"/>
          <w:sz w:val="24"/>
          <w:szCs w:val="24"/>
        </w:rPr>
        <w:t>.</w:t>
      </w:r>
    </w:p>
    <w:p w14:paraId="38526D42" w14:textId="77777777" w:rsidR="00B4558D" w:rsidRDefault="00B4558D" w:rsidP="0055716E">
      <w:pPr>
        <w:tabs>
          <w:tab w:val="left" w:pos="720"/>
        </w:tabs>
        <w:jc w:val="both"/>
        <w:rPr>
          <w:sz w:val="24"/>
          <w:szCs w:val="24"/>
        </w:rPr>
      </w:pPr>
    </w:p>
    <w:p w14:paraId="4D36517F" w14:textId="77777777" w:rsidR="00CA1330" w:rsidRPr="00CA1330" w:rsidRDefault="00CA1330" w:rsidP="00CA1330">
      <w:pPr>
        <w:spacing w:line="259" w:lineRule="auto"/>
        <w:rPr>
          <w:color w:val="000000"/>
          <w:sz w:val="24"/>
          <w:szCs w:val="22"/>
        </w:rPr>
      </w:pPr>
    </w:p>
    <w:p w14:paraId="37E14AC8" w14:textId="77777777" w:rsidR="00CD1900" w:rsidRPr="00CD1900" w:rsidRDefault="00562122" w:rsidP="00CD19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FEA5BC" w14:textId="77777777" w:rsidR="00874275" w:rsidRDefault="00874275" w:rsidP="00CD1900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28F749" w14:textId="77777777" w:rsidR="00562122" w:rsidRDefault="00562122" w:rsidP="00F331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A38B22" w14:textId="77777777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3F1D4223" w14:textId="77777777" w:rsidR="00F503C5" w:rsidRPr="00AC55AD" w:rsidRDefault="00F503C5" w:rsidP="0055716E">
      <w:pPr>
        <w:jc w:val="both"/>
        <w:rPr>
          <w:sz w:val="24"/>
          <w:szCs w:val="24"/>
        </w:rPr>
      </w:pPr>
    </w:p>
    <w:p w14:paraId="607F07B0" w14:textId="6B181D25" w:rsidR="008F56EF" w:rsidRPr="008F56EF" w:rsidRDefault="00B4558D" w:rsidP="008F56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4558D">
        <w:rPr>
          <w:sz w:val="24"/>
          <w:szCs w:val="24"/>
        </w:rPr>
        <w:t xml:space="preserve">To </w:t>
      </w:r>
      <w:r w:rsidR="00E67C60">
        <w:rPr>
          <w:sz w:val="24"/>
          <w:szCs w:val="24"/>
        </w:rPr>
        <w:t xml:space="preserve">rezone the subject properties and </w:t>
      </w:r>
      <w:r w:rsidR="0055716E">
        <w:rPr>
          <w:rFonts w:eastAsia="Cambria"/>
          <w:sz w:val="24"/>
          <w:szCs w:val="24"/>
        </w:rPr>
        <w:t xml:space="preserve"> </w:t>
      </w:r>
      <w:r w:rsidR="0055716E" w:rsidRPr="0055716E">
        <w:rPr>
          <w:sz w:val="24"/>
          <w:szCs w:val="24"/>
        </w:rPr>
        <w:t>to designate a Mandatory In</w:t>
      </w:r>
      <w:r w:rsidR="0055716E">
        <w:rPr>
          <w:sz w:val="24"/>
          <w:szCs w:val="24"/>
        </w:rPr>
        <w:t>clusionary Housing</w:t>
      </w:r>
      <w:r w:rsidR="008F56EF">
        <w:rPr>
          <w:sz w:val="24"/>
          <w:szCs w:val="24"/>
        </w:rPr>
        <w:t xml:space="preserve"> (MIH ) area utilizing Option 2 to </w:t>
      </w:r>
      <w:r w:rsidR="008F56EF" w:rsidRPr="008F56EF">
        <w:rPr>
          <w:sz w:val="24"/>
          <w:szCs w:val="24"/>
        </w:rPr>
        <w:t xml:space="preserve">facilitate the construction of an eight-story, mixed-use building </w:t>
      </w:r>
      <w:r w:rsidR="008F56EF">
        <w:rPr>
          <w:sz w:val="24"/>
          <w:szCs w:val="24"/>
        </w:rPr>
        <w:t>containing residential, commercial, and community facility uses</w:t>
      </w:r>
      <w:r w:rsidR="003954AA">
        <w:rPr>
          <w:sz w:val="24"/>
          <w:szCs w:val="24"/>
        </w:rPr>
        <w:t xml:space="preserve"> with approximately 244 dwelling units, on floors three through eight, two levels of accessory parking below grade with approximately 333 parking spaces </w:t>
      </w:r>
      <w:r w:rsidR="008F56EF" w:rsidRPr="008F56EF">
        <w:rPr>
          <w:sz w:val="24"/>
          <w:szCs w:val="24"/>
        </w:rPr>
        <w:t xml:space="preserve">on property located at 46-15 </w:t>
      </w:r>
      <w:proofErr w:type="spellStart"/>
      <w:r w:rsidR="008F56EF" w:rsidRPr="008F56EF">
        <w:rPr>
          <w:sz w:val="24"/>
          <w:szCs w:val="24"/>
        </w:rPr>
        <w:t>Kissena</w:t>
      </w:r>
      <w:proofErr w:type="spellEnd"/>
      <w:r w:rsidR="008F56EF" w:rsidRPr="008F56EF">
        <w:rPr>
          <w:sz w:val="24"/>
          <w:szCs w:val="24"/>
        </w:rPr>
        <w:t xml:space="preserve"> Boulevard in the Flushing neighborhood of Queens, Community District 7.</w:t>
      </w:r>
    </w:p>
    <w:p w14:paraId="0456D604" w14:textId="77777777" w:rsidR="0055716E" w:rsidRPr="0055716E" w:rsidRDefault="0055716E" w:rsidP="008F56EF">
      <w:pPr>
        <w:tabs>
          <w:tab w:val="left" w:pos="720"/>
        </w:tabs>
        <w:jc w:val="both"/>
        <w:rPr>
          <w:sz w:val="24"/>
          <w:szCs w:val="24"/>
        </w:rPr>
      </w:pPr>
    </w:p>
    <w:p w14:paraId="125CFA39" w14:textId="77777777" w:rsidR="0055716E" w:rsidRPr="0055716E" w:rsidRDefault="0055716E" w:rsidP="008F56EF">
      <w:pPr>
        <w:autoSpaceDE w:val="0"/>
        <w:autoSpaceDN w:val="0"/>
        <w:adjustRightInd w:val="0"/>
        <w:jc w:val="both"/>
        <w:rPr>
          <w:rFonts w:eastAsia="Cambria"/>
          <w:sz w:val="24"/>
          <w:szCs w:val="24"/>
        </w:rPr>
      </w:pPr>
    </w:p>
    <w:p w14:paraId="13F81AFA" w14:textId="77777777" w:rsidR="00FB23BF" w:rsidRDefault="00FB23BF" w:rsidP="008F56EF">
      <w:pPr>
        <w:jc w:val="both"/>
        <w:rPr>
          <w:rFonts w:eastAsia="Calibri"/>
          <w:sz w:val="24"/>
          <w:szCs w:val="24"/>
        </w:rPr>
      </w:pPr>
    </w:p>
    <w:p w14:paraId="302F9A20" w14:textId="77777777" w:rsidR="00DB712B" w:rsidRDefault="00DB712B" w:rsidP="004D4F79">
      <w:pPr>
        <w:jc w:val="both"/>
        <w:rPr>
          <w:rFonts w:eastAsia="Calibri"/>
          <w:sz w:val="24"/>
          <w:szCs w:val="24"/>
        </w:rPr>
      </w:pPr>
    </w:p>
    <w:p w14:paraId="2D388508" w14:textId="77777777" w:rsidR="009019B7" w:rsidRDefault="009019B7" w:rsidP="001603F5">
      <w:pPr>
        <w:jc w:val="both"/>
        <w:rPr>
          <w:sz w:val="24"/>
          <w:szCs w:val="24"/>
        </w:rPr>
      </w:pPr>
    </w:p>
    <w:p w14:paraId="6C5461B7" w14:textId="77777777" w:rsidR="00562122" w:rsidRDefault="00562122" w:rsidP="001603F5">
      <w:pPr>
        <w:jc w:val="both"/>
        <w:rPr>
          <w:sz w:val="24"/>
          <w:szCs w:val="24"/>
        </w:rPr>
      </w:pPr>
    </w:p>
    <w:p w14:paraId="7C359333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2E5D171F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444CC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55716E">
        <w:rPr>
          <w:sz w:val="24"/>
          <w:szCs w:val="24"/>
        </w:rPr>
        <w:t>June 20</w:t>
      </w:r>
      <w:r w:rsidR="00720C6B">
        <w:rPr>
          <w:sz w:val="24"/>
          <w:szCs w:val="24"/>
        </w:rPr>
        <w:t>, 2019</w:t>
      </w:r>
    </w:p>
    <w:p w14:paraId="4FE290F3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1DF96F7" w14:textId="77777777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1612F3">
        <w:rPr>
          <w:sz w:val="24"/>
          <w:szCs w:val="24"/>
        </w:rPr>
        <w:t>Twenty</w:t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1612F3">
        <w:rPr>
          <w:sz w:val="24"/>
          <w:szCs w:val="24"/>
        </w:rPr>
        <w:t>Thirteen</w:t>
      </w:r>
    </w:p>
    <w:p w14:paraId="39AF4FA8" w14:textId="77777777" w:rsidR="009019B7" w:rsidRDefault="009019B7" w:rsidP="00C66096">
      <w:pPr>
        <w:jc w:val="both"/>
        <w:rPr>
          <w:sz w:val="24"/>
          <w:szCs w:val="24"/>
        </w:rPr>
      </w:pPr>
    </w:p>
    <w:p w14:paraId="158FB647" w14:textId="77777777" w:rsidR="0055716E" w:rsidRDefault="0055716E" w:rsidP="00C66096">
      <w:pPr>
        <w:jc w:val="both"/>
        <w:rPr>
          <w:sz w:val="24"/>
          <w:szCs w:val="24"/>
        </w:rPr>
      </w:pPr>
    </w:p>
    <w:p w14:paraId="455077E4" w14:textId="77777777" w:rsidR="00DB712B" w:rsidRDefault="00DB712B" w:rsidP="00C66096">
      <w:pPr>
        <w:jc w:val="both"/>
        <w:rPr>
          <w:sz w:val="24"/>
          <w:szCs w:val="24"/>
        </w:rPr>
      </w:pPr>
    </w:p>
    <w:p w14:paraId="3B144536" w14:textId="77777777" w:rsidR="001C1EAC" w:rsidRDefault="001C1EAC" w:rsidP="00F62D5F">
      <w:pPr>
        <w:pStyle w:val="Heading2"/>
        <w:jc w:val="both"/>
        <w:rPr>
          <w:szCs w:val="24"/>
        </w:rPr>
      </w:pPr>
    </w:p>
    <w:p w14:paraId="13B00B3A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63AB650B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415040F2" w14:textId="17F91279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8F56EF">
        <w:rPr>
          <w:sz w:val="24"/>
          <w:szCs w:val="24"/>
        </w:rPr>
        <w:t xml:space="preserve">July </w:t>
      </w:r>
      <w:r w:rsidR="00865C97">
        <w:rPr>
          <w:sz w:val="24"/>
          <w:szCs w:val="24"/>
        </w:rPr>
        <w:t>18</w:t>
      </w:r>
      <w:r w:rsidR="00DB712B">
        <w:rPr>
          <w:sz w:val="24"/>
          <w:szCs w:val="24"/>
        </w:rPr>
        <w:t>, 2019</w:t>
      </w:r>
    </w:p>
    <w:p w14:paraId="3ED8579C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0CA5D165" w14:textId="087A8399" w:rsidR="00CA77CA" w:rsidRPr="00AC55AD" w:rsidRDefault="00CA77CA" w:rsidP="00CA77CA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approve the </w:t>
      </w:r>
      <w:r w:rsidR="00A30C24">
        <w:rPr>
          <w:szCs w:val="24"/>
        </w:rPr>
        <w:t>motion to file pursuant to withdrawal of the application</w:t>
      </w:r>
      <w:r w:rsidR="008E4A5F">
        <w:rPr>
          <w:szCs w:val="24"/>
        </w:rPr>
        <w:t>s</w:t>
      </w:r>
      <w:r w:rsidR="00A30C24">
        <w:rPr>
          <w:szCs w:val="24"/>
        </w:rPr>
        <w:t xml:space="preserve"> </w:t>
      </w:r>
      <w:r w:rsidR="001768AA">
        <w:rPr>
          <w:szCs w:val="24"/>
        </w:rPr>
        <w:t xml:space="preserve">by the Applicant </w:t>
      </w:r>
      <w:r w:rsidR="00714DA4">
        <w:rPr>
          <w:szCs w:val="24"/>
        </w:rPr>
        <w:t>on L.U. Nos. 464 and 465.</w:t>
      </w:r>
    </w:p>
    <w:p w14:paraId="505EBB60" w14:textId="77777777" w:rsidR="00F62D5F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5D4727BE" w14:textId="77777777" w:rsidR="008F56EF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73C72534" w14:textId="77777777" w:rsidR="004C2A30" w:rsidRDefault="004C2A30" w:rsidP="004C2A30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39EB1F65" w14:textId="77777777" w:rsidR="004C2A30" w:rsidRDefault="004C2A30" w:rsidP="004C2A30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0C2047ED" w14:textId="77777777" w:rsidR="004C2A30" w:rsidRDefault="004C2A30" w:rsidP="004C2A30">
      <w:pPr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14:paraId="4D740798" w14:textId="77777777" w:rsidR="004C2A30" w:rsidRDefault="004C2A30" w:rsidP="004C2A30">
      <w:pPr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77542A68" w14:textId="77777777" w:rsidR="004C2A30" w:rsidRDefault="004C2A30" w:rsidP="004C2A30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72EBCFF7" w14:textId="77777777" w:rsidR="004C2A30" w:rsidRDefault="004C2A30" w:rsidP="004C2A30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0DCC8403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79F10E59" w14:textId="77777777" w:rsidR="00AD72EB" w:rsidRDefault="00AD72EB" w:rsidP="00121CA7">
      <w:pPr>
        <w:jc w:val="both"/>
        <w:rPr>
          <w:sz w:val="24"/>
          <w:szCs w:val="24"/>
        </w:rPr>
      </w:pPr>
    </w:p>
    <w:p w14:paraId="2FC0736E" w14:textId="77777777" w:rsidR="00AD72EB" w:rsidRDefault="00AD72EB" w:rsidP="00121CA7">
      <w:pPr>
        <w:jc w:val="both"/>
        <w:rPr>
          <w:sz w:val="24"/>
          <w:szCs w:val="24"/>
        </w:rPr>
      </w:pPr>
    </w:p>
    <w:p w14:paraId="0519099F" w14:textId="77777777" w:rsidR="00AD72EB" w:rsidRDefault="00AD72EB" w:rsidP="00121CA7">
      <w:pPr>
        <w:jc w:val="both"/>
        <w:rPr>
          <w:sz w:val="24"/>
          <w:szCs w:val="24"/>
        </w:rPr>
      </w:pPr>
    </w:p>
    <w:p w14:paraId="2C92D741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8589ED3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1AD1BFB3" w14:textId="77777777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8F56EF" w:rsidRPr="008F56EF">
        <w:rPr>
          <w:sz w:val="24"/>
          <w:szCs w:val="24"/>
        </w:rPr>
        <w:t>July 18</w:t>
      </w:r>
      <w:r w:rsidR="00DB712B" w:rsidRPr="008F56EF">
        <w:rPr>
          <w:sz w:val="24"/>
          <w:szCs w:val="24"/>
        </w:rPr>
        <w:t>, 2019</w:t>
      </w:r>
    </w:p>
    <w:p w14:paraId="7BB3EE98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40D542BE" w14:textId="77777777" w:rsidR="008F56EF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8F56EF">
        <w:rPr>
          <w:szCs w:val="24"/>
        </w:rPr>
        <w:t>approve the attached resolutions.</w:t>
      </w:r>
    </w:p>
    <w:p w14:paraId="506E40E0" w14:textId="77777777" w:rsidR="001603F5" w:rsidRDefault="008F56EF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30BBA0A7" w14:textId="77777777"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57A55D81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570203"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7E010663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14:paraId="085EECB8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3CABFFEC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14:paraId="2D85D99A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02F9ACC2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3F6550B7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2CD645D7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14:paraId="33420CEB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07F6559D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14:paraId="103F0B08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5D96DEB6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14:paraId="7FEADDC8" w14:textId="77777777" w:rsidR="004C2A30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704B308C" w14:textId="77777777" w:rsidR="004C2A30" w:rsidRPr="00570203" w:rsidRDefault="004C2A30" w:rsidP="004C2A3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290EE0E4" w14:textId="77777777" w:rsidR="008F56EF" w:rsidRPr="008F56EF" w:rsidRDefault="008F56EF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3AD64379" w14:textId="77777777" w:rsidR="00DB712B" w:rsidRP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B712B" w:rsidRPr="00DB712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8AE5" w14:textId="77777777" w:rsidR="00C1372B" w:rsidRDefault="00C1372B">
      <w:r>
        <w:separator/>
      </w:r>
    </w:p>
  </w:endnote>
  <w:endnote w:type="continuationSeparator" w:id="0">
    <w:p w14:paraId="27E2A069" w14:textId="77777777"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0F18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FE9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F0EB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9AE9" w14:textId="77777777" w:rsidR="00C1372B" w:rsidRDefault="00C1372B">
      <w:r>
        <w:separator/>
      </w:r>
    </w:p>
  </w:footnote>
  <w:footnote w:type="continuationSeparator" w:id="0">
    <w:p w14:paraId="1EC2B26A" w14:textId="77777777"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2CAB" w14:textId="77777777" w:rsidR="0096249B" w:rsidRDefault="0096249B">
    <w:pPr>
      <w:pStyle w:val="Header"/>
      <w:rPr>
        <w:b/>
        <w:bCs/>
        <w:sz w:val="24"/>
      </w:rPr>
    </w:pPr>
  </w:p>
  <w:p w14:paraId="67A657C3" w14:textId="77777777" w:rsidR="0096249B" w:rsidRDefault="0096249B">
    <w:pPr>
      <w:pStyle w:val="Header"/>
      <w:rPr>
        <w:b/>
        <w:bCs/>
        <w:sz w:val="24"/>
      </w:rPr>
    </w:pPr>
  </w:p>
  <w:p w14:paraId="7381C428" w14:textId="7A3ABA50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F648A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F648A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544F1716" w14:textId="77777777" w:rsidR="00822B56" w:rsidRDefault="0055716E" w:rsidP="00822B56">
    <w:pPr>
      <w:rPr>
        <w:b/>
        <w:sz w:val="24"/>
        <w:szCs w:val="24"/>
      </w:rPr>
    </w:pPr>
    <w:r>
      <w:rPr>
        <w:b/>
        <w:sz w:val="24"/>
        <w:szCs w:val="24"/>
      </w:rPr>
      <w:t>C 190202 ZMQ</w:t>
    </w:r>
    <w:r w:rsidR="00A91F53">
      <w:rPr>
        <w:b/>
        <w:sz w:val="24"/>
        <w:szCs w:val="24"/>
      </w:rPr>
      <w:t xml:space="preserve"> and</w:t>
    </w:r>
    <w:r w:rsidR="00822B56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N 190203 </w:t>
    </w:r>
    <w:r w:rsidR="00A91F53" w:rsidRPr="00CD1900">
      <w:rPr>
        <w:b/>
        <w:sz w:val="24"/>
        <w:szCs w:val="24"/>
      </w:rPr>
      <w:t>ZR</w:t>
    </w:r>
    <w:r>
      <w:rPr>
        <w:b/>
        <w:sz w:val="24"/>
        <w:szCs w:val="24"/>
      </w:rPr>
      <w:t>Q</w:t>
    </w:r>
  </w:p>
  <w:p w14:paraId="793577D6" w14:textId="52D5CF84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55716E">
      <w:rPr>
        <w:b/>
        <w:sz w:val="24"/>
        <w:szCs w:val="24"/>
      </w:rPr>
      <w:t>464</w:t>
    </w:r>
    <w:r w:rsidR="00A91F53">
      <w:rPr>
        <w:b/>
        <w:sz w:val="24"/>
        <w:szCs w:val="24"/>
      </w:rPr>
      <w:t xml:space="preserve"> and </w:t>
    </w:r>
    <w:r w:rsidR="0055716E">
      <w:rPr>
        <w:b/>
        <w:sz w:val="24"/>
        <w:szCs w:val="24"/>
      </w:rPr>
      <w:t>465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985DE2">
      <w:rPr>
        <w:b/>
        <w:sz w:val="24"/>
        <w:szCs w:val="24"/>
      </w:rPr>
      <w:t>1011</w:t>
    </w:r>
    <w:r w:rsidR="00B8604F">
      <w:rPr>
        <w:b/>
        <w:sz w:val="24"/>
        <w:szCs w:val="24"/>
      </w:rPr>
      <w:t xml:space="preserve"> and </w:t>
    </w:r>
    <w:r w:rsidR="00985DE2">
      <w:rPr>
        <w:b/>
        <w:sz w:val="24"/>
        <w:szCs w:val="24"/>
      </w:rPr>
      <w:t>1012</w:t>
    </w:r>
    <w:r w:rsidR="00B8604F">
      <w:rPr>
        <w:b/>
        <w:sz w:val="24"/>
        <w:szCs w:val="24"/>
      </w:rPr>
      <w:t>)</w:t>
    </w:r>
  </w:p>
  <w:p w14:paraId="13434C93" w14:textId="77777777" w:rsidR="00574106" w:rsidRPr="00DB712B" w:rsidRDefault="00574106">
    <w:pPr>
      <w:rPr>
        <w:b/>
        <w:sz w:val="24"/>
        <w:szCs w:val="24"/>
      </w:rPr>
    </w:pPr>
  </w:p>
  <w:p w14:paraId="17DD5263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525D"/>
    <w:rsid w:val="00056EE3"/>
    <w:rsid w:val="00066523"/>
    <w:rsid w:val="00075B80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0F35E8"/>
    <w:rsid w:val="00107C84"/>
    <w:rsid w:val="00111C68"/>
    <w:rsid w:val="001176F7"/>
    <w:rsid w:val="00121CA7"/>
    <w:rsid w:val="0012287C"/>
    <w:rsid w:val="00147164"/>
    <w:rsid w:val="001603F5"/>
    <w:rsid w:val="001612F3"/>
    <w:rsid w:val="00163A10"/>
    <w:rsid w:val="001666F0"/>
    <w:rsid w:val="001711EC"/>
    <w:rsid w:val="0017417F"/>
    <w:rsid w:val="001768AA"/>
    <w:rsid w:val="0017736D"/>
    <w:rsid w:val="00181848"/>
    <w:rsid w:val="00185A8E"/>
    <w:rsid w:val="00190878"/>
    <w:rsid w:val="001A129E"/>
    <w:rsid w:val="001A727A"/>
    <w:rsid w:val="001A7819"/>
    <w:rsid w:val="001B4A96"/>
    <w:rsid w:val="001B604A"/>
    <w:rsid w:val="001C1EAC"/>
    <w:rsid w:val="001C1F71"/>
    <w:rsid w:val="001D2E81"/>
    <w:rsid w:val="001E49A3"/>
    <w:rsid w:val="001E5EE8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4C25"/>
    <w:rsid w:val="00306524"/>
    <w:rsid w:val="003134E7"/>
    <w:rsid w:val="00324ED1"/>
    <w:rsid w:val="00331FDB"/>
    <w:rsid w:val="003336C1"/>
    <w:rsid w:val="003410BD"/>
    <w:rsid w:val="00342EC3"/>
    <w:rsid w:val="003441FF"/>
    <w:rsid w:val="003458BF"/>
    <w:rsid w:val="00362003"/>
    <w:rsid w:val="00362E64"/>
    <w:rsid w:val="003672FC"/>
    <w:rsid w:val="00367CD7"/>
    <w:rsid w:val="0037232E"/>
    <w:rsid w:val="00382769"/>
    <w:rsid w:val="003954AA"/>
    <w:rsid w:val="003A7045"/>
    <w:rsid w:val="003B171F"/>
    <w:rsid w:val="003B4966"/>
    <w:rsid w:val="003C4F48"/>
    <w:rsid w:val="003D00D6"/>
    <w:rsid w:val="003D3B3F"/>
    <w:rsid w:val="003E33D0"/>
    <w:rsid w:val="003E57DC"/>
    <w:rsid w:val="004062C1"/>
    <w:rsid w:val="00411FF8"/>
    <w:rsid w:val="00446196"/>
    <w:rsid w:val="0044724C"/>
    <w:rsid w:val="0046504D"/>
    <w:rsid w:val="00473BC1"/>
    <w:rsid w:val="00485687"/>
    <w:rsid w:val="004A11E9"/>
    <w:rsid w:val="004A67AA"/>
    <w:rsid w:val="004C2A30"/>
    <w:rsid w:val="004C71BD"/>
    <w:rsid w:val="004D4F79"/>
    <w:rsid w:val="004D75E1"/>
    <w:rsid w:val="004E4066"/>
    <w:rsid w:val="004E45EA"/>
    <w:rsid w:val="004F0D6D"/>
    <w:rsid w:val="004F7BB9"/>
    <w:rsid w:val="00502382"/>
    <w:rsid w:val="005025E0"/>
    <w:rsid w:val="00502A0B"/>
    <w:rsid w:val="00517A25"/>
    <w:rsid w:val="005308DC"/>
    <w:rsid w:val="00531B15"/>
    <w:rsid w:val="005331EE"/>
    <w:rsid w:val="005341AD"/>
    <w:rsid w:val="00534EEA"/>
    <w:rsid w:val="005372BA"/>
    <w:rsid w:val="005374B6"/>
    <w:rsid w:val="00553067"/>
    <w:rsid w:val="0055716E"/>
    <w:rsid w:val="005578FA"/>
    <w:rsid w:val="00557CCE"/>
    <w:rsid w:val="00562122"/>
    <w:rsid w:val="005666B0"/>
    <w:rsid w:val="0056731C"/>
    <w:rsid w:val="00567AE7"/>
    <w:rsid w:val="00572325"/>
    <w:rsid w:val="00574106"/>
    <w:rsid w:val="00586013"/>
    <w:rsid w:val="005A159C"/>
    <w:rsid w:val="005A299B"/>
    <w:rsid w:val="005C3812"/>
    <w:rsid w:val="005E16D9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D6E02"/>
    <w:rsid w:val="006E18F9"/>
    <w:rsid w:val="006E640C"/>
    <w:rsid w:val="006E6D25"/>
    <w:rsid w:val="006F0D55"/>
    <w:rsid w:val="007105B3"/>
    <w:rsid w:val="0071456F"/>
    <w:rsid w:val="00714DA4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752AA"/>
    <w:rsid w:val="00777589"/>
    <w:rsid w:val="007803BF"/>
    <w:rsid w:val="0078122D"/>
    <w:rsid w:val="00785C91"/>
    <w:rsid w:val="0078686B"/>
    <w:rsid w:val="007B3BC5"/>
    <w:rsid w:val="007B6758"/>
    <w:rsid w:val="007C3023"/>
    <w:rsid w:val="007C4ED6"/>
    <w:rsid w:val="007C6ADB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65C97"/>
    <w:rsid w:val="00874275"/>
    <w:rsid w:val="00876065"/>
    <w:rsid w:val="008804F5"/>
    <w:rsid w:val="008829E3"/>
    <w:rsid w:val="00885A17"/>
    <w:rsid w:val="0089302B"/>
    <w:rsid w:val="008A07CC"/>
    <w:rsid w:val="008B05E5"/>
    <w:rsid w:val="008B1ADE"/>
    <w:rsid w:val="008C0525"/>
    <w:rsid w:val="008C57EF"/>
    <w:rsid w:val="008D2BD5"/>
    <w:rsid w:val="008D713C"/>
    <w:rsid w:val="008E4A5F"/>
    <w:rsid w:val="008F56EF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71402"/>
    <w:rsid w:val="009751A7"/>
    <w:rsid w:val="009761F7"/>
    <w:rsid w:val="0098234B"/>
    <w:rsid w:val="00985DE2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F6D7B"/>
    <w:rsid w:val="00A07B12"/>
    <w:rsid w:val="00A24D52"/>
    <w:rsid w:val="00A30C24"/>
    <w:rsid w:val="00A34A23"/>
    <w:rsid w:val="00A35B26"/>
    <w:rsid w:val="00A46D4D"/>
    <w:rsid w:val="00A51DA8"/>
    <w:rsid w:val="00A70BA6"/>
    <w:rsid w:val="00A7408D"/>
    <w:rsid w:val="00A819F7"/>
    <w:rsid w:val="00A83A1C"/>
    <w:rsid w:val="00A91F53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B06400"/>
    <w:rsid w:val="00B31CEC"/>
    <w:rsid w:val="00B41795"/>
    <w:rsid w:val="00B4558D"/>
    <w:rsid w:val="00B574E3"/>
    <w:rsid w:val="00B84FB7"/>
    <w:rsid w:val="00B85331"/>
    <w:rsid w:val="00B8604F"/>
    <w:rsid w:val="00B87B6B"/>
    <w:rsid w:val="00B91EBF"/>
    <w:rsid w:val="00BB47E6"/>
    <w:rsid w:val="00BC018B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A1330"/>
    <w:rsid w:val="00CA48DF"/>
    <w:rsid w:val="00CA77CA"/>
    <w:rsid w:val="00CC4F29"/>
    <w:rsid w:val="00CD0CF2"/>
    <w:rsid w:val="00CD1900"/>
    <w:rsid w:val="00CF4952"/>
    <w:rsid w:val="00CF56E6"/>
    <w:rsid w:val="00CF5D21"/>
    <w:rsid w:val="00CF6AAC"/>
    <w:rsid w:val="00CF7581"/>
    <w:rsid w:val="00D113D0"/>
    <w:rsid w:val="00D1502E"/>
    <w:rsid w:val="00D277DF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67C60"/>
    <w:rsid w:val="00E72FCD"/>
    <w:rsid w:val="00E82506"/>
    <w:rsid w:val="00E854D1"/>
    <w:rsid w:val="00E874A9"/>
    <w:rsid w:val="00E9169B"/>
    <w:rsid w:val="00E95C0E"/>
    <w:rsid w:val="00EA1C33"/>
    <w:rsid w:val="00EC45E3"/>
    <w:rsid w:val="00ED3463"/>
    <w:rsid w:val="00ED6487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8A7"/>
    <w:rsid w:val="00F64A73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6953B"/>
  <w15:docId w15:val="{57687F66-1E20-4A5A-A10A-C8D74E3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0F35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5E8"/>
  </w:style>
  <w:style w:type="character" w:customStyle="1" w:styleId="CommentTextChar">
    <w:name w:val="Comment Text Char"/>
    <w:basedOn w:val="DefaultParagraphFont"/>
    <w:link w:val="CommentText"/>
    <w:semiHidden/>
    <w:rsid w:val="000F35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B980-B774-4B00-AD5B-7DFD84E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2019-07-18T15:59:00Z</cp:lastPrinted>
  <dcterms:created xsi:type="dcterms:W3CDTF">2019-07-25T20:29:00Z</dcterms:created>
  <dcterms:modified xsi:type="dcterms:W3CDTF">2019-07-25T20:29:00Z</dcterms:modified>
</cp:coreProperties>
</file>