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600" w:firstRow="0" w:lastRow="0" w:firstColumn="0" w:lastColumn="0" w:noHBand="1" w:noVBand="1"/>
      </w:tblPr>
      <w:tblGrid>
        <w:gridCol w:w="5850"/>
        <w:gridCol w:w="4950"/>
      </w:tblGrid>
      <w:tr w:rsidR="00902A93" w:rsidRPr="002C65CD" w14:paraId="40E9E242" w14:textId="77777777" w:rsidTr="002C65CD">
        <w:trPr>
          <w:trHeight w:val="2340"/>
          <w:jc w:val="center"/>
        </w:trPr>
        <w:tc>
          <w:tcPr>
            <w:tcW w:w="5850" w:type="dxa"/>
            <w:tcBorders>
              <w:bottom w:val="single" w:sz="4" w:space="0" w:color="auto"/>
            </w:tcBorders>
          </w:tcPr>
          <w:p w14:paraId="01BA4C89" w14:textId="77777777" w:rsidR="00902A93" w:rsidRPr="002C65CD" w:rsidRDefault="00902A93" w:rsidP="002C22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240" w:lineRule="exact"/>
              <w:rPr>
                <w:sz w:val="22"/>
                <w:szCs w:val="22"/>
              </w:rPr>
            </w:pPr>
            <w:r w:rsidRPr="002C65C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8F601C5" wp14:editId="40AED668">
                  <wp:simplePos x="0" y="0"/>
                  <wp:positionH relativeFrom="column">
                    <wp:posOffset>1270856</wp:posOffset>
                  </wp:positionH>
                  <wp:positionV relativeFrom="paragraph">
                    <wp:posOffset>-607</wp:posOffset>
                  </wp:positionV>
                  <wp:extent cx="1362456" cy="1371984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137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316CF87" w14:textId="77777777" w:rsidR="00902A93" w:rsidRPr="002C65CD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14:paraId="7D244AE1" w14:textId="77777777" w:rsidR="009B6D5F" w:rsidRPr="002C65CD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14:paraId="74598C9A" w14:textId="77777777" w:rsidR="009B6D5F" w:rsidRPr="002C65CD" w:rsidRDefault="009B6D5F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14:paraId="2A73DB52" w14:textId="77777777" w:rsidR="009B6D5F" w:rsidRPr="002C65CD" w:rsidRDefault="00B14918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Latonia McKinney</w:t>
            </w:r>
            <w:r w:rsidR="00902A93" w:rsidRPr="002C65CD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14:paraId="39B19781" w14:textId="77777777" w:rsidR="0007187E" w:rsidRPr="002C65CD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14:paraId="6D0E0AF9" w14:textId="77777777" w:rsidR="009B6D5F" w:rsidRPr="002C65CD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14:paraId="4EC7EDDD" w14:textId="77777777" w:rsidR="0007187E" w:rsidRPr="002C65CD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14:paraId="66FD176B" w14:textId="77777777" w:rsidR="009B6D5F" w:rsidRPr="002C65CD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Int. No</w:t>
            </w:r>
            <w:r w:rsidRPr="002C65CD">
              <w:rPr>
                <w:b/>
                <w:bCs/>
                <w:sz w:val="22"/>
                <w:szCs w:val="22"/>
              </w:rPr>
              <w:t>:</w:t>
            </w:r>
            <w:r w:rsidR="00F0058E" w:rsidRPr="002C65CD">
              <w:rPr>
                <w:b/>
                <w:bCs/>
                <w:sz w:val="22"/>
                <w:szCs w:val="22"/>
              </w:rPr>
              <w:t xml:space="preserve"> </w:t>
            </w:r>
            <w:r w:rsidR="00AC5EAA" w:rsidRPr="002C65CD">
              <w:rPr>
                <w:b/>
                <w:bCs/>
                <w:sz w:val="22"/>
                <w:szCs w:val="22"/>
              </w:rPr>
              <w:t>1042-A</w:t>
            </w:r>
          </w:p>
          <w:p w14:paraId="16783F70" w14:textId="77777777" w:rsidR="0007187E" w:rsidRPr="002C65CD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14:paraId="1E265DD1" w14:textId="77777777" w:rsidR="0007187E" w:rsidRPr="002C65CD" w:rsidRDefault="00902A93" w:rsidP="002C227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2C65CD">
              <w:rPr>
                <w:b/>
                <w:bCs/>
                <w:sz w:val="22"/>
                <w:szCs w:val="22"/>
              </w:rPr>
              <w:t xml:space="preserve">: </w:t>
            </w:r>
            <w:r w:rsidR="00A267C7" w:rsidRPr="002C65CD">
              <w:rPr>
                <w:b/>
                <w:bCs/>
                <w:sz w:val="22"/>
                <w:szCs w:val="22"/>
              </w:rPr>
              <w:t xml:space="preserve"> </w:t>
            </w:r>
            <w:r w:rsidR="001E30D7" w:rsidRPr="002C65CD">
              <w:rPr>
                <w:b/>
                <w:bCs/>
                <w:sz w:val="22"/>
                <w:szCs w:val="22"/>
              </w:rPr>
              <w:t>Parks</w:t>
            </w:r>
            <w:r w:rsidR="007D317E" w:rsidRPr="002C65CD">
              <w:rPr>
                <w:b/>
                <w:bCs/>
                <w:sz w:val="22"/>
                <w:szCs w:val="22"/>
              </w:rPr>
              <w:t xml:space="preserve"> and Recreation</w:t>
            </w:r>
          </w:p>
        </w:tc>
      </w:tr>
      <w:tr w:rsidR="00902A93" w:rsidRPr="002C65CD" w14:paraId="20E2C159" w14:textId="77777777" w:rsidTr="002C65CD">
        <w:trPr>
          <w:trHeight w:val="323"/>
          <w:jc w:val="center"/>
        </w:trPr>
        <w:tc>
          <w:tcPr>
            <w:tcW w:w="5850" w:type="dxa"/>
            <w:tcBorders>
              <w:top w:val="single" w:sz="4" w:space="0" w:color="auto"/>
            </w:tcBorders>
          </w:tcPr>
          <w:p w14:paraId="6799D4D1" w14:textId="77777777" w:rsidR="00902A93" w:rsidRPr="002C65CD" w:rsidRDefault="00902A93" w:rsidP="002C65CD">
            <w:pPr>
              <w:widowControl w:val="0"/>
              <w:autoSpaceDE w:val="0"/>
              <w:autoSpaceDN w:val="0"/>
              <w:adjustRightInd w:val="0"/>
              <w:ind w:right="255"/>
              <w:rPr>
                <w:rFonts w:eastAsia="Calibri"/>
                <w:sz w:val="22"/>
                <w:szCs w:val="22"/>
              </w:rPr>
            </w:pPr>
            <w:r w:rsidRPr="002C65CD">
              <w:rPr>
                <w:rFonts w:eastAsia="Calibri"/>
                <w:sz w:val="22"/>
                <w:szCs w:val="22"/>
              </w:rPr>
              <w:t xml:space="preserve">Title: </w:t>
            </w:r>
            <w:r w:rsidR="00112EEF" w:rsidRPr="002C65CD">
              <w:rPr>
                <w:rFonts w:eastAsia="Calibri"/>
                <w:sz w:val="22"/>
                <w:szCs w:val="22"/>
              </w:rPr>
              <w:t>A Local Law</w:t>
            </w:r>
            <w:r w:rsidR="00CB0ACF" w:rsidRPr="002C65CD">
              <w:rPr>
                <w:rFonts w:eastAsia="Calibri"/>
                <w:sz w:val="22"/>
                <w:szCs w:val="22"/>
              </w:rPr>
              <w:t xml:space="preserve"> to amend the administrative code of the city of New York,</w:t>
            </w:r>
            <w:r w:rsidR="00112EEF" w:rsidRPr="002C65CD">
              <w:rPr>
                <w:rFonts w:eastAsia="Calibri"/>
                <w:sz w:val="22"/>
                <w:szCs w:val="22"/>
              </w:rPr>
              <w:t xml:space="preserve"> in relation to distributing excess automated external defibrillators from youth baseball and softball to other sports</w:t>
            </w:r>
            <w:r w:rsidR="003647FA" w:rsidRPr="002C65C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38643C6" w14:textId="77777777" w:rsidR="00F0058E" w:rsidRPr="002C65CD" w:rsidRDefault="00F0058E" w:rsidP="00382DE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C65CD">
              <w:rPr>
                <w:b/>
                <w:bCs/>
                <w:smallCaps/>
                <w:sz w:val="22"/>
                <w:szCs w:val="22"/>
              </w:rPr>
              <w:t>S</w:t>
            </w:r>
            <w:r w:rsidR="009B6D5F" w:rsidRPr="002C65CD">
              <w:rPr>
                <w:b/>
                <w:bCs/>
                <w:smallCaps/>
                <w:sz w:val="22"/>
                <w:szCs w:val="22"/>
              </w:rPr>
              <w:t>ponsor(s)</w:t>
            </w:r>
            <w:r w:rsidR="00902A93" w:rsidRPr="002C65CD">
              <w:rPr>
                <w:b/>
                <w:bCs/>
                <w:sz w:val="22"/>
                <w:szCs w:val="22"/>
              </w:rPr>
              <w:t xml:space="preserve">: </w:t>
            </w:r>
            <w:r w:rsidR="00112EEF" w:rsidRPr="002C65CD">
              <w:rPr>
                <w:rFonts w:eastAsia="Calibri"/>
                <w:sz w:val="22"/>
                <w:szCs w:val="22"/>
              </w:rPr>
              <w:t>By Council Members Matteo, Levine, Grodenchik, Yeger, Holden, Moya and Gjonaj</w:t>
            </w:r>
          </w:p>
        </w:tc>
      </w:tr>
    </w:tbl>
    <w:p w14:paraId="36203293" w14:textId="77777777" w:rsidR="0007187E" w:rsidRPr="002C65CD" w:rsidRDefault="0007187E" w:rsidP="002C227B">
      <w:pPr>
        <w:spacing w:line="240" w:lineRule="exact"/>
        <w:rPr>
          <w:b/>
          <w:bCs/>
          <w:smallCaps/>
          <w:sz w:val="22"/>
          <w:szCs w:val="22"/>
        </w:rPr>
      </w:pPr>
    </w:p>
    <w:p w14:paraId="0C40F092" w14:textId="457EAE80" w:rsidR="009B6D5F" w:rsidRPr="002C65CD" w:rsidRDefault="00902A93">
      <w:pPr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 xml:space="preserve">Summary of Legislation: </w:t>
      </w:r>
      <w:r w:rsidR="00A267C7" w:rsidRPr="002C65CD">
        <w:rPr>
          <w:b/>
          <w:smallCaps/>
          <w:sz w:val="22"/>
          <w:szCs w:val="22"/>
        </w:rPr>
        <w:t xml:space="preserve"> </w:t>
      </w:r>
      <w:r w:rsidR="00CB0ACF" w:rsidRPr="002C65CD">
        <w:rPr>
          <w:sz w:val="22"/>
          <w:szCs w:val="22"/>
        </w:rPr>
        <w:t>Proposed Intro. 1042-A</w:t>
      </w:r>
      <w:r w:rsidR="006627D2" w:rsidRPr="002C65CD">
        <w:rPr>
          <w:rFonts w:eastAsia="Calibri"/>
          <w:sz w:val="22"/>
          <w:szCs w:val="22"/>
        </w:rPr>
        <w:t xml:space="preserve"> would require </w:t>
      </w:r>
      <w:r w:rsidR="00791B32" w:rsidRPr="002C65CD">
        <w:rPr>
          <w:rFonts w:eastAsia="Calibri"/>
          <w:sz w:val="22"/>
          <w:szCs w:val="22"/>
        </w:rPr>
        <w:t>t</w:t>
      </w:r>
      <w:r w:rsidR="00CB0ACF" w:rsidRPr="002C65CD">
        <w:rPr>
          <w:rFonts w:eastAsia="Calibri"/>
          <w:sz w:val="22"/>
          <w:szCs w:val="22"/>
        </w:rPr>
        <w:t xml:space="preserve">he Department of Citywide Administrative Services (DCAS) and </w:t>
      </w:r>
      <w:r w:rsidR="006627D2" w:rsidRPr="002C65CD">
        <w:rPr>
          <w:rFonts w:eastAsia="Calibri"/>
          <w:sz w:val="22"/>
          <w:szCs w:val="22"/>
        </w:rPr>
        <w:t xml:space="preserve">the Department of Parks and Recreation </w:t>
      </w:r>
      <w:r w:rsidR="00382DE6" w:rsidRPr="002C65CD">
        <w:rPr>
          <w:rFonts w:eastAsia="Calibri"/>
          <w:sz w:val="22"/>
          <w:szCs w:val="22"/>
        </w:rPr>
        <w:t xml:space="preserve">(DPR) </w:t>
      </w:r>
      <w:r w:rsidR="006627D2" w:rsidRPr="002C65CD">
        <w:rPr>
          <w:rFonts w:eastAsia="Calibri"/>
          <w:sz w:val="22"/>
          <w:szCs w:val="22"/>
        </w:rPr>
        <w:t xml:space="preserve">to distribute excess automated external defibrillators from youth baseball and softball to any other youth league at no cost to such youth league. </w:t>
      </w:r>
    </w:p>
    <w:p w14:paraId="3259C93D" w14:textId="77777777" w:rsidR="00B828B1" w:rsidRPr="002C65CD" w:rsidRDefault="00B828B1">
      <w:pPr>
        <w:rPr>
          <w:sz w:val="22"/>
          <w:szCs w:val="22"/>
        </w:rPr>
      </w:pPr>
    </w:p>
    <w:p w14:paraId="3989E57A" w14:textId="77777777" w:rsidR="00902A93" w:rsidRPr="002C65CD" w:rsidRDefault="00902A93" w:rsidP="002C227B">
      <w:pPr>
        <w:contextualSpacing/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Effective Date:</w:t>
      </w:r>
      <w:r w:rsidR="00A267C7" w:rsidRPr="002C65CD">
        <w:rPr>
          <w:b/>
          <w:smallCaps/>
          <w:sz w:val="22"/>
          <w:szCs w:val="22"/>
        </w:rPr>
        <w:t xml:space="preserve"> </w:t>
      </w:r>
      <w:r w:rsidR="0063673C" w:rsidRPr="002C65CD">
        <w:rPr>
          <w:sz w:val="22"/>
          <w:szCs w:val="22"/>
        </w:rPr>
        <w:t xml:space="preserve">This local law would take effect </w:t>
      </w:r>
      <w:r w:rsidR="00DA04AA" w:rsidRPr="002C65CD">
        <w:rPr>
          <w:sz w:val="22"/>
          <w:szCs w:val="22"/>
        </w:rPr>
        <w:t>on January 1, 2020</w:t>
      </w:r>
      <w:r w:rsidR="0063673C" w:rsidRPr="002C65CD">
        <w:rPr>
          <w:sz w:val="22"/>
          <w:szCs w:val="22"/>
        </w:rPr>
        <w:t>.</w:t>
      </w:r>
    </w:p>
    <w:p w14:paraId="7A355B9F" w14:textId="77777777" w:rsidR="009B6D5F" w:rsidRPr="002C65CD" w:rsidRDefault="009B6D5F">
      <w:pPr>
        <w:rPr>
          <w:b/>
          <w:bCs/>
          <w:smallCaps/>
          <w:sz w:val="22"/>
          <w:szCs w:val="22"/>
        </w:rPr>
      </w:pPr>
    </w:p>
    <w:p w14:paraId="6C08EEF3" w14:textId="77777777" w:rsidR="00902A93" w:rsidRPr="002C65CD" w:rsidRDefault="00902A93" w:rsidP="002C227B">
      <w:pPr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Fiscal Year In Which Full Fiscal Impact Anticipated:</w:t>
      </w:r>
      <w:r w:rsidR="00706E47" w:rsidRPr="002C65CD">
        <w:rPr>
          <w:b/>
          <w:smallCaps/>
          <w:sz w:val="22"/>
          <w:szCs w:val="22"/>
        </w:rPr>
        <w:t xml:space="preserve"> </w:t>
      </w:r>
      <w:r w:rsidR="0061529B" w:rsidRPr="002C65CD">
        <w:rPr>
          <w:sz w:val="22"/>
          <w:szCs w:val="22"/>
        </w:rPr>
        <w:t>Fiscal 202</w:t>
      </w:r>
      <w:r w:rsidR="00DA04AA" w:rsidRPr="002C65CD">
        <w:rPr>
          <w:sz w:val="22"/>
          <w:szCs w:val="22"/>
        </w:rPr>
        <w:t>1</w:t>
      </w:r>
    </w:p>
    <w:p w14:paraId="2DC3DAC9" w14:textId="77777777" w:rsidR="00B828B1" w:rsidRPr="002C65CD" w:rsidRDefault="00B828B1" w:rsidP="002C227B">
      <w:pPr>
        <w:rPr>
          <w:sz w:val="22"/>
          <w:szCs w:val="22"/>
        </w:rPr>
      </w:pPr>
    </w:p>
    <w:p w14:paraId="4DAD2A42" w14:textId="77777777" w:rsidR="00902A93" w:rsidRPr="002C65CD" w:rsidRDefault="00902A93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  <w:r w:rsidRPr="002C65CD">
        <w:rPr>
          <w:b/>
          <w:smallCaps/>
          <w:sz w:val="22"/>
          <w:szCs w:val="22"/>
        </w:rPr>
        <w:t>Fiscal Impact Statement:</w:t>
      </w:r>
    </w:p>
    <w:p w14:paraId="073B0CA2" w14:textId="77777777" w:rsidR="00706E47" w:rsidRPr="002C65CD" w:rsidRDefault="00706E47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2057"/>
      </w:tblGrid>
      <w:tr w:rsidR="0063673C" w:rsidRPr="002C65CD" w14:paraId="083DFE30" w14:textId="77777777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F60507B" w14:textId="77777777" w:rsidR="0063673C" w:rsidRPr="002C65CD" w:rsidRDefault="0063673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FC7047" w14:textId="77777777" w:rsidR="0063673C" w:rsidRPr="002C65CD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>Effective FY</w:t>
            </w:r>
            <w:r w:rsidR="00A30A0E" w:rsidRPr="002C65C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6C155A" w14:textId="77777777" w:rsidR="0063673C" w:rsidRPr="002C65CD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>FY Succeeding</w:t>
            </w:r>
          </w:p>
          <w:p w14:paraId="2C7C1B6D" w14:textId="77777777" w:rsidR="0063673C" w:rsidRPr="002C65CD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>Effective FY</w:t>
            </w:r>
            <w:r w:rsidR="00C03097" w:rsidRPr="002C65CD">
              <w:rPr>
                <w:b/>
                <w:bCs/>
                <w:sz w:val="22"/>
                <w:szCs w:val="22"/>
              </w:rPr>
              <w:t>2</w:t>
            </w:r>
            <w:r w:rsidR="00A30A0E" w:rsidRPr="002C65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034F6A5" w14:textId="77777777" w:rsidR="0063673C" w:rsidRPr="002C65CD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>Full Fiscal</w:t>
            </w:r>
          </w:p>
          <w:p w14:paraId="7AE6EDCE" w14:textId="77777777" w:rsidR="0063673C" w:rsidRPr="002C65CD" w:rsidRDefault="0063673C">
            <w:pPr>
              <w:rPr>
                <w:b/>
                <w:sz w:val="22"/>
                <w:szCs w:val="22"/>
              </w:rPr>
            </w:pPr>
            <w:r w:rsidRPr="002C65CD">
              <w:rPr>
                <w:b/>
                <w:sz w:val="22"/>
                <w:szCs w:val="22"/>
              </w:rPr>
              <w:t>Impact FY</w:t>
            </w:r>
            <w:r w:rsidR="00A30A0E" w:rsidRPr="002C65CD">
              <w:rPr>
                <w:b/>
                <w:sz w:val="22"/>
                <w:szCs w:val="22"/>
              </w:rPr>
              <w:t>2</w:t>
            </w:r>
            <w:r w:rsidR="00DA04AA" w:rsidRPr="002C65CD">
              <w:rPr>
                <w:b/>
                <w:sz w:val="22"/>
                <w:szCs w:val="22"/>
              </w:rPr>
              <w:t>1</w:t>
            </w:r>
          </w:p>
        </w:tc>
      </w:tr>
      <w:tr w:rsidR="0063673C" w:rsidRPr="002C65CD" w14:paraId="591033F5" w14:textId="7777777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D4D1EC6" w14:textId="77777777" w:rsidR="0063673C" w:rsidRPr="002C65CD" w:rsidRDefault="0063673C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A279A2" w14:textId="77777777" w:rsidR="0063673C" w:rsidRPr="002C65CD" w:rsidRDefault="0063673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20FE50" w14:textId="77777777" w:rsidR="0063673C" w:rsidRPr="002C65CD" w:rsidRDefault="0063673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2C92152" w14:textId="77777777" w:rsidR="0063673C" w:rsidRPr="002C65CD" w:rsidRDefault="0063673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$0</w:t>
            </w:r>
          </w:p>
        </w:tc>
      </w:tr>
      <w:tr w:rsidR="0063673C" w:rsidRPr="002C65CD" w14:paraId="2EBDD3FE" w14:textId="7777777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DA630CB" w14:textId="77777777" w:rsidR="0063673C" w:rsidRPr="002C65CD" w:rsidRDefault="0063673C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AAC013" w14:textId="77777777" w:rsidR="0063673C" w:rsidRPr="002C65CD" w:rsidRDefault="0063673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</w:t>
            </w:r>
            <w:r w:rsidR="00E7481B" w:rsidRPr="002C65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977B0E" w14:textId="77777777" w:rsidR="0063673C" w:rsidRPr="002C65CD" w:rsidRDefault="0063673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E58C656" w14:textId="77777777" w:rsidR="0063673C" w:rsidRPr="002C65CD" w:rsidRDefault="0054067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</w:t>
            </w:r>
            <w:r w:rsidR="00E7481B" w:rsidRPr="002C65CD">
              <w:rPr>
                <w:bCs/>
                <w:sz w:val="22"/>
                <w:szCs w:val="22"/>
              </w:rPr>
              <w:t>0</w:t>
            </w:r>
          </w:p>
        </w:tc>
      </w:tr>
      <w:tr w:rsidR="0063673C" w:rsidRPr="002C65CD" w14:paraId="7A984DBA" w14:textId="7777777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14:paraId="437A8FC4" w14:textId="77777777" w:rsidR="0063673C" w:rsidRPr="002C65CD" w:rsidRDefault="0063673C">
            <w:pPr>
              <w:rPr>
                <w:b/>
                <w:bCs/>
                <w:sz w:val="22"/>
                <w:szCs w:val="22"/>
              </w:rPr>
            </w:pPr>
            <w:r w:rsidRPr="002C65CD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EA1989" w14:textId="77777777" w:rsidR="0063673C" w:rsidRPr="002C65CD" w:rsidRDefault="0054067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</w:t>
            </w:r>
            <w:r w:rsidR="00E7481B" w:rsidRPr="002C65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2E2739C" w14:textId="77777777" w:rsidR="0063673C" w:rsidRPr="002C65CD" w:rsidRDefault="0054067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7A1585" w14:textId="77777777" w:rsidR="0063673C" w:rsidRPr="002C65CD" w:rsidRDefault="0054067C" w:rsidP="002C227B">
            <w:pPr>
              <w:rPr>
                <w:bCs/>
                <w:sz w:val="22"/>
                <w:szCs w:val="22"/>
              </w:rPr>
            </w:pPr>
            <w:r w:rsidRPr="002C65CD">
              <w:rPr>
                <w:bCs/>
                <w:sz w:val="22"/>
                <w:szCs w:val="22"/>
              </w:rPr>
              <w:t>$</w:t>
            </w:r>
            <w:r w:rsidR="00E7481B" w:rsidRPr="002C65CD">
              <w:rPr>
                <w:bCs/>
                <w:sz w:val="22"/>
                <w:szCs w:val="22"/>
              </w:rPr>
              <w:t>0</w:t>
            </w:r>
          </w:p>
        </w:tc>
      </w:tr>
    </w:tbl>
    <w:p w14:paraId="3FEAE489" w14:textId="77777777" w:rsidR="009B6D5F" w:rsidRPr="002C65CD" w:rsidRDefault="009B6D5F">
      <w:pPr>
        <w:rPr>
          <w:b/>
          <w:bCs/>
          <w:smallCaps/>
          <w:sz w:val="22"/>
          <w:szCs w:val="22"/>
        </w:rPr>
      </w:pPr>
    </w:p>
    <w:p w14:paraId="314E414C" w14:textId="77777777" w:rsidR="0063673C" w:rsidRPr="002C65CD" w:rsidRDefault="000A5804">
      <w:pPr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Impact on Revenues</w:t>
      </w:r>
      <w:r w:rsidRPr="002C65CD">
        <w:rPr>
          <w:b/>
          <w:sz w:val="22"/>
          <w:szCs w:val="22"/>
        </w:rPr>
        <w:t>:</w:t>
      </w:r>
      <w:r w:rsidR="00706E47" w:rsidRPr="002C65CD">
        <w:rPr>
          <w:b/>
          <w:sz w:val="22"/>
          <w:szCs w:val="22"/>
        </w:rPr>
        <w:t xml:space="preserve"> </w:t>
      </w:r>
      <w:r w:rsidR="00B070AB" w:rsidRPr="002C65CD">
        <w:rPr>
          <w:sz w:val="22"/>
          <w:szCs w:val="22"/>
        </w:rPr>
        <w:t>It is</w:t>
      </w:r>
      <w:r w:rsidR="00B070AB" w:rsidRPr="002C65CD">
        <w:rPr>
          <w:smallCaps/>
          <w:sz w:val="22"/>
          <w:szCs w:val="22"/>
        </w:rPr>
        <w:t xml:space="preserve"> </w:t>
      </w:r>
      <w:r w:rsidR="00B070AB" w:rsidRPr="002C65CD">
        <w:rPr>
          <w:sz w:val="22"/>
          <w:szCs w:val="22"/>
        </w:rPr>
        <w:t xml:space="preserve">estimated that there </w:t>
      </w:r>
      <w:r w:rsidR="0063673C" w:rsidRPr="002C65CD">
        <w:rPr>
          <w:sz w:val="22"/>
          <w:szCs w:val="22"/>
        </w:rPr>
        <w:t xml:space="preserve">would be no impact on revenues </w:t>
      </w:r>
      <w:r w:rsidR="00B070AB" w:rsidRPr="002C65CD">
        <w:rPr>
          <w:sz w:val="22"/>
          <w:szCs w:val="22"/>
        </w:rPr>
        <w:t xml:space="preserve">as a result of </w:t>
      </w:r>
      <w:r w:rsidR="0063673C" w:rsidRPr="002C65CD">
        <w:rPr>
          <w:sz w:val="22"/>
          <w:szCs w:val="22"/>
        </w:rPr>
        <w:t>this legislation.</w:t>
      </w:r>
    </w:p>
    <w:p w14:paraId="222BDF2C" w14:textId="77777777" w:rsidR="009B6D5F" w:rsidRPr="002C65CD" w:rsidRDefault="009B6D5F">
      <w:pPr>
        <w:rPr>
          <w:b/>
          <w:bCs/>
          <w:smallCaps/>
          <w:sz w:val="22"/>
          <w:szCs w:val="22"/>
        </w:rPr>
      </w:pPr>
    </w:p>
    <w:p w14:paraId="081D574E" w14:textId="77777777" w:rsidR="00A30A0E" w:rsidRPr="002C65CD" w:rsidRDefault="000A5804" w:rsidP="002C227B">
      <w:pPr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Impact on Expenditu</w:t>
      </w:r>
      <w:bookmarkStart w:id="0" w:name="_GoBack"/>
      <w:bookmarkEnd w:id="0"/>
      <w:r w:rsidRPr="002C65CD">
        <w:rPr>
          <w:b/>
          <w:smallCaps/>
          <w:sz w:val="22"/>
          <w:szCs w:val="22"/>
        </w:rPr>
        <w:t>res:</w:t>
      </w:r>
      <w:r w:rsidR="00706E47" w:rsidRPr="002C65CD">
        <w:rPr>
          <w:b/>
          <w:smallCaps/>
          <w:sz w:val="22"/>
          <w:szCs w:val="22"/>
        </w:rPr>
        <w:t xml:space="preserve"> </w:t>
      </w:r>
      <w:r w:rsidR="00E7481B" w:rsidRPr="002C65CD">
        <w:rPr>
          <w:sz w:val="22"/>
          <w:szCs w:val="22"/>
        </w:rPr>
        <w:t xml:space="preserve">It is anticipated that there would be no impact on expenses resulting from the enactment of this legislation because </w:t>
      </w:r>
      <w:r w:rsidR="008F038E" w:rsidRPr="002C65CD">
        <w:rPr>
          <w:sz w:val="22"/>
          <w:szCs w:val="22"/>
        </w:rPr>
        <w:t xml:space="preserve">DCAS and </w:t>
      </w:r>
      <w:r w:rsidR="00E7481B" w:rsidRPr="002C65CD">
        <w:rPr>
          <w:sz w:val="22"/>
          <w:szCs w:val="22"/>
        </w:rPr>
        <w:t xml:space="preserve">DPR would use existing resources to implement the requirements of this legislation.  </w:t>
      </w:r>
    </w:p>
    <w:p w14:paraId="68AB0747" w14:textId="77777777" w:rsidR="009B6D5F" w:rsidRPr="002C65CD" w:rsidRDefault="009B6D5F">
      <w:pPr>
        <w:rPr>
          <w:b/>
          <w:bCs/>
          <w:smallCaps/>
          <w:sz w:val="22"/>
          <w:szCs w:val="22"/>
        </w:rPr>
      </w:pPr>
    </w:p>
    <w:p w14:paraId="044314A0" w14:textId="204651BF" w:rsidR="000A5804" w:rsidRPr="002C65CD" w:rsidRDefault="000A5804" w:rsidP="002C227B">
      <w:pPr>
        <w:spacing w:line="240" w:lineRule="exact"/>
        <w:rPr>
          <w:b/>
          <w:sz w:val="22"/>
          <w:szCs w:val="22"/>
        </w:rPr>
      </w:pPr>
      <w:r w:rsidRPr="002C65CD">
        <w:rPr>
          <w:b/>
          <w:smallCaps/>
          <w:sz w:val="22"/>
          <w:szCs w:val="22"/>
        </w:rPr>
        <w:t>Source of Funds To Cover Estimated Costs:</w:t>
      </w:r>
      <w:r w:rsidR="00706E47" w:rsidRPr="002C65CD">
        <w:rPr>
          <w:b/>
          <w:smallCaps/>
          <w:sz w:val="22"/>
          <w:szCs w:val="22"/>
        </w:rPr>
        <w:t xml:space="preserve"> </w:t>
      </w:r>
      <w:r w:rsidR="008F038E" w:rsidRPr="002C65CD">
        <w:rPr>
          <w:sz w:val="22"/>
          <w:szCs w:val="22"/>
        </w:rPr>
        <w:t>N/A</w:t>
      </w:r>
    </w:p>
    <w:p w14:paraId="1C7AEBD5" w14:textId="77777777" w:rsidR="009B6D5F" w:rsidRPr="002C65CD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14:paraId="32B61C94" w14:textId="77777777" w:rsidR="00A1148F" w:rsidRPr="002C65CD" w:rsidRDefault="00A1148F" w:rsidP="002C227B">
      <w:pPr>
        <w:spacing w:line="240" w:lineRule="exact"/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 xml:space="preserve">Source of Information: </w:t>
      </w:r>
      <w:r w:rsidR="009B6D5F" w:rsidRPr="002C65CD">
        <w:rPr>
          <w:b/>
          <w:smallCaps/>
          <w:sz w:val="22"/>
          <w:szCs w:val="22"/>
        </w:rPr>
        <w:tab/>
      </w:r>
      <w:r w:rsidRPr="002C65CD">
        <w:rPr>
          <w:sz w:val="22"/>
          <w:szCs w:val="22"/>
        </w:rPr>
        <w:t xml:space="preserve">New York City Council Finance Division </w:t>
      </w:r>
    </w:p>
    <w:p w14:paraId="0F731736" w14:textId="77777777" w:rsidR="009B6D5F" w:rsidRPr="002C65CD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14:paraId="4D4E23FF" w14:textId="77777777" w:rsidR="00A1148F" w:rsidRPr="002C65CD" w:rsidRDefault="00A1148F" w:rsidP="002C227B">
      <w:pPr>
        <w:spacing w:line="240" w:lineRule="exact"/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Estimate Prepared By:</w:t>
      </w:r>
      <w:r w:rsidR="00454D81" w:rsidRPr="002C65CD">
        <w:rPr>
          <w:b/>
          <w:smallCaps/>
          <w:sz w:val="22"/>
          <w:szCs w:val="22"/>
        </w:rPr>
        <w:t xml:space="preserve"> </w:t>
      </w:r>
      <w:r w:rsidR="009B6D5F" w:rsidRPr="002C65CD">
        <w:rPr>
          <w:b/>
          <w:smallCaps/>
          <w:sz w:val="22"/>
          <w:szCs w:val="22"/>
        </w:rPr>
        <w:tab/>
      </w:r>
      <w:r w:rsidR="00CD7F3F" w:rsidRPr="002C65CD">
        <w:rPr>
          <w:sz w:val="22"/>
          <w:szCs w:val="22"/>
        </w:rPr>
        <w:t>Monika</w:t>
      </w:r>
      <w:r w:rsidR="00253E27" w:rsidRPr="002C65CD">
        <w:rPr>
          <w:sz w:val="22"/>
          <w:szCs w:val="22"/>
        </w:rPr>
        <w:t xml:space="preserve"> </w:t>
      </w:r>
      <w:r w:rsidR="00CD7F3F" w:rsidRPr="002C65CD">
        <w:rPr>
          <w:sz w:val="22"/>
          <w:szCs w:val="22"/>
        </w:rPr>
        <w:t>Bujak</w:t>
      </w:r>
      <w:r w:rsidR="00454D81" w:rsidRPr="002C65CD">
        <w:rPr>
          <w:sz w:val="22"/>
          <w:szCs w:val="22"/>
        </w:rPr>
        <w:t xml:space="preserve"> Legislative Financial Analyst </w:t>
      </w:r>
    </w:p>
    <w:p w14:paraId="49C7BC03" w14:textId="77777777" w:rsidR="009B6D5F" w:rsidRPr="002C65CD" w:rsidRDefault="001E3ADB" w:rsidP="001E3ADB">
      <w:pPr>
        <w:spacing w:line="240" w:lineRule="exact"/>
        <w:rPr>
          <w:sz w:val="22"/>
          <w:szCs w:val="22"/>
        </w:rPr>
      </w:pPr>
      <w:r w:rsidRPr="002C65CD">
        <w:rPr>
          <w:b/>
          <w:bCs/>
          <w:smallCaps/>
          <w:sz w:val="22"/>
          <w:szCs w:val="22"/>
        </w:rPr>
        <w:tab/>
      </w:r>
      <w:r w:rsidRPr="002C65CD">
        <w:rPr>
          <w:b/>
          <w:bCs/>
          <w:smallCaps/>
          <w:sz w:val="22"/>
          <w:szCs w:val="22"/>
        </w:rPr>
        <w:tab/>
      </w:r>
      <w:r w:rsidRPr="002C65CD">
        <w:rPr>
          <w:b/>
          <w:bCs/>
          <w:smallCaps/>
          <w:sz w:val="22"/>
          <w:szCs w:val="22"/>
        </w:rPr>
        <w:tab/>
      </w:r>
      <w:r w:rsidRPr="002C65CD">
        <w:rPr>
          <w:b/>
          <w:bCs/>
          <w:smallCaps/>
          <w:sz w:val="22"/>
          <w:szCs w:val="22"/>
        </w:rPr>
        <w:tab/>
      </w:r>
      <w:r w:rsidRPr="002C65CD">
        <w:rPr>
          <w:sz w:val="22"/>
          <w:szCs w:val="22"/>
        </w:rPr>
        <w:t>Mayor’s Office of Legislative Affairs</w:t>
      </w:r>
    </w:p>
    <w:p w14:paraId="0E8498C8" w14:textId="77777777" w:rsidR="001E3ADB" w:rsidRPr="002C65CD" w:rsidRDefault="001E3ADB" w:rsidP="001E3ADB">
      <w:pPr>
        <w:spacing w:line="240" w:lineRule="exact"/>
        <w:rPr>
          <w:b/>
          <w:bCs/>
          <w:smallCaps/>
          <w:sz w:val="22"/>
          <w:szCs w:val="22"/>
        </w:rPr>
      </w:pPr>
    </w:p>
    <w:p w14:paraId="0FE5F465" w14:textId="77777777" w:rsidR="00CE4D80" w:rsidRPr="002C65CD" w:rsidRDefault="00A1148F" w:rsidP="002C227B">
      <w:pPr>
        <w:tabs>
          <w:tab w:val="left" w:pos="2880"/>
        </w:tabs>
        <w:spacing w:line="240" w:lineRule="exact"/>
        <w:ind w:left="3600" w:hanging="3600"/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 xml:space="preserve">Estimate Reviewed By: </w:t>
      </w:r>
      <w:r w:rsidR="009B6D5F" w:rsidRPr="002C65CD">
        <w:rPr>
          <w:b/>
          <w:smallCaps/>
          <w:sz w:val="22"/>
          <w:szCs w:val="22"/>
        </w:rPr>
        <w:tab/>
      </w:r>
      <w:r w:rsidR="00CE4D80" w:rsidRPr="002C65CD">
        <w:rPr>
          <w:sz w:val="22"/>
          <w:szCs w:val="22"/>
        </w:rPr>
        <w:t xml:space="preserve">Chima Obichere, Unit Head </w:t>
      </w:r>
    </w:p>
    <w:p w14:paraId="03DD81F7" w14:textId="77777777" w:rsidR="00A1148F" w:rsidRPr="002C65CD" w:rsidRDefault="00CE4D80" w:rsidP="002C227B">
      <w:pPr>
        <w:tabs>
          <w:tab w:val="left" w:pos="2880"/>
        </w:tabs>
        <w:spacing w:line="240" w:lineRule="exact"/>
        <w:ind w:left="3600" w:hanging="1440"/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 xml:space="preserve">       </w:t>
      </w:r>
      <w:r w:rsidR="00674DAA" w:rsidRPr="002C65CD">
        <w:rPr>
          <w:b/>
          <w:smallCaps/>
          <w:sz w:val="22"/>
          <w:szCs w:val="22"/>
        </w:rPr>
        <w:t xml:space="preserve"> </w:t>
      </w:r>
      <w:r w:rsidR="009B6D5F" w:rsidRPr="002C65CD">
        <w:rPr>
          <w:b/>
          <w:smallCaps/>
          <w:sz w:val="22"/>
          <w:szCs w:val="22"/>
        </w:rPr>
        <w:tab/>
      </w:r>
      <w:r w:rsidR="00A1148F" w:rsidRPr="002C65CD">
        <w:rPr>
          <w:sz w:val="22"/>
          <w:szCs w:val="22"/>
        </w:rPr>
        <w:t xml:space="preserve">Nathan Toth, Deputy Director </w:t>
      </w:r>
    </w:p>
    <w:p w14:paraId="63CF87D7" w14:textId="500DFD07" w:rsidR="009B6D5F" w:rsidRPr="002C65CD" w:rsidRDefault="00454D81" w:rsidP="002C227B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2C65CD">
        <w:rPr>
          <w:sz w:val="22"/>
          <w:szCs w:val="22"/>
        </w:rPr>
        <w:t xml:space="preserve">                                          </w:t>
      </w:r>
      <w:r w:rsidR="00CE4D80" w:rsidRPr="002C65CD">
        <w:rPr>
          <w:sz w:val="22"/>
          <w:szCs w:val="22"/>
        </w:rPr>
        <w:t xml:space="preserve"> </w:t>
      </w:r>
      <w:r w:rsidR="00674DAA" w:rsidRPr="002C65CD">
        <w:rPr>
          <w:sz w:val="22"/>
          <w:szCs w:val="22"/>
        </w:rPr>
        <w:t xml:space="preserve"> </w:t>
      </w:r>
      <w:r w:rsidR="00CE4D80" w:rsidRPr="002C65CD">
        <w:rPr>
          <w:sz w:val="22"/>
          <w:szCs w:val="22"/>
        </w:rPr>
        <w:t xml:space="preserve">  </w:t>
      </w:r>
      <w:r w:rsidR="009B6D5F" w:rsidRPr="002C65CD">
        <w:rPr>
          <w:sz w:val="22"/>
          <w:szCs w:val="22"/>
        </w:rPr>
        <w:tab/>
      </w:r>
      <w:r w:rsidR="00CB0ACF" w:rsidRPr="002C65CD">
        <w:rPr>
          <w:sz w:val="22"/>
          <w:szCs w:val="22"/>
        </w:rPr>
        <w:t>Rebecca Chasan</w:t>
      </w:r>
      <w:r w:rsidR="00CE4D80" w:rsidRPr="002C65CD">
        <w:rPr>
          <w:sz w:val="22"/>
          <w:szCs w:val="22"/>
        </w:rPr>
        <w:t xml:space="preserve">, </w:t>
      </w:r>
      <w:r w:rsidR="00CB0ACF" w:rsidRPr="002C65CD">
        <w:rPr>
          <w:sz w:val="22"/>
          <w:szCs w:val="22"/>
        </w:rPr>
        <w:t xml:space="preserve">Senior </w:t>
      </w:r>
      <w:r w:rsidR="00CE4D80" w:rsidRPr="002C65CD">
        <w:rPr>
          <w:sz w:val="22"/>
          <w:szCs w:val="22"/>
        </w:rPr>
        <w:t>Counsel</w:t>
      </w:r>
    </w:p>
    <w:p w14:paraId="2B9B3C44" w14:textId="77777777" w:rsidR="00F0058E" w:rsidRPr="002C65CD" w:rsidRDefault="00454D81" w:rsidP="002C227B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2C65CD">
        <w:rPr>
          <w:sz w:val="22"/>
          <w:szCs w:val="22"/>
        </w:rPr>
        <w:t xml:space="preserve">                           </w:t>
      </w:r>
    </w:p>
    <w:p w14:paraId="7D63CB86" w14:textId="4E1BADFF" w:rsidR="003647FA" w:rsidRPr="002C65CD" w:rsidRDefault="000B7EB0" w:rsidP="002C227B">
      <w:pPr>
        <w:rPr>
          <w:sz w:val="22"/>
          <w:szCs w:val="22"/>
        </w:rPr>
      </w:pPr>
      <w:r w:rsidRPr="002C65CD">
        <w:rPr>
          <w:b/>
          <w:smallCaps/>
          <w:sz w:val="22"/>
          <w:szCs w:val="22"/>
        </w:rPr>
        <w:t>Legislative History:</w:t>
      </w:r>
      <w:r w:rsidR="006E1466" w:rsidRPr="002C65CD">
        <w:rPr>
          <w:b/>
          <w:smallCaps/>
          <w:sz w:val="22"/>
          <w:szCs w:val="22"/>
        </w:rPr>
        <w:t xml:space="preserve"> </w:t>
      </w:r>
      <w:r w:rsidR="00B7483B" w:rsidRPr="002C65CD">
        <w:rPr>
          <w:b/>
          <w:smallCaps/>
          <w:sz w:val="22"/>
          <w:szCs w:val="22"/>
        </w:rPr>
        <w:t xml:space="preserve"> </w:t>
      </w:r>
      <w:r w:rsidR="003647FA" w:rsidRPr="002C65CD">
        <w:rPr>
          <w:sz w:val="22"/>
          <w:szCs w:val="22"/>
        </w:rPr>
        <w:t xml:space="preserve">This legislation was introduced to the full Council as Intro. No. 1042 on July 18, 2018 and was referred to the Committee on </w:t>
      </w:r>
      <w:r w:rsidR="00CB0ACF" w:rsidRPr="002C65CD">
        <w:rPr>
          <w:sz w:val="22"/>
          <w:szCs w:val="22"/>
        </w:rPr>
        <w:t>Health. On November 14, 2018, Intro. No. 1042 was re-referred to the Committee on Parks and Recreation</w:t>
      </w:r>
      <w:r w:rsidR="003647FA" w:rsidRPr="002C65CD">
        <w:rPr>
          <w:sz w:val="22"/>
          <w:szCs w:val="22"/>
        </w:rPr>
        <w:t xml:space="preserve"> (Committee). A hearing was held by the Committee on February 7, 2019, and the legislation was laid over. The legislation was subsequently amended and the amended version, Proposed Intro. No. 10</w:t>
      </w:r>
      <w:r w:rsidR="00593F91" w:rsidRPr="002C65CD">
        <w:rPr>
          <w:sz w:val="22"/>
          <w:szCs w:val="22"/>
        </w:rPr>
        <w:t>42</w:t>
      </w:r>
      <w:r w:rsidR="003647FA" w:rsidRPr="002C65CD">
        <w:rPr>
          <w:sz w:val="22"/>
          <w:szCs w:val="22"/>
        </w:rPr>
        <w:t>-A, will be considered by the Committee on June 26, 2019. Upon a successful vote by the Committee, Proposed Intro. No. 10</w:t>
      </w:r>
      <w:r w:rsidR="00593F91" w:rsidRPr="002C65CD">
        <w:rPr>
          <w:sz w:val="22"/>
          <w:szCs w:val="22"/>
        </w:rPr>
        <w:t>42</w:t>
      </w:r>
      <w:r w:rsidR="003647FA" w:rsidRPr="002C65CD">
        <w:rPr>
          <w:sz w:val="22"/>
          <w:szCs w:val="22"/>
        </w:rPr>
        <w:t>-A will be submitted to the full Council for a vote on June 26, 2019.</w:t>
      </w:r>
    </w:p>
    <w:p w14:paraId="7883D72D" w14:textId="77777777" w:rsidR="0007187E" w:rsidRPr="002C65CD" w:rsidRDefault="0007187E" w:rsidP="002C227B">
      <w:pPr>
        <w:spacing w:line="240" w:lineRule="exact"/>
        <w:rPr>
          <w:sz w:val="22"/>
          <w:szCs w:val="22"/>
        </w:rPr>
      </w:pPr>
    </w:p>
    <w:p w14:paraId="74E2D128" w14:textId="77777777" w:rsidR="009B6D5F" w:rsidRPr="002C65CD" w:rsidRDefault="009B6D5F" w:rsidP="002C227B">
      <w:pPr>
        <w:rPr>
          <w:color w:val="FFFFFF" w:themeColor="background1"/>
          <w:sz w:val="22"/>
          <w:szCs w:val="22"/>
        </w:rPr>
      </w:pPr>
      <w:r w:rsidRPr="002C65CD">
        <w:rPr>
          <w:b/>
          <w:smallCaps/>
          <w:sz w:val="22"/>
          <w:szCs w:val="22"/>
        </w:rPr>
        <w:t>Date Prepared:</w:t>
      </w:r>
      <w:r w:rsidRPr="002C65CD">
        <w:rPr>
          <w:sz w:val="22"/>
          <w:szCs w:val="22"/>
        </w:rPr>
        <w:t xml:space="preserve">  June </w:t>
      </w:r>
      <w:r w:rsidR="0007187E" w:rsidRPr="002C65CD">
        <w:rPr>
          <w:sz w:val="22"/>
          <w:szCs w:val="22"/>
        </w:rPr>
        <w:t xml:space="preserve">20, </w:t>
      </w:r>
      <w:r w:rsidRPr="002C65CD">
        <w:rPr>
          <w:sz w:val="22"/>
          <w:szCs w:val="22"/>
        </w:rPr>
        <w:t>20</w:t>
      </w:r>
      <w:r w:rsidR="0007187E" w:rsidRPr="002C65CD">
        <w:rPr>
          <w:sz w:val="22"/>
          <w:szCs w:val="22"/>
        </w:rPr>
        <w:t>19.</w:t>
      </w:r>
      <w:r w:rsidRPr="002C65CD">
        <w:rPr>
          <w:color w:val="FFFFFF" w:themeColor="background1"/>
          <w:sz w:val="22"/>
          <w:szCs w:val="22"/>
        </w:rPr>
        <w:t>2019</w:t>
      </w:r>
      <w:r w:rsidR="0007187E" w:rsidRPr="002C65CD">
        <w:rPr>
          <w:color w:val="FFFFFF" w:themeColor="background1"/>
          <w:sz w:val="22"/>
          <w:szCs w:val="22"/>
        </w:rPr>
        <w:t>.</w:t>
      </w:r>
    </w:p>
    <w:p w14:paraId="3C7ED674" w14:textId="77777777" w:rsidR="0063673C" w:rsidRPr="002C65CD" w:rsidRDefault="0063673C" w:rsidP="002C227B">
      <w:pPr>
        <w:rPr>
          <w:sz w:val="22"/>
          <w:szCs w:val="22"/>
        </w:rPr>
      </w:pPr>
    </w:p>
    <w:sectPr w:rsidR="0063673C" w:rsidRPr="002C65CD" w:rsidSect="002C65CD">
      <w:footerReference w:type="default" r:id="rId9"/>
      <w:pgSz w:w="12240" w:h="15840" w:code="1"/>
      <w:pgMar w:top="576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F224" w14:textId="77777777" w:rsidR="00FA0626" w:rsidRDefault="00FA0626" w:rsidP="000B7EB0">
      <w:r>
        <w:separator/>
      </w:r>
    </w:p>
  </w:endnote>
  <w:endnote w:type="continuationSeparator" w:id="0">
    <w:p w14:paraId="5E62F795" w14:textId="77777777" w:rsidR="00FA0626" w:rsidRDefault="00FA0626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EEA0" w14:textId="099E6094" w:rsidR="006F7E8F" w:rsidRPr="002C227B" w:rsidRDefault="006F7E8F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2C227B">
      <w:rPr>
        <w:rFonts w:eastAsiaTheme="majorEastAsia"/>
      </w:rPr>
      <w:t xml:space="preserve">Proposed Intro. </w:t>
    </w:r>
    <w:r w:rsidR="00A30A0E" w:rsidRPr="002C227B">
      <w:rPr>
        <w:rFonts w:eastAsiaTheme="majorEastAsia"/>
      </w:rPr>
      <w:t>1</w:t>
    </w:r>
    <w:r w:rsidR="00A25D2E">
      <w:rPr>
        <w:rFonts w:eastAsiaTheme="majorEastAsia"/>
      </w:rPr>
      <w:t>0</w:t>
    </w:r>
    <w:r w:rsidR="00A30A0E" w:rsidRPr="002C227B">
      <w:rPr>
        <w:rFonts w:eastAsiaTheme="majorEastAsia"/>
      </w:rPr>
      <w:t>4</w:t>
    </w:r>
    <w:r w:rsidR="00A25D2E">
      <w:rPr>
        <w:rFonts w:eastAsiaTheme="majorEastAsia"/>
      </w:rPr>
      <w:t>2-A</w:t>
    </w:r>
    <w:r w:rsidRPr="002C227B">
      <w:rPr>
        <w:rFonts w:eastAsiaTheme="majorEastAsia"/>
      </w:rPr>
      <w:ptab w:relativeTo="margin" w:alignment="right" w:leader="none"/>
    </w:r>
    <w:r w:rsidRPr="002C227B">
      <w:rPr>
        <w:rFonts w:eastAsiaTheme="majorEastAsia"/>
      </w:rPr>
      <w:t xml:space="preserve">Page </w:t>
    </w:r>
    <w:r w:rsidRPr="002C227B">
      <w:fldChar w:fldCharType="begin"/>
    </w:r>
    <w:r w:rsidRPr="009B6D5F">
      <w:instrText xml:space="preserve"> PAGE   \* MERGEFORMAT </w:instrText>
    </w:r>
    <w:r w:rsidRPr="002C227B">
      <w:fldChar w:fldCharType="separate"/>
    </w:r>
    <w:r w:rsidR="002C65CD" w:rsidRPr="002C65CD">
      <w:rPr>
        <w:rFonts w:eastAsiaTheme="majorEastAsia"/>
        <w:noProof/>
      </w:rPr>
      <w:t>1</w:t>
    </w:r>
    <w:r w:rsidRPr="002C227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6AAE" w14:textId="77777777" w:rsidR="00FA0626" w:rsidRDefault="00FA0626" w:rsidP="000B7EB0">
      <w:r>
        <w:separator/>
      </w:r>
    </w:p>
  </w:footnote>
  <w:footnote w:type="continuationSeparator" w:id="0">
    <w:p w14:paraId="315DFAA2" w14:textId="77777777" w:rsidR="00FA0626" w:rsidRDefault="00FA0626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2D9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C25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3BB"/>
    <w:rsid w:val="00051536"/>
    <w:rsid w:val="0005186B"/>
    <w:rsid w:val="00051F1E"/>
    <w:rsid w:val="000520E4"/>
    <w:rsid w:val="000531D6"/>
    <w:rsid w:val="000536DD"/>
    <w:rsid w:val="0005391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87E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1DF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1E5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7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AE6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2EEF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969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131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1EB6"/>
    <w:rsid w:val="001D2D2A"/>
    <w:rsid w:val="001D2D9C"/>
    <w:rsid w:val="001D2FA0"/>
    <w:rsid w:val="001D37A0"/>
    <w:rsid w:val="001D3DDC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0D7"/>
    <w:rsid w:val="001E3ADB"/>
    <w:rsid w:val="001E3E73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4D2"/>
    <w:rsid w:val="0021372F"/>
    <w:rsid w:val="00213A7A"/>
    <w:rsid w:val="002146CA"/>
    <w:rsid w:val="00214B0F"/>
    <w:rsid w:val="00214C97"/>
    <w:rsid w:val="002153B0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5D3"/>
    <w:rsid w:val="00253B9A"/>
    <w:rsid w:val="00253D8E"/>
    <w:rsid w:val="00253E27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0706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500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B7F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A59"/>
    <w:rsid w:val="0029163B"/>
    <w:rsid w:val="002919DC"/>
    <w:rsid w:val="002924C8"/>
    <w:rsid w:val="00292814"/>
    <w:rsid w:val="0029298F"/>
    <w:rsid w:val="00293014"/>
    <w:rsid w:val="0029386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5E"/>
    <w:rsid w:val="00296CAF"/>
    <w:rsid w:val="00296D64"/>
    <w:rsid w:val="00296E3C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3D7"/>
    <w:rsid w:val="002B4D6A"/>
    <w:rsid w:val="002B4DA9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27B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5CD"/>
    <w:rsid w:val="002C6DD0"/>
    <w:rsid w:val="002C7635"/>
    <w:rsid w:val="002C7DF3"/>
    <w:rsid w:val="002D045D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CE2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2F8"/>
    <w:rsid w:val="0030376D"/>
    <w:rsid w:val="00303A52"/>
    <w:rsid w:val="00303C0B"/>
    <w:rsid w:val="00303F36"/>
    <w:rsid w:val="00304AC9"/>
    <w:rsid w:val="0030605A"/>
    <w:rsid w:val="003060C8"/>
    <w:rsid w:val="00306509"/>
    <w:rsid w:val="00306F6A"/>
    <w:rsid w:val="003070B5"/>
    <w:rsid w:val="00310030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A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222"/>
    <w:rsid w:val="003329FA"/>
    <w:rsid w:val="00333061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1E82"/>
    <w:rsid w:val="003623A2"/>
    <w:rsid w:val="00362613"/>
    <w:rsid w:val="00362C4D"/>
    <w:rsid w:val="00363E60"/>
    <w:rsid w:val="00363FC2"/>
    <w:rsid w:val="00364751"/>
    <w:rsid w:val="003647FA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B"/>
    <w:rsid w:val="003804DF"/>
    <w:rsid w:val="00380C2A"/>
    <w:rsid w:val="00381AD5"/>
    <w:rsid w:val="00381D88"/>
    <w:rsid w:val="00381E80"/>
    <w:rsid w:val="003828CB"/>
    <w:rsid w:val="003829A5"/>
    <w:rsid w:val="00382DE6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411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AA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8D6"/>
    <w:rsid w:val="003A7C20"/>
    <w:rsid w:val="003B031B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14E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446E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E51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3F7F46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6FB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807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D81"/>
    <w:rsid w:val="00454EDC"/>
    <w:rsid w:val="00455AC7"/>
    <w:rsid w:val="00455AF3"/>
    <w:rsid w:val="00455D44"/>
    <w:rsid w:val="00456470"/>
    <w:rsid w:val="0045649E"/>
    <w:rsid w:val="00456A5D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1B7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299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D71"/>
    <w:rsid w:val="00496FFE"/>
    <w:rsid w:val="004A05B9"/>
    <w:rsid w:val="004A0962"/>
    <w:rsid w:val="004A0CFF"/>
    <w:rsid w:val="004A1062"/>
    <w:rsid w:val="004A13D6"/>
    <w:rsid w:val="004A1768"/>
    <w:rsid w:val="004A20AD"/>
    <w:rsid w:val="004A20B3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2AD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6C6F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044A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67C"/>
    <w:rsid w:val="00540F09"/>
    <w:rsid w:val="005411F3"/>
    <w:rsid w:val="00541356"/>
    <w:rsid w:val="005415F0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896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42EC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5DC0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3F91"/>
    <w:rsid w:val="0059432D"/>
    <w:rsid w:val="0059434A"/>
    <w:rsid w:val="00594806"/>
    <w:rsid w:val="00594C21"/>
    <w:rsid w:val="00594C8D"/>
    <w:rsid w:val="0059562F"/>
    <w:rsid w:val="00595D9C"/>
    <w:rsid w:val="00595DE2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529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482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5DE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B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73C"/>
    <w:rsid w:val="00637E59"/>
    <w:rsid w:val="00640505"/>
    <w:rsid w:val="006405AF"/>
    <w:rsid w:val="006406E4"/>
    <w:rsid w:val="00640963"/>
    <w:rsid w:val="00640DB0"/>
    <w:rsid w:val="00641607"/>
    <w:rsid w:val="00641705"/>
    <w:rsid w:val="00641741"/>
    <w:rsid w:val="00641AF0"/>
    <w:rsid w:val="00641C0B"/>
    <w:rsid w:val="00641CB9"/>
    <w:rsid w:val="00642327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91E"/>
    <w:rsid w:val="00660B5A"/>
    <w:rsid w:val="006613BC"/>
    <w:rsid w:val="006617E3"/>
    <w:rsid w:val="00661C3D"/>
    <w:rsid w:val="00661D77"/>
    <w:rsid w:val="00662404"/>
    <w:rsid w:val="006627D2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AA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2D"/>
    <w:rsid w:val="006A605B"/>
    <w:rsid w:val="006A6C95"/>
    <w:rsid w:val="006A6D78"/>
    <w:rsid w:val="006A73DC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65C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6F7E8F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29B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1B32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8B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17E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B76"/>
    <w:rsid w:val="00804C13"/>
    <w:rsid w:val="00805153"/>
    <w:rsid w:val="008058A1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ADA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F3E"/>
    <w:rsid w:val="00822088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680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5D1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567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2B9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105"/>
    <w:rsid w:val="0086729C"/>
    <w:rsid w:val="00867604"/>
    <w:rsid w:val="00867B6B"/>
    <w:rsid w:val="00867D42"/>
    <w:rsid w:val="00870097"/>
    <w:rsid w:val="008700D5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0E4B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38E"/>
    <w:rsid w:val="008F0E6E"/>
    <w:rsid w:val="008F13F3"/>
    <w:rsid w:val="008F1AF1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0B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8CD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93"/>
    <w:rsid w:val="00932BA1"/>
    <w:rsid w:val="00932EE9"/>
    <w:rsid w:val="00933EC7"/>
    <w:rsid w:val="009341B9"/>
    <w:rsid w:val="00934414"/>
    <w:rsid w:val="00934756"/>
    <w:rsid w:val="00934D96"/>
    <w:rsid w:val="00934E1B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82C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8D8"/>
    <w:rsid w:val="00990FA8"/>
    <w:rsid w:val="00990FF3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D5F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50D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03F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6E9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48F"/>
    <w:rsid w:val="00A119AE"/>
    <w:rsid w:val="00A1271D"/>
    <w:rsid w:val="00A1274E"/>
    <w:rsid w:val="00A12967"/>
    <w:rsid w:val="00A12B88"/>
    <w:rsid w:val="00A12EF4"/>
    <w:rsid w:val="00A13251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D2E"/>
    <w:rsid w:val="00A267C7"/>
    <w:rsid w:val="00A2693C"/>
    <w:rsid w:val="00A26A03"/>
    <w:rsid w:val="00A26B24"/>
    <w:rsid w:val="00A26D34"/>
    <w:rsid w:val="00A26E83"/>
    <w:rsid w:val="00A27889"/>
    <w:rsid w:val="00A27974"/>
    <w:rsid w:val="00A27AAB"/>
    <w:rsid w:val="00A27C6F"/>
    <w:rsid w:val="00A303A7"/>
    <w:rsid w:val="00A307D7"/>
    <w:rsid w:val="00A30A0E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17B"/>
    <w:rsid w:val="00A35451"/>
    <w:rsid w:val="00A35525"/>
    <w:rsid w:val="00A358E2"/>
    <w:rsid w:val="00A35CAC"/>
    <w:rsid w:val="00A363D8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5B6"/>
    <w:rsid w:val="00A4489E"/>
    <w:rsid w:val="00A45E0E"/>
    <w:rsid w:val="00A4675E"/>
    <w:rsid w:val="00A46E4B"/>
    <w:rsid w:val="00A4722D"/>
    <w:rsid w:val="00A4750D"/>
    <w:rsid w:val="00A4782B"/>
    <w:rsid w:val="00A47C83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7AD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3A77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8DC"/>
    <w:rsid w:val="00A94C4E"/>
    <w:rsid w:val="00A94E1A"/>
    <w:rsid w:val="00A96124"/>
    <w:rsid w:val="00A96BB8"/>
    <w:rsid w:val="00A97B8A"/>
    <w:rsid w:val="00A97E2C"/>
    <w:rsid w:val="00A97EDC"/>
    <w:rsid w:val="00A97FC7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6EC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5EAA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614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DD3"/>
    <w:rsid w:val="00AD552C"/>
    <w:rsid w:val="00AD5B62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0AB"/>
    <w:rsid w:val="00B0724D"/>
    <w:rsid w:val="00B0727D"/>
    <w:rsid w:val="00B07302"/>
    <w:rsid w:val="00B073DF"/>
    <w:rsid w:val="00B07E98"/>
    <w:rsid w:val="00B10501"/>
    <w:rsid w:val="00B108CA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918"/>
    <w:rsid w:val="00B14B65"/>
    <w:rsid w:val="00B1582D"/>
    <w:rsid w:val="00B1591F"/>
    <w:rsid w:val="00B16B5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2B1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483B"/>
    <w:rsid w:val="00B751E8"/>
    <w:rsid w:val="00B75277"/>
    <w:rsid w:val="00B758BE"/>
    <w:rsid w:val="00B7596B"/>
    <w:rsid w:val="00B75E4B"/>
    <w:rsid w:val="00B76140"/>
    <w:rsid w:val="00B76735"/>
    <w:rsid w:val="00B7715A"/>
    <w:rsid w:val="00B773CD"/>
    <w:rsid w:val="00B77F00"/>
    <w:rsid w:val="00B808AD"/>
    <w:rsid w:val="00B80D2C"/>
    <w:rsid w:val="00B82280"/>
    <w:rsid w:val="00B82430"/>
    <w:rsid w:val="00B828B1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A69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097"/>
    <w:rsid w:val="00C038B7"/>
    <w:rsid w:val="00C03912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4E08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0ACF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4FDD"/>
    <w:rsid w:val="00CD6716"/>
    <w:rsid w:val="00CD6B7F"/>
    <w:rsid w:val="00CD6E09"/>
    <w:rsid w:val="00CD7E2C"/>
    <w:rsid w:val="00CD7F3F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BEA"/>
    <w:rsid w:val="00CE4D80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339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5E0"/>
    <w:rsid w:val="00D329ED"/>
    <w:rsid w:val="00D32F7E"/>
    <w:rsid w:val="00D357CD"/>
    <w:rsid w:val="00D358EA"/>
    <w:rsid w:val="00D3598B"/>
    <w:rsid w:val="00D35A1A"/>
    <w:rsid w:val="00D3647B"/>
    <w:rsid w:val="00D369BF"/>
    <w:rsid w:val="00D36B32"/>
    <w:rsid w:val="00D36EA1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3C88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745"/>
    <w:rsid w:val="00D61AAE"/>
    <w:rsid w:val="00D61CE5"/>
    <w:rsid w:val="00D62059"/>
    <w:rsid w:val="00D6289E"/>
    <w:rsid w:val="00D62B31"/>
    <w:rsid w:val="00D62B7F"/>
    <w:rsid w:val="00D62FCB"/>
    <w:rsid w:val="00D6344E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025A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009"/>
    <w:rsid w:val="00D73705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846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4AA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7D5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129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476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A69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81"/>
    <w:rsid w:val="00E07FBB"/>
    <w:rsid w:val="00E1019D"/>
    <w:rsid w:val="00E103FA"/>
    <w:rsid w:val="00E1054C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39E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81B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AC9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A37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3CF6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58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8AF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05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57E7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4EA1"/>
    <w:rsid w:val="00F6522B"/>
    <w:rsid w:val="00F65CC3"/>
    <w:rsid w:val="00F6605B"/>
    <w:rsid w:val="00F669E6"/>
    <w:rsid w:val="00F66C3B"/>
    <w:rsid w:val="00F6798C"/>
    <w:rsid w:val="00F701BE"/>
    <w:rsid w:val="00F702BD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CA8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87E28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26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292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441E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C90A"/>
  <w15:docId w15:val="{139F82E7-5C2D-4366-889C-A097788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A1148F"/>
    <w:pPr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7C08-3B87-40B3-9CBB-AD53999E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3</cp:revision>
  <cp:lastPrinted>2016-01-29T19:03:00Z</cp:lastPrinted>
  <dcterms:created xsi:type="dcterms:W3CDTF">2019-06-25T14:08:00Z</dcterms:created>
  <dcterms:modified xsi:type="dcterms:W3CDTF">2019-06-26T13:12:00Z</dcterms:modified>
</cp:coreProperties>
</file>