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F07A15" w:rsidRPr="003E7EE9" w:rsidRDefault="00F07A15" w:rsidP="00F07A15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</w:p>
    <w:p w:rsidR="00F07A15" w:rsidRPr="003E7EE9" w:rsidRDefault="00F07A15" w:rsidP="00F07A15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AND MARITIME USES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F07A15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>
        <w:rPr>
          <w:b/>
          <w:sz w:val="24"/>
        </w:rPr>
        <w:t>410</w:t>
      </w:r>
      <w:r w:rsidR="00594858">
        <w:rPr>
          <w:b/>
          <w:sz w:val="24"/>
        </w:rPr>
        <w:t xml:space="preserve"> </w:t>
      </w:r>
      <w:r w:rsidR="00E4613D">
        <w:rPr>
          <w:b/>
          <w:sz w:val="24"/>
        </w:rPr>
        <w:t>(Res. No.</w:t>
      </w:r>
      <w:r>
        <w:rPr>
          <w:b/>
          <w:sz w:val="24"/>
        </w:rPr>
        <w:t xml:space="preserve"> </w:t>
      </w:r>
      <w:r w:rsidR="007511EF">
        <w:rPr>
          <w:b/>
          <w:sz w:val="24"/>
        </w:rPr>
        <w:t>985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F07A15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 w:rsidP="00722009">
      <w:pPr>
        <w:jc w:val="both"/>
        <w:rPr>
          <w:sz w:val="24"/>
        </w:rPr>
      </w:pPr>
    </w:p>
    <w:p w:rsidR="00602F02" w:rsidRPr="00EA1721" w:rsidRDefault="0066434D" w:rsidP="00722009">
      <w:pPr>
        <w:tabs>
          <w:tab w:val="left" w:pos="720"/>
          <w:tab w:val="left" w:pos="1440"/>
          <w:tab w:val="left" w:pos="76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MANHATTAN </w:t>
      </w:r>
      <w:r w:rsidR="00EA1721" w:rsidRPr="00EA1721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2</w:t>
      </w:r>
      <w:r w:rsidR="00EA1721" w:rsidRPr="00EA1721">
        <w:rPr>
          <w:b/>
          <w:sz w:val="24"/>
          <w:szCs w:val="24"/>
        </w:rPr>
        <w:tab/>
      </w:r>
      <w:r w:rsidR="00594858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190184 HAM</w:t>
      </w:r>
    </w:p>
    <w:p w:rsidR="00EA1721" w:rsidRDefault="00EA1721" w:rsidP="00722009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F07A15" w:rsidRPr="001F5991" w:rsidRDefault="00EA1721" w:rsidP="001F5991">
      <w:pPr>
        <w:pStyle w:val="FootnoteText"/>
        <w:widowControl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F07A15">
        <w:rPr>
          <w:sz w:val="24"/>
          <w:szCs w:val="24"/>
        </w:rPr>
        <w:tab/>
      </w:r>
      <w:r w:rsidR="001F5991" w:rsidRPr="001F5991">
        <w:rPr>
          <w:rFonts w:ascii="Times New Roman" w:hAnsi="Times New Roman"/>
          <w:sz w:val="24"/>
          <w:szCs w:val="24"/>
        </w:rPr>
        <w:t>Application No. C 190184 HAM (Haven Green) submitted by the Department of Housing Preservation and Development (HPD) pursuant to Section 197-c of the New York City Charter and Section 576-</w:t>
      </w:r>
      <w:r w:rsidR="00635419" w:rsidRPr="001F5991">
        <w:rPr>
          <w:rFonts w:ascii="Times New Roman" w:hAnsi="Times New Roman"/>
          <w:sz w:val="24"/>
          <w:szCs w:val="24"/>
        </w:rPr>
        <w:t>a (</w:t>
      </w:r>
      <w:r w:rsidR="001F5991" w:rsidRPr="001F5991">
        <w:rPr>
          <w:rFonts w:ascii="Times New Roman" w:hAnsi="Times New Roman"/>
          <w:sz w:val="24"/>
          <w:szCs w:val="24"/>
        </w:rPr>
        <w:t>2) of the Private Housing Finance Law, for the disposition of and sale to a developer selected by HPD, property located at 199-207 Elizabeth Street/222-230 Mott Street (Block 493, Lot 30), Borough of Manhattan, Council District 1, Community District 2.</w:t>
      </w:r>
    </w:p>
    <w:p w:rsidR="007C7914" w:rsidRPr="00F07A15" w:rsidRDefault="007C7914" w:rsidP="00F07A15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</w:p>
    <w:p w:rsidR="00F07A15" w:rsidRDefault="00F07A15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 w:rsidP="003E3258">
      <w:pPr>
        <w:jc w:val="both"/>
        <w:rPr>
          <w:sz w:val="24"/>
        </w:rPr>
      </w:pPr>
    </w:p>
    <w:p w:rsidR="004A394B" w:rsidRPr="004A394B" w:rsidRDefault="005D6A1A" w:rsidP="004A394B">
      <w:pPr>
        <w:pStyle w:val="Body"/>
        <w:widowControl/>
        <w:jc w:val="both"/>
        <w:rPr>
          <w:rFonts w:cs="Times New Roman"/>
          <w:sz w:val="24"/>
          <w:szCs w:val="24"/>
        </w:rPr>
      </w:pPr>
      <w:r w:rsidRPr="004A394B">
        <w:rPr>
          <w:rFonts w:eastAsia="Calibri" w:cs="Times New Roman"/>
          <w:sz w:val="24"/>
          <w:szCs w:val="24"/>
        </w:rPr>
        <w:tab/>
      </w:r>
      <w:r w:rsidR="004A394B" w:rsidRPr="004A394B">
        <w:rPr>
          <w:rFonts w:cs="Times New Roman"/>
          <w:sz w:val="24"/>
          <w:szCs w:val="24"/>
        </w:rPr>
        <w:t>To approve the disposition of city-owned property located at 199-207 Elizabeth Street</w:t>
      </w:r>
      <w:r w:rsidR="004A394B">
        <w:rPr>
          <w:rFonts w:cs="Times New Roman"/>
          <w:sz w:val="24"/>
          <w:szCs w:val="24"/>
        </w:rPr>
        <w:t>,</w:t>
      </w:r>
      <w:r w:rsidR="004A394B" w:rsidRPr="004A394B">
        <w:rPr>
          <w:rFonts w:cs="Times New Roman"/>
          <w:sz w:val="24"/>
          <w:szCs w:val="24"/>
        </w:rPr>
        <w:t xml:space="preserve"> a.k.a 222-230 Mott Street (Block 493, Lot 30), </w:t>
      </w:r>
      <w:r w:rsidR="004A394B">
        <w:rPr>
          <w:rFonts w:cs="Times New Roman"/>
          <w:sz w:val="24"/>
          <w:szCs w:val="24"/>
        </w:rPr>
        <w:t xml:space="preserve">to </w:t>
      </w:r>
      <w:r w:rsidR="004A394B" w:rsidRPr="004A394B">
        <w:rPr>
          <w:rFonts w:cs="Times New Roman"/>
          <w:sz w:val="24"/>
          <w:szCs w:val="24"/>
        </w:rPr>
        <w:t>facilitate the development of a mixed-use building with 123 affordable senior housing units, office space for nonprofit organizations, and approximately 6,700 square feet of publicly accessible open space</w:t>
      </w:r>
      <w:r w:rsidR="00FA3AC1">
        <w:rPr>
          <w:rFonts w:cs="Times New Roman"/>
          <w:sz w:val="24"/>
          <w:szCs w:val="24"/>
        </w:rPr>
        <w:t>, and approximately 1,700 square feet of publicly accessible open space that is not open to the sky,</w:t>
      </w:r>
      <w:r w:rsidR="004A394B" w:rsidRPr="004A394B">
        <w:rPr>
          <w:rFonts w:cs="Times New Roman"/>
          <w:sz w:val="24"/>
          <w:szCs w:val="24"/>
        </w:rPr>
        <w:t xml:space="preserve"> at 199-207 Elizabeth Street/222-230 Mott Street (Block 493, Lot 30) in the Special Little Italy District (Preservation Area A) in Manhattan Community District 2.</w:t>
      </w:r>
    </w:p>
    <w:p w:rsidR="004A394B" w:rsidRPr="004A394B" w:rsidRDefault="004A394B" w:rsidP="004A394B">
      <w:pPr>
        <w:tabs>
          <w:tab w:val="left" w:pos="720"/>
        </w:tabs>
        <w:jc w:val="both"/>
        <w:rPr>
          <w:sz w:val="24"/>
          <w:szCs w:val="24"/>
        </w:rPr>
      </w:pPr>
    </w:p>
    <w:p w:rsidR="003E3258" w:rsidRPr="003E3258" w:rsidRDefault="003E3258" w:rsidP="003E3258">
      <w:pPr>
        <w:jc w:val="both"/>
        <w:rPr>
          <w:sz w:val="24"/>
          <w:szCs w:val="24"/>
        </w:rPr>
      </w:pPr>
    </w:p>
    <w:p w:rsidR="003E3258" w:rsidRDefault="003E3258" w:rsidP="003E3258">
      <w:pPr>
        <w:tabs>
          <w:tab w:val="left" w:pos="720"/>
        </w:tabs>
        <w:rPr>
          <w:rFonts w:eastAsia="Calibri"/>
          <w:sz w:val="24"/>
          <w:szCs w:val="22"/>
        </w:rPr>
      </w:pPr>
    </w:p>
    <w:p w:rsidR="003E3258" w:rsidRDefault="003E3258" w:rsidP="003E3258">
      <w:pPr>
        <w:tabs>
          <w:tab w:val="left" w:pos="720"/>
        </w:tabs>
        <w:rPr>
          <w:rFonts w:eastAsia="Calibri"/>
          <w:sz w:val="24"/>
          <w:szCs w:val="22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4777A0">
        <w:rPr>
          <w:sz w:val="24"/>
        </w:rPr>
        <w:t>May 2, 2019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E1730C">
        <w:rPr>
          <w:sz w:val="24"/>
        </w:rPr>
        <w:tab/>
      </w:r>
      <w:r w:rsidR="004A394B">
        <w:rPr>
          <w:sz w:val="24"/>
        </w:rPr>
        <w:t>Thirty-one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4A394B">
        <w:rPr>
          <w:sz w:val="24"/>
        </w:rPr>
        <w:t>Thirty-one</w:t>
      </w:r>
    </w:p>
    <w:p w:rsidR="003E3258" w:rsidRDefault="003E3258" w:rsidP="007C7914"/>
    <w:p w:rsidR="00F6409E" w:rsidRDefault="00F6409E" w:rsidP="007C7914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4A394B">
        <w:rPr>
          <w:sz w:val="24"/>
        </w:rPr>
        <w:t xml:space="preserve">June </w:t>
      </w:r>
      <w:r w:rsidR="00D4378E">
        <w:rPr>
          <w:sz w:val="24"/>
        </w:rPr>
        <w:t>11</w:t>
      </w:r>
      <w:r w:rsidR="005071E3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3E3258" w:rsidRPr="003E3258" w:rsidRDefault="00E4613D" w:rsidP="00B36180">
      <w:pPr>
        <w:tabs>
          <w:tab w:val="left" w:pos="720"/>
        </w:tabs>
        <w:ind w:right="-180"/>
        <w:jc w:val="both"/>
        <w:rPr>
          <w:sz w:val="24"/>
          <w:szCs w:val="24"/>
        </w:rPr>
      </w:pPr>
      <w:r>
        <w:tab/>
      </w:r>
      <w:r w:rsidR="003E3258" w:rsidRPr="003E3258">
        <w:rPr>
          <w:sz w:val="24"/>
        </w:rPr>
        <w:t xml:space="preserve">The Subcommittee recommends that the Land Use Committee approve </w:t>
      </w:r>
      <w:r w:rsidR="003E3258" w:rsidRPr="003E3258">
        <w:rPr>
          <w:sz w:val="24"/>
          <w:szCs w:val="24"/>
        </w:rPr>
        <w:t xml:space="preserve">the decision </w:t>
      </w:r>
      <w:r w:rsidR="00B36180">
        <w:rPr>
          <w:sz w:val="24"/>
          <w:szCs w:val="24"/>
        </w:rPr>
        <w:t>of the City Planning Commission</w:t>
      </w:r>
      <w:r w:rsidR="0049491A">
        <w:rPr>
          <w:sz w:val="24"/>
          <w:szCs w:val="24"/>
        </w:rPr>
        <w:t xml:space="preserve"> with modifications.</w:t>
      </w:r>
    </w:p>
    <w:p w:rsidR="00E4613D" w:rsidRDefault="00E4613D" w:rsidP="003E3258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Pr="00FC2A3B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 w:rsidRPr="00FC2A3B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  <w:r w:rsidR="00FC2A3B">
        <w:rPr>
          <w:b/>
          <w:sz w:val="24"/>
        </w:rPr>
        <w:t xml:space="preserve"> </w:t>
      </w:r>
    </w:p>
    <w:p w:rsidR="000E2122" w:rsidRDefault="00B53E12" w:rsidP="00B53E12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Adams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B53E12" w:rsidRDefault="00B53E12">
      <w:pPr>
        <w:jc w:val="both"/>
        <w:rPr>
          <w:sz w:val="24"/>
        </w:rPr>
      </w:pPr>
      <w:r>
        <w:rPr>
          <w:sz w:val="24"/>
        </w:rPr>
        <w:t>Koo</w:t>
      </w:r>
    </w:p>
    <w:p w:rsidR="00B53E12" w:rsidRDefault="00B53E12">
      <w:pPr>
        <w:jc w:val="both"/>
        <w:rPr>
          <w:sz w:val="24"/>
        </w:rPr>
      </w:pPr>
      <w:r>
        <w:rPr>
          <w:sz w:val="24"/>
        </w:rPr>
        <w:t>Miller</w:t>
      </w:r>
    </w:p>
    <w:p w:rsidR="00B53E12" w:rsidRDefault="00B53E12">
      <w:pPr>
        <w:jc w:val="both"/>
        <w:rPr>
          <w:sz w:val="24"/>
        </w:rPr>
      </w:pPr>
      <w:r>
        <w:rPr>
          <w:sz w:val="24"/>
        </w:rPr>
        <w:t>Treyger</w:t>
      </w:r>
    </w:p>
    <w:p w:rsidR="0003106B" w:rsidRDefault="0003106B">
      <w:pPr>
        <w:jc w:val="both"/>
        <w:rPr>
          <w:sz w:val="24"/>
        </w:rPr>
      </w:pPr>
    </w:p>
    <w:p w:rsidR="004A394B" w:rsidRDefault="004A394B">
      <w:pPr>
        <w:jc w:val="both"/>
        <w:rPr>
          <w:sz w:val="24"/>
        </w:rPr>
      </w:pPr>
    </w:p>
    <w:p w:rsidR="00B53E12" w:rsidRDefault="00B53E12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4A394B">
        <w:rPr>
          <w:sz w:val="24"/>
        </w:rPr>
        <w:t>June 11, 2019</w:t>
      </w:r>
    </w:p>
    <w:p w:rsidR="00E4613D" w:rsidRDefault="00E4613D">
      <w:pPr>
        <w:jc w:val="both"/>
        <w:rPr>
          <w:sz w:val="24"/>
        </w:rPr>
      </w:pPr>
    </w:p>
    <w:p w:rsidR="00600B93" w:rsidRDefault="00E4613D" w:rsidP="00600B93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The Committee recommends that the Council </w:t>
      </w:r>
      <w:r w:rsidR="00600B93">
        <w:rPr>
          <w:sz w:val="24"/>
          <w:szCs w:val="24"/>
        </w:rPr>
        <w:t>approve the attached resolution.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Gibson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Barron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Deutsch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Koo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Lancman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Miller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Reynoso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Richards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Treyger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Grodenchik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Adams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Diaz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Moya</w:t>
      </w:r>
    </w:p>
    <w:p w:rsidR="0003106B" w:rsidRDefault="0003106B" w:rsidP="0003106B">
      <w:pPr>
        <w:jc w:val="both"/>
        <w:rPr>
          <w:sz w:val="24"/>
        </w:rPr>
      </w:pPr>
      <w:r>
        <w:rPr>
          <w:sz w:val="24"/>
        </w:rPr>
        <w:t>Rivera</w:t>
      </w:r>
    </w:p>
    <w:p w:rsidR="001033B3" w:rsidRDefault="001033B3">
      <w:pPr>
        <w:jc w:val="both"/>
        <w:rPr>
          <w:sz w:val="24"/>
        </w:rPr>
      </w:pPr>
    </w:p>
    <w:p w:rsidR="0049491A" w:rsidRDefault="0049491A">
      <w:pPr>
        <w:jc w:val="both"/>
        <w:rPr>
          <w:sz w:val="24"/>
        </w:rPr>
      </w:pPr>
    </w:p>
    <w:p w:rsidR="0049491A" w:rsidRDefault="0049491A">
      <w:pPr>
        <w:jc w:val="both"/>
        <w:rPr>
          <w:sz w:val="24"/>
        </w:rPr>
      </w:pPr>
    </w:p>
    <w:p w:rsidR="00777354" w:rsidRDefault="00777354">
      <w:pPr>
        <w:jc w:val="both"/>
        <w:rPr>
          <w:sz w:val="24"/>
        </w:rPr>
      </w:pPr>
    </w:p>
    <w:p w:rsidR="0049491A" w:rsidRDefault="0049491A">
      <w:pPr>
        <w:jc w:val="both"/>
        <w:rPr>
          <w:sz w:val="24"/>
        </w:rPr>
      </w:pPr>
    </w:p>
    <w:p w:rsidR="0049491A" w:rsidRDefault="0049491A">
      <w:pPr>
        <w:jc w:val="both"/>
        <w:rPr>
          <w:sz w:val="24"/>
        </w:rPr>
      </w:pPr>
    </w:p>
    <w:p w:rsidR="0049491A" w:rsidRPr="0049491A" w:rsidRDefault="0049491A" w:rsidP="0049491A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49491A">
        <w:rPr>
          <w:b/>
          <w:sz w:val="24"/>
          <w:szCs w:val="24"/>
          <w:u w:val="single"/>
        </w:rPr>
        <w:t>FILING OF MODIFICATIONS WITH THE CITY PLANNING COMMISSIONS</w:t>
      </w:r>
    </w:p>
    <w:p w:rsidR="0049491A" w:rsidRPr="0049491A" w:rsidRDefault="0049491A" w:rsidP="0049491A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49491A" w:rsidRPr="0049491A" w:rsidRDefault="0049491A" w:rsidP="0049491A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49491A">
        <w:rPr>
          <w:sz w:val="24"/>
          <w:szCs w:val="24"/>
        </w:rPr>
        <w:tab/>
        <w:t xml:space="preserve">The City Planning Commission filed a letter dated </w:t>
      </w:r>
      <w:r w:rsidR="003F732A">
        <w:rPr>
          <w:sz w:val="24"/>
          <w:szCs w:val="24"/>
        </w:rPr>
        <w:t>June 26</w:t>
      </w:r>
      <w:r w:rsidRPr="0049491A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49491A">
        <w:rPr>
          <w:sz w:val="24"/>
          <w:szCs w:val="24"/>
        </w:rPr>
        <w:t xml:space="preserve">, with the Council on </w:t>
      </w:r>
      <w:r w:rsidR="003F732A">
        <w:rPr>
          <w:sz w:val="24"/>
          <w:szCs w:val="24"/>
        </w:rPr>
        <w:t>June 26</w:t>
      </w:r>
      <w:r w:rsidRPr="0049491A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49491A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:rsidR="0049491A" w:rsidRPr="0049491A" w:rsidRDefault="0049491A" w:rsidP="0049491A">
      <w:pPr>
        <w:rPr>
          <w:rFonts w:eastAsia="Calibri"/>
          <w:sz w:val="24"/>
          <w:szCs w:val="24"/>
        </w:rPr>
      </w:pPr>
    </w:p>
    <w:p w:rsidR="0049491A" w:rsidRPr="001033B3" w:rsidRDefault="0049491A">
      <w:pPr>
        <w:jc w:val="both"/>
        <w:rPr>
          <w:sz w:val="24"/>
        </w:rPr>
      </w:pPr>
    </w:p>
    <w:sectPr w:rsidR="0049491A" w:rsidRPr="001033B3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EF" w:rsidRDefault="002F13EF">
      <w:r>
        <w:separator/>
      </w:r>
    </w:p>
  </w:endnote>
  <w:endnote w:type="continuationSeparator" w:id="0">
    <w:p w:rsidR="002F13EF" w:rsidRDefault="002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EF" w:rsidRDefault="002F13EF">
      <w:r>
        <w:separator/>
      </w:r>
    </w:p>
  </w:footnote>
  <w:footnote w:type="continuationSeparator" w:id="0">
    <w:p w:rsidR="002F13EF" w:rsidRDefault="002F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5D67B3" w:rsidRDefault="005D67B3">
    <w:pPr>
      <w:pStyle w:val="Header"/>
    </w:pPr>
  </w:p>
  <w:p w:rsidR="005D67B3" w:rsidRDefault="005D67B3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8E79E2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8E79E2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602F02" w:rsidRDefault="003E325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F12C9A">
      <w:rPr>
        <w:b/>
        <w:sz w:val="24"/>
        <w:szCs w:val="24"/>
      </w:rPr>
      <w:t xml:space="preserve">190184 HAM </w:t>
    </w:r>
  </w:p>
  <w:p w:rsidR="0062778A" w:rsidRDefault="004A394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>
      <w:rPr>
        <w:b/>
        <w:sz w:val="24"/>
        <w:szCs w:val="24"/>
      </w:rPr>
      <w:t>410</w:t>
    </w:r>
    <w:r w:rsidR="0062778A">
      <w:rPr>
        <w:b/>
        <w:sz w:val="24"/>
        <w:szCs w:val="24"/>
      </w:rPr>
      <w:t xml:space="preserve"> (Res. No. </w:t>
    </w:r>
    <w:r w:rsidR="007511EF">
      <w:rPr>
        <w:b/>
        <w:sz w:val="24"/>
        <w:szCs w:val="24"/>
      </w:rPr>
      <w:t>985</w:t>
    </w:r>
    <w:r w:rsidR="0062778A">
      <w:rPr>
        <w:b/>
        <w:sz w:val="24"/>
        <w:szCs w:val="24"/>
      </w:rPr>
      <w:t>)</w:t>
    </w:r>
  </w:p>
  <w:p w:rsidR="005D67B3" w:rsidRDefault="005D67B3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900"/>
    <w:multiLevelType w:val="hybridMultilevel"/>
    <w:tmpl w:val="4880A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5959"/>
    <w:multiLevelType w:val="hybridMultilevel"/>
    <w:tmpl w:val="CCEC34AE"/>
    <w:lvl w:ilvl="0" w:tplc="4A260E2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0019E8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47EE51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4C0339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09A08894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1D1ADDB2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8FB8F24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00E23E36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187EEDB4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2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455"/>
    <w:multiLevelType w:val="hybridMultilevel"/>
    <w:tmpl w:val="CF301252"/>
    <w:lvl w:ilvl="0" w:tplc="2BB6394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90D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6B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A8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0E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C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E5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CF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07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666993"/>
    <w:multiLevelType w:val="hybridMultilevel"/>
    <w:tmpl w:val="032E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04BC7"/>
    <w:rsid w:val="0001349B"/>
    <w:rsid w:val="0003106B"/>
    <w:rsid w:val="000406BF"/>
    <w:rsid w:val="000638EE"/>
    <w:rsid w:val="000B6B9E"/>
    <w:rsid w:val="000E2122"/>
    <w:rsid w:val="001033B3"/>
    <w:rsid w:val="00161321"/>
    <w:rsid w:val="001A66C8"/>
    <w:rsid w:val="001D40C3"/>
    <w:rsid w:val="001F1E7A"/>
    <w:rsid w:val="001F5991"/>
    <w:rsid w:val="00247DBD"/>
    <w:rsid w:val="00277209"/>
    <w:rsid w:val="002B54E5"/>
    <w:rsid w:val="002C08E8"/>
    <w:rsid w:val="002E1DAB"/>
    <w:rsid w:val="002F13EF"/>
    <w:rsid w:val="002F4CDF"/>
    <w:rsid w:val="00324509"/>
    <w:rsid w:val="00333C6C"/>
    <w:rsid w:val="0036689B"/>
    <w:rsid w:val="003A4FFA"/>
    <w:rsid w:val="003B2A58"/>
    <w:rsid w:val="003B3FA0"/>
    <w:rsid w:val="003E3258"/>
    <w:rsid w:val="003F732A"/>
    <w:rsid w:val="004777A0"/>
    <w:rsid w:val="0049491A"/>
    <w:rsid w:val="004A394B"/>
    <w:rsid w:val="004A4339"/>
    <w:rsid w:val="004F534A"/>
    <w:rsid w:val="004F55A4"/>
    <w:rsid w:val="005071E3"/>
    <w:rsid w:val="00567160"/>
    <w:rsid w:val="0057256D"/>
    <w:rsid w:val="00594858"/>
    <w:rsid w:val="005A70A6"/>
    <w:rsid w:val="005D67B3"/>
    <w:rsid w:val="005D6A1A"/>
    <w:rsid w:val="00600B93"/>
    <w:rsid w:val="00602F02"/>
    <w:rsid w:val="0062699B"/>
    <w:rsid w:val="0062778A"/>
    <w:rsid w:val="00635419"/>
    <w:rsid w:val="0066434D"/>
    <w:rsid w:val="00692AEC"/>
    <w:rsid w:val="006976FE"/>
    <w:rsid w:val="006C118D"/>
    <w:rsid w:val="006C37DD"/>
    <w:rsid w:val="006D09EB"/>
    <w:rsid w:val="006D78B6"/>
    <w:rsid w:val="00722009"/>
    <w:rsid w:val="00722D3F"/>
    <w:rsid w:val="00735C59"/>
    <w:rsid w:val="00745FE8"/>
    <w:rsid w:val="00746A43"/>
    <w:rsid w:val="007511EF"/>
    <w:rsid w:val="00757941"/>
    <w:rsid w:val="00777354"/>
    <w:rsid w:val="007815D1"/>
    <w:rsid w:val="007C7914"/>
    <w:rsid w:val="007D6971"/>
    <w:rsid w:val="00835C8D"/>
    <w:rsid w:val="00866718"/>
    <w:rsid w:val="008728C9"/>
    <w:rsid w:val="008778C7"/>
    <w:rsid w:val="008D12D5"/>
    <w:rsid w:val="008E79E2"/>
    <w:rsid w:val="00900806"/>
    <w:rsid w:val="00944F2E"/>
    <w:rsid w:val="009832B1"/>
    <w:rsid w:val="009941EB"/>
    <w:rsid w:val="009B67B2"/>
    <w:rsid w:val="009D727B"/>
    <w:rsid w:val="009F587D"/>
    <w:rsid w:val="00A02970"/>
    <w:rsid w:val="00A02D33"/>
    <w:rsid w:val="00A17B48"/>
    <w:rsid w:val="00A36507"/>
    <w:rsid w:val="00A56C11"/>
    <w:rsid w:val="00A86BCF"/>
    <w:rsid w:val="00A95236"/>
    <w:rsid w:val="00AA365A"/>
    <w:rsid w:val="00AA643D"/>
    <w:rsid w:val="00AA6776"/>
    <w:rsid w:val="00AD04A7"/>
    <w:rsid w:val="00AD368D"/>
    <w:rsid w:val="00B23BB7"/>
    <w:rsid w:val="00B36180"/>
    <w:rsid w:val="00B37B02"/>
    <w:rsid w:val="00B51A2E"/>
    <w:rsid w:val="00B53E12"/>
    <w:rsid w:val="00B7587F"/>
    <w:rsid w:val="00BA13D4"/>
    <w:rsid w:val="00BA59B4"/>
    <w:rsid w:val="00BC0D62"/>
    <w:rsid w:val="00BC3853"/>
    <w:rsid w:val="00BC56AF"/>
    <w:rsid w:val="00BC6063"/>
    <w:rsid w:val="00C034C5"/>
    <w:rsid w:val="00C800FD"/>
    <w:rsid w:val="00C96CB5"/>
    <w:rsid w:val="00CB6563"/>
    <w:rsid w:val="00CB6C53"/>
    <w:rsid w:val="00CE532C"/>
    <w:rsid w:val="00D228D6"/>
    <w:rsid w:val="00D40054"/>
    <w:rsid w:val="00D4378E"/>
    <w:rsid w:val="00DD1945"/>
    <w:rsid w:val="00DE6CCA"/>
    <w:rsid w:val="00DF615E"/>
    <w:rsid w:val="00E0062D"/>
    <w:rsid w:val="00E167F1"/>
    <w:rsid w:val="00E1730C"/>
    <w:rsid w:val="00E306D6"/>
    <w:rsid w:val="00E4613D"/>
    <w:rsid w:val="00E865F5"/>
    <w:rsid w:val="00EA1721"/>
    <w:rsid w:val="00EA61A6"/>
    <w:rsid w:val="00F07A15"/>
    <w:rsid w:val="00F11E96"/>
    <w:rsid w:val="00F12C9A"/>
    <w:rsid w:val="00F550FE"/>
    <w:rsid w:val="00F6194A"/>
    <w:rsid w:val="00F6409E"/>
    <w:rsid w:val="00F73A15"/>
    <w:rsid w:val="00FA3AC1"/>
    <w:rsid w:val="00FA5BC8"/>
    <w:rsid w:val="00FB400C"/>
    <w:rsid w:val="00FC2A3B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2A14DC-D160-4919-99F9-3C672324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link w:val="ListParagraphChar"/>
    <w:uiPriority w:val="1"/>
    <w:qFormat/>
    <w:rsid w:val="00594858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1"/>
    <w:rsid w:val="00594858"/>
    <w:rPr>
      <w:sz w:val="24"/>
      <w:szCs w:val="24"/>
    </w:rPr>
  </w:style>
  <w:style w:type="paragraph" w:customStyle="1" w:styleId="Body">
    <w:name w:val="Body"/>
    <w:rsid w:val="00F07A1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FootnoteText">
    <w:name w:val="footnote text"/>
    <w:aliases w:val="Char"/>
    <w:basedOn w:val="Normal"/>
    <w:link w:val="FootnoteTextChar"/>
    <w:uiPriority w:val="99"/>
    <w:qFormat/>
    <w:rsid w:val="001F5991"/>
    <w:pPr>
      <w:widowControl w:val="0"/>
    </w:pPr>
    <w:rPr>
      <w:rFonts w:ascii="Courier" w:hAnsi="Courier"/>
      <w:snapToGrid w:val="0"/>
    </w:rPr>
  </w:style>
  <w:style w:type="character" w:customStyle="1" w:styleId="FootnoteTextChar">
    <w:name w:val="Footnote Text Char"/>
    <w:link w:val="FootnoteText"/>
    <w:uiPriority w:val="99"/>
    <w:rsid w:val="001F5991"/>
    <w:rPr>
      <w:rFonts w:ascii="Courier" w:hAnsi="Courier"/>
      <w:snapToGrid w:val="0"/>
    </w:rPr>
  </w:style>
  <w:style w:type="character" w:styleId="CommentReference">
    <w:name w:val="annotation reference"/>
    <w:rsid w:val="00B51A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A2E"/>
  </w:style>
  <w:style w:type="character" w:customStyle="1" w:styleId="CommentTextChar">
    <w:name w:val="Comment Text Char"/>
    <w:basedOn w:val="DefaultParagraphFont"/>
    <w:link w:val="CommentText"/>
    <w:rsid w:val="00B51A2E"/>
  </w:style>
  <w:style w:type="paragraph" w:styleId="CommentSubject">
    <w:name w:val="annotation subject"/>
    <w:basedOn w:val="CommentText"/>
    <w:next w:val="CommentText"/>
    <w:link w:val="CommentSubjectChar"/>
    <w:rsid w:val="00B51A2E"/>
    <w:rPr>
      <w:b/>
      <w:bCs/>
    </w:rPr>
  </w:style>
  <w:style w:type="character" w:customStyle="1" w:styleId="CommentSubjectChar">
    <w:name w:val="Comment Subject Char"/>
    <w:link w:val="CommentSubject"/>
    <w:rsid w:val="00B51A2E"/>
    <w:rPr>
      <w:b/>
      <w:bCs/>
    </w:rPr>
  </w:style>
  <w:style w:type="paragraph" w:styleId="BalloonText">
    <w:name w:val="Balloon Text"/>
    <w:basedOn w:val="Normal"/>
    <w:link w:val="BalloonTextChar"/>
    <w:rsid w:val="00B5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2019-06-11T14:54:00Z</cp:lastPrinted>
  <dcterms:created xsi:type="dcterms:W3CDTF">2019-06-27T13:27:00Z</dcterms:created>
  <dcterms:modified xsi:type="dcterms:W3CDTF">2019-06-27T13:27:00Z</dcterms:modified>
</cp:coreProperties>
</file>