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370EF6">
        <w:rPr>
          <w:rFonts w:ascii="Times New Roman" w:hAnsi="Times New Roman"/>
          <w:b/>
          <w:bCs/>
          <w:sz w:val="24"/>
        </w:rPr>
        <w:t>916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5F439E" w:rsidRPr="005F439E" w:rsidRDefault="005F439E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5F439E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P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CF51C2">
        <w:rPr>
          <w:rFonts w:ascii="Times New Roman" w:hAnsi="Times New Roman"/>
          <w:b/>
          <w:bCs/>
          <w:sz w:val="24"/>
        </w:rPr>
        <w:t xml:space="preserve">with modifications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D07C1A">
        <w:rPr>
          <w:rFonts w:ascii="Times New Roman" w:hAnsi="Times New Roman"/>
          <w:b/>
          <w:bCs/>
          <w:sz w:val="24"/>
        </w:rPr>
        <w:t>190230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166927" w:rsidRPr="00C92432">
        <w:rPr>
          <w:rFonts w:ascii="Times New Roman" w:hAnsi="Times New Roman"/>
          <w:b/>
          <w:bCs/>
          <w:sz w:val="24"/>
        </w:rPr>
        <w:t>ZR</w:t>
      </w:r>
      <w:r w:rsidR="00D07C1A">
        <w:rPr>
          <w:rFonts w:ascii="Times New Roman" w:hAnsi="Times New Roman"/>
          <w:b/>
          <w:bCs/>
          <w:sz w:val="24"/>
        </w:rPr>
        <w:t>Y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</w:t>
      </w:r>
      <w:r w:rsidR="00D07C1A">
        <w:rPr>
          <w:rFonts w:ascii="Times New Roman" w:hAnsi="Times New Roman"/>
          <w:b/>
          <w:sz w:val="24"/>
        </w:rPr>
        <w:t xml:space="preserve">Preconsidered </w:t>
      </w:r>
      <w:r w:rsidR="008F0BAC">
        <w:rPr>
          <w:rFonts w:ascii="Times New Roman" w:hAnsi="Times New Roman"/>
          <w:b/>
          <w:sz w:val="24"/>
        </w:rPr>
        <w:t xml:space="preserve">L.U. No. </w:t>
      </w:r>
      <w:r w:rsidR="00D07C1A">
        <w:rPr>
          <w:rFonts w:ascii="Times New Roman" w:hAnsi="Times New Roman"/>
          <w:b/>
          <w:sz w:val="24"/>
        </w:rPr>
        <w:t>397</w:t>
      </w:r>
      <w:r w:rsidR="008F0BAC">
        <w:rPr>
          <w:rFonts w:ascii="Times New Roman" w:hAnsi="Times New Roman"/>
          <w:b/>
          <w:sz w:val="24"/>
        </w:rPr>
        <w:t>).</w:t>
      </w:r>
    </w:p>
    <w:p w:rsidR="009E2E63" w:rsidRPr="005F439E" w:rsidRDefault="005F439E" w:rsidP="009E2E63">
      <w:pPr>
        <w:rPr>
          <w:rFonts w:ascii="Times New Roman" w:hAnsi="Times New Roman"/>
          <w:vanish/>
          <w:sz w:val="24"/>
        </w:rPr>
      </w:pPr>
      <w:bookmarkStart w:id="0" w:name="_GoBack"/>
      <w:bookmarkEnd w:id="0"/>
      <w:r w:rsidRPr="005F439E">
        <w:rPr>
          <w:rFonts w:ascii="Times New Roman" w:hAnsi="Times New Roman"/>
          <w:vanish/>
          <w:sz w:val="24"/>
        </w:rPr>
        <w:t>..Body</w:t>
      </w:r>
    </w:p>
    <w:p w:rsidR="005F439E" w:rsidRPr="00226572" w:rsidRDefault="005F439E" w:rsidP="009E2E63">
      <w:pPr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>Salamanca and Moya</w:t>
      </w:r>
    </w:p>
    <w:p w:rsidR="00336AF5" w:rsidRPr="00707DFC" w:rsidRDefault="00336AF5" w:rsidP="00336AF5">
      <w:pPr>
        <w:jc w:val="both"/>
        <w:rPr>
          <w:rFonts w:ascii="Times New Roman" w:hAnsi="Times New Roman"/>
          <w:sz w:val="24"/>
        </w:rPr>
      </w:pPr>
    </w:p>
    <w:p w:rsidR="0089419F" w:rsidRPr="00707DFC" w:rsidRDefault="00A1624D" w:rsidP="00707DFC">
      <w:pPr>
        <w:tabs>
          <w:tab w:val="left" w:pos="720"/>
        </w:tabs>
        <w:kinsoku w:val="0"/>
        <w:jc w:val="both"/>
        <w:rPr>
          <w:rFonts w:ascii="Times New Roman" w:hAnsi="Times New Roman"/>
          <w:sz w:val="24"/>
        </w:rPr>
      </w:pPr>
      <w:r w:rsidRPr="00707DFC">
        <w:rPr>
          <w:rFonts w:ascii="Times New Roman" w:hAnsi="Times New Roman"/>
          <w:sz w:val="24"/>
        </w:rPr>
        <w:tab/>
      </w:r>
      <w:r w:rsidR="0089419F" w:rsidRPr="00707DFC">
        <w:rPr>
          <w:rFonts w:ascii="Times New Roman" w:hAnsi="Times New Roman"/>
          <w:sz w:val="24"/>
        </w:rPr>
        <w:t>WHEREAS, the City Planning Commission f</w:t>
      </w:r>
      <w:r w:rsidR="004B12DD" w:rsidRPr="00707DFC">
        <w:rPr>
          <w:rFonts w:ascii="Times New Roman" w:hAnsi="Times New Roman"/>
          <w:sz w:val="24"/>
        </w:rPr>
        <w:t xml:space="preserve">iled with the Council on </w:t>
      </w:r>
      <w:r w:rsidR="00D07C1A" w:rsidRPr="00707DFC">
        <w:rPr>
          <w:rFonts w:ascii="Times New Roman" w:hAnsi="Times New Roman"/>
          <w:sz w:val="24"/>
        </w:rPr>
        <w:t>April 12</w:t>
      </w:r>
      <w:r w:rsidR="0089419F" w:rsidRPr="00707DFC">
        <w:rPr>
          <w:rFonts w:ascii="Times New Roman" w:hAnsi="Times New Roman"/>
          <w:sz w:val="24"/>
        </w:rPr>
        <w:t>, 201</w:t>
      </w:r>
      <w:r w:rsidR="008F0BAC" w:rsidRPr="00707DFC">
        <w:rPr>
          <w:rFonts w:ascii="Times New Roman" w:hAnsi="Times New Roman"/>
          <w:sz w:val="24"/>
        </w:rPr>
        <w:t xml:space="preserve">9 </w:t>
      </w:r>
      <w:r w:rsidR="0089419F" w:rsidRPr="00707DFC">
        <w:rPr>
          <w:rFonts w:ascii="Times New Roman" w:hAnsi="Times New Roman"/>
          <w:sz w:val="24"/>
        </w:rPr>
        <w:t xml:space="preserve"> its decision dated </w:t>
      </w:r>
      <w:r w:rsidR="00D07C1A" w:rsidRPr="00707DFC">
        <w:rPr>
          <w:rFonts w:ascii="Times New Roman" w:hAnsi="Times New Roman"/>
          <w:sz w:val="24"/>
        </w:rPr>
        <w:t>April 10</w:t>
      </w:r>
      <w:r w:rsidR="0089419F" w:rsidRPr="00707DFC">
        <w:rPr>
          <w:rFonts w:ascii="Times New Roman" w:hAnsi="Times New Roman"/>
          <w:sz w:val="24"/>
        </w:rPr>
        <w:t>, 201</w:t>
      </w:r>
      <w:r w:rsidR="008F0BAC" w:rsidRPr="00707DFC">
        <w:rPr>
          <w:rFonts w:ascii="Times New Roman" w:hAnsi="Times New Roman"/>
          <w:sz w:val="24"/>
        </w:rPr>
        <w:t>9</w:t>
      </w:r>
      <w:r w:rsidR="0089419F" w:rsidRPr="00707DFC">
        <w:rPr>
          <w:rFonts w:ascii="Times New Roman" w:hAnsi="Times New Roman"/>
          <w:sz w:val="24"/>
        </w:rPr>
        <w:t xml:space="preserve"> (the "Decision"), </w:t>
      </w:r>
      <w:r w:rsidR="00281FEC" w:rsidRPr="00707DFC">
        <w:rPr>
          <w:rFonts w:ascii="Times New Roman" w:hAnsi="Times New Roman"/>
          <w:sz w:val="24"/>
        </w:rPr>
        <w:t xml:space="preserve">on the application submitted by </w:t>
      </w:r>
      <w:r w:rsidR="00D07C1A" w:rsidRPr="00707DFC">
        <w:rPr>
          <w:rFonts w:ascii="Times New Roman" w:hAnsi="Times New Roman"/>
          <w:bCs/>
          <w:sz w:val="24"/>
        </w:rPr>
        <w:t>the Department of City Planning</w:t>
      </w:r>
      <w:r w:rsidR="00281FEC" w:rsidRPr="00707DFC">
        <w:rPr>
          <w:rFonts w:ascii="Times New Roman" w:hAnsi="Times New Roman"/>
          <w:sz w:val="24"/>
        </w:rPr>
        <w:t>, pursuant to Section 201 of the New York City Charter,</w:t>
      </w:r>
      <w:r w:rsidR="0089419F" w:rsidRPr="00707DFC">
        <w:rPr>
          <w:rFonts w:ascii="Times New Roman" w:hAnsi="Times New Roman"/>
          <w:sz w:val="24"/>
        </w:rPr>
        <w:t xml:space="preserve"> for an amendment of </w:t>
      </w:r>
      <w:r w:rsidR="00EC36E7" w:rsidRPr="00707DFC">
        <w:rPr>
          <w:rFonts w:ascii="Times New Roman" w:hAnsi="Times New Roman"/>
          <w:bCs/>
          <w:sz w:val="24"/>
        </w:rPr>
        <w:t xml:space="preserve">Article II, Chapter 3 and related provisions of the </w:t>
      </w:r>
      <w:r w:rsidR="0089419F" w:rsidRPr="00707DFC">
        <w:rPr>
          <w:rFonts w:ascii="Times New Roman" w:hAnsi="Times New Roman"/>
          <w:sz w:val="24"/>
        </w:rPr>
        <w:t xml:space="preserve">text of the Zoning Resolution of the City of New York, </w:t>
      </w:r>
      <w:r w:rsidR="00C92432" w:rsidRPr="00707DFC">
        <w:rPr>
          <w:rFonts w:ascii="Times New Roman" w:hAnsi="Times New Roman"/>
          <w:sz w:val="24"/>
        </w:rPr>
        <w:t xml:space="preserve">modifying </w:t>
      </w:r>
      <w:r w:rsidR="00E903DF" w:rsidRPr="00707DFC">
        <w:rPr>
          <w:rFonts w:ascii="Times New Roman" w:hAnsi="Times New Roman"/>
          <w:sz w:val="24"/>
        </w:rPr>
        <w:t>residential tower regulations to require certain mechanical spaces to be calcu</w:t>
      </w:r>
      <w:r w:rsidR="007D473A" w:rsidRPr="00707DFC">
        <w:rPr>
          <w:rFonts w:ascii="Times New Roman" w:hAnsi="Times New Roman"/>
          <w:sz w:val="24"/>
        </w:rPr>
        <w:t>l</w:t>
      </w:r>
      <w:r w:rsidR="00EB694A" w:rsidRPr="00707DFC">
        <w:rPr>
          <w:rFonts w:ascii="Times New Roman" w:hAnsi="Times New Roman"/>
          <w:sz w:val="24"/>
        </w:rPr>
        <w:t>ated as residential floor area</w:t>
      </w:r>
      <w:r w:rsidR="005B1855" w:rsidRPr="00707DFC">
        <w:rPr>
          <w:rFonts w:ascii="Times New Roman" w:hAnsi="Times New Roman"/>
          <w:sz w:val="24"/>
        </w:rPr>
        <w:t>,</w:t>
      </w:r>
      <w:r w:rsidR="00EB694A" w:rsidRPr="00707DFC">
        <w:rPr>
          <w:rFonts w:ascii="Times New Roman" w:hAnsi="Times New Roman"/>
          <w:sz w:val="24"/>
        </w:rPr>
        <w:t xml:space="preserve"> </w:t>
      </w:r>
      <w:r w:rsidR="00707DFC" w:rsidRPr="00707DFC">
        <w:rPr>
          <w:rFonts w:ascii="Times New Roman" w:eastAsia="Calibri" w:hAnsi="Times New Roman"/>
          <w:sz w:val="24"/>
        </w:rPr>
        <w:t xml:space="preserve">in order to discourage the use of excessively tall mechanical floors </w:t>
      </w:r>
      <w:r w:rsidR="00EC0AB1">
        <w:rPr>
          <w:rFonts w:ascii="Times New Roman" w:eastAsia="Calibri" w:hAnsi="Times New Roman"/>
          <w:sz w:val="24"/>
        </w:rPr>
        <w:t>in</w:t>
      </w:r>
      <w:r w:rsidR="00EC0AB1" w:rsidRPr="00707DFC">
        <w:rPr>
          <w:rFonts w:ascii="Times New Roman" w:eastAsia="Calibri" w:hAnsi="Times New Roman"/>
          <w:sz w:val="24"/>
        </w:rPr>
        <w:t xml:space="preserve"> </w:t>
      </w:r>
      <w:r w:rsidR="00707DFC" w:rsidRPr="00707DFC">
        <w:rPr>
          <w:rFonts w:ascii="Times New Roman" w:eastAsia="Calibri" w:hAnsi="Times New Roman"/>
          <w:sz w:val="24"/>
        </w:rPr>
        <w:t xml:space="preserve">residential towers in non-contextual R9 and R10 Residential Districts and their equivalent Commercial Districts, </w:t>
      </w:r>
      <w:r w:rsidR="00EB694A" w:rsidRPr="00707DFC">
        <w:rPr>
          <w:rFonts w:ascii="Times New Roman" w:hAnsi="Times New Roman"/>
          <w:sz w:val="24"/>
        </w:rPr>
        <w:t>Citywide</w:t>
      </w:r>
      <w:r w:rsidR="00C92432" w:rsidRPr="00707DFC">
        <w:rPr>
          <w:rFonts w:ascii="Times New Roman" w:hAnsi="Times New Roman"/>
          <w:sz w:val="24"/>
        </w:rPr>
        <w:t>,</w:t>
      </w:r>
      <w:r w:rsidR="0089419F" w:rsidRPr="00707DFC">
        <w:rPr>
          <w:rFonts w:ascii="Times New Roman" w:hAnsi="Times New Roman"/>
          <w:sz w:val="24"/>
        </w:rPr>
        <w:t xml:space="preserve"> (Application No. N </w:t>
      </w:r>
      <w:r w:rsidR="00EB694A" w:rsidRPr="00707DFC">
        <w:rPr>
          <w:rFonts w:ascii="Times New Roman" w:hAnsi="Times New Roman"/>
          <w:sz w:val="24"/>
        </w:rPr>
        <w:t>190230</w:t>
      </w:r>
      <w:r w:rsidR="0089419F" w:rsidRPr="00707DFC">
        <w:rPr>
          <w:rFonts w:ascii="Times New Roman" w:hAnsi="Times New Roman"/>
          <w:sz w:val="24"/>
        </w:rPr>
        <w:t xml:space="preserve"> ZR</w:t>
      </w:r>
      <w:r w:rsidR="00EB694A" w:rsidRPr="00707DFC">
        <w:rPr>
          <w:rFonts w:ascii="Times New Roman" w:hAnsi="Times New Roman"/>
          <w:sz w:val="24"/>
        </w:rPr>
        <w:t>Y</w:t>
      </w:r>
      <w:r w:rsidR="0089419F" w:rsidRPr="00707DFC">
        <w:rPr>
          <w:rFonts w:ascii="Times New Roman" w:hAnsi="Times New Roman"/>
          <w:sz w:val="24"/>
        </w:rPr>
        <w:t>), (the "Application");</w:t>
      </w:r>
    </w:p>
    <w:p w:rsidR="0089419F" w:rsidRPr="00707DFC" w:rsidRDefault="0089419F" w:rsidP="002F6BAD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 w:val="24"/>
        </w:rPr>
      </w:pPr>
    </w:p>
    <w:p w:rsidR="006A423B" w:rsidRDefault="006A423B" w:rsidP="00843907">
      <w:pPr>
        <w:widowControl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</w:t>
      </w:r>
      <w:r w:rsidRPr="00226572">
        <w:rPr>
          <w:rFonts w:ascii="Times New Roman" w:hAnsi="Times New Roman"/>
          <w:sz w:val="24"/>
        </w:rPr>
        <w:tab/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</w:r>
      <w:proofErr w:type="gramStart"/>
      <w:r w:rsidRPr="00226572">
        <w:rPr>
          <w:rFonts w:ascii="Times New Roman" w:hAnsi="Times New Roman"/>
          <w:sz w:val="24"/>
        </w:rPr>
        <w:t>d(</w:t>
      </w:r>
      <w:proofErr w:type="gramEnd"/>
      <w:r w:rsidRPr="00226572">
        <w:rPr>
          <w:rFonts w:ascii="Times New Roman" w:hAnsi="Times New Roman"/>
          <w:sz w:val="24"/>
        </w:rPr>
        <w:t>b)(1) of the City Charter;</w:t>
      </w:r>
    </w:p>
    <w:p w:rsidR="00843907" w:rsidRPr="00226572" w:rsidRDefault="00843907" w:rsidP="00843907">
      <w:pPr>
        <w:widowControl/>
        <w:jc w:val="both"/>
        <w:rPr>
          <w:rFonts w:ascii="Times New Roman" w:hAnsi="Times New Roman"/>
          <w:sz w:val="24"/>
        </w:rPr>
      </w:pPr>
    </w:p>
    <w:p w:rsidR="004B49F3" w:rsidRPr="00226572" w:rsidRDefault="004B49F3" w:rsidP="004B49F3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 xml:space="preserve">WHEREAS, upon due notice, the Council held a public hearing on the Decision and Application on </w:t>
      </w:r>
      <w:r w:rsidR="00EB694A">
        <w:rPr>
          <w:rFonts w:ascii="Times New Roman" w:hAnsi="Times New Roman"/>
          <w:sz w:val="24"/>
        </w:rPr>
        <w:t>April 16</w:t>
      </w:r>
      <w:r w:rsidR="006750BA" w:rsidRPr="00226572">
        <w:rPr>
          <w:rFonts w:ascii="Times New Roman" w:hAnsi="Times New Roman"/>
          <w:sz w:val="24"/>
        </w:rPr>
        <w:t>, 201</w:t>
      </w:r>
      <w:r w:rsidR="008F0BAC">
        <w:rPr>
          <w:rFonts w:ascii="Times New Roman" w:hAnsi="Times New Roman"/>
          <w:sz w:val="24"/>
        </w:rPr>
        <w:t>9</w:t>
      </w:r>
      <w:r w:rsidRPr="00226572">
        <w:rPr>
          <w:rFonts w:ascii="Times New Roman" w:hAnsi="Times New Roman"/>
          <w:sz w:val="24"/>
        </w:rPr>
        <w:t>;</w:t>
      </w:r>
    </w:p>
    <w:p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>WHEREAS, the Council has considered the land use implications and other policy issues relating to the Decision and Application; and</w:t>
      </w:r>
    </w:p>
    <w:p w:rsidR="002F6BAD" w:rsidRDefault="002F6BAD" w:rsidP="002F6BAD">
      <w:pPr>
        <w:jc w:val="both"/>
        <w:rPr>
          <w:rFonts w:ascii="Times New Roman" w:hAnsi="Times New Roman"/>
          <w:sz w:val="24"/>
        </w:rPr>
      </w:pPr>
    </w:p>
    <w:p w:rsidR="00A1624D" w:rsidRPr="0020523C" w:rsidRDefault="00A1624D" w:rsidP="0020523C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20523C">
        <w:rPr>
          <w:rFonts w:ascii="Times New Roman" w:hAnsi="Times New Roman"/>
          <w:snapToGrid w:val="0"/>
          <w:sz w:val="24"/>
        </w:rPr>
        <w:tab/>
      </w:r>
      <w:r w:rsidR="00386A44" w:rsidRPr="0020523C">
        <w:rPr>
          <w:rFonts w:ascii="Times New Roman" w:hAnsi="Times New Roman"/>
          <w:snapToGrid w:val="0"/>
          <w:sz w:val="24"/>
        </w:rPr>
        <w:t xml:space="preserve">WHEREAS, the Council has considered the relevant environmental issues, including the Revised Negative Declaration issued </w:t>
      </w:r>
      <w:r w:rsidR="0020523C" w:rsidRPr="0020523C">
        <w:rPr>
          <w:rFonts w:ascii="Times New Roman" w:hAnsi="Times New Roman"/>
          <w:snapToGrid w:val="0"/>
          <w:sz w:val="24"/>
        </w:rPr>
        <w:t>April 9</w:t>
      </w:r>
      <w:r w:rsidR="0020523C" w:rsidRPr="0020523C">
        <w:rPr>
          <w:rFonts w:ascii="Times New Roman" w:hAnsi="Times New Roman"/>
          <w:snapToGrid w:val="0"/>
          <w:sz w:val="24"/>
          <w:vertAlign w:val="superscript"/>
        </w:rPr>
        <w:t>th</w:t>
      </w:r>
      <w:r w:rsidR="0020523C" w:rsidRPr="0020523C">
        <w:rPr>
          <w:rFonts w:ascii="Times New Roman" w:hAnsi="Times New Roman"/>
          <w:snapToGrid w:val="0"/>
          <w:sz w:val="24"/>
        </w:rPr>
        <w:t>, 2019</w:t>
      </w:r>
      <w:r w:rsidR="00EE2F7F">
        <w:rPr>
          <w:rFonts w:ascii="Times New Roman" w:hAnsi="Times New Roman"/>
          <w:snapToGrid w:val="0"/>
          <w:sz w:val="24"/>
        </w:rPr>
        <w:t>,</w:t>
      </w:r>
      <w:r w:rsidR="00386A44" w:rsidRPr="0020523C">
        <w:rPr>
          <w:rFonts w:ascii="Times New Roman" w:hAnsi="Times New Roman"/>
          <w:snapToGrid w:val="0"/>
          <w:sz w:val="24"/>
        </w:rPr>
        <w:t xml:space="preserve"> </w:t>
      </w:r>
      <w:r w:rsidR="00A12457" w:rsidRPr="0020523C">
        <w:rPr>
          <w:rFonts w:ascii="Times New Roman" w:hAnsi="Times New Roman"/>
          <w:snapToGrid w:val="0"/>
          <w:sz w:val="24"/>
        </w:rPr>
        <w:t xml:space="preserve">which supersedes the Negative Declaration issued </w:t>
      </w:r>
      <w:r w:rsidR="0020523C" w:rsidRPr="0020523C">
        <w:rPr>
          <w:rFonts w:ascii="Times New Roman" w:hAnsi="Times New Roman"/>
          <w:snapToGrid w:val="0"/>
          <w:sz w:val="24"/>
        </w:rPr>
        <w:t>January 28</w:t>
      </w:r>
      <w:r w:rsidR="0020523C" w:rsidRPr="0020523C">
        <w:rPr>
          <w:rFonts w:ascii="Times New Roman" w:hAnsi="Times New Roman"/>
          <w:snapToGrid w:val="0"/>
          <w:sz w:val="24"/>
          <w:vertAlign w:val="superscript"/>
        </w:rPr>
        <w:t>th</w:t>
      </w:r>
      <w:r w:rsidR="00A12457" w:rsidRPr="0020523C">
        <w:rPr>
          <w:rFonts w:ascii="Times New Roman" w:hAnsi="Times New Roman"/>
          <w:snapToGrid w:val="0"/>
          <w:sz w:val="24"/>
        </w:rPr>
        <w:t xml:space="preserve">, </w:t>
      </w:r>
      <w:r w:rsidR="0020523C">
        <w:rPr>
          <w:rFonts w:ascii="Times New Roman" w:hAnsi="Times New Roman"/>
          <w:snapToGrid w:val="0"/>
          <w:sz w:val="24"/>
        </w:rPr>
        <w:t xml:space="preserve">2019 </w:t>
      </w:r>
      <w:r w:rsidR="00386A44" w:rsidRPr="0020523C">
        <w:rPr>
          <w:rFonts w:ascii="Times New Roman" w:hAnsi="Times New Roman"/>
          <w:snapToGrid w:val="0"/>
          <w:sz w:val="24"/>
        </w:rPr>
        <w:t xml:space="preserve">and Revised Environmental Assessment Statement issued </w:t>
      </w:r>
      <w:r w:rsidR="0020523C" w:rsidRPr="0020523C">
        <w:rPr>
          <w:rFonts w:ascii="Times New Roman" w:hAnsi="Times New Roman"/>
          <w:snapToGrid w:val="0"/>
          <w:sz w:val="24"/>
        </w:rPr>
        <w:t>April 9</w:t>
      </w:r>
      <w:r w:rsidR="0020523C" w:rsidRPr="0020523C">
        <w:rPr>
          <w:rFonts w:ascii="Times New Roman" w:hAnsi="Times New Roman"/>
          <w:snapToGrid w:val="0"/>
          <w:sz w:val="24"/>
          <w:vertAlign w:val="superscript"/>
        </w:rPr>
        <w:t>th</w:t>
      </w:r>
      <w:r w:rsidR="0020523C" w:rsidRPr="0020523C">
        <w:rPr>
          <w:rFonts w:ascii="Times New Roman" w:hAnsi="Times New Roman"/>
          <w:snapToGrid w:val="0"/>
          <w:sz w:val="24"/>
        </w:rPr>
        <w:t>, 2019</w:t>
      </w:r>
      <w:r w:rsidR="00386A44" w:rsidRPr="0020523C">
        <w:rPr>
          <w:rFonts w:ascii="Times New Roman" w:hAnsi="Times New Roman"/>
          <w:snapToGrid w:val="0"/>
          <w:sz w:val="24"/>
        </w:rPr>
        <w:t xml:space="preserve"> </w:t>
      </w:r>
      <w:r w:rsidR="00EE2F7F" w:rsidRPr="0020523C">
        <w:rPr>
          <w:rFonts w:ascii="Times New Roman" w:hAnsi="Times New Roman"/>
          <w:snapToGrid w:val="0"/>
          <w:sz w:val="24"/>
        </w:rPr>
        <w:t xml:space="preserve">(CEQR No. </w:t>
      </w:r>
      <w:r w:rsidR="00EE2F7F" w:rsidRPr="0020523C">
        <w:rPr>
          <w:rFonts w:ascii="Times New Roman" w:hAnsi="Times New Roman"/>
          <w:iCs/>
          <w:sz w:val="24"/>
        </w:rPr>
        <w:t>19DCP110Y</w:t>
      </w:r>
      <w:r w:rsidR="00EE2F7F" w:rsidRPr="0020523C">
        <w:rPr>
          <w:rFonts w:ascii="Times New Roman" w:hAnsi="Times New Roman"/>
          <w:snapToGrid w:val="0"/>
          <w:sz w:val="24"/>
        </w:rPr>
        <w:t xml:space="preserve">), </w:t>
      </w:r>
      <w:r w:rsidR="0020523C" w:rsidRPr="0020523C">
        <w:rPr>
          <w:rFonts w:ascii="Times New Roman" w:hAnsi="Times New Roman"/>
          <w:iCs/>
          <w:sz w:val="24"/>
        </w:rPr>
        <w:t>concludes that the proposed CPC modifications would not result in any new or different significant adverse environmental impacts and would not alter the conclusions of the EAS</w:t>
      </w:r>
      <w:r w:rsidR="003E72BD">
        <w:rPr>
          <w:rFonts w:ascii="Times New Roman" w:hAnsi="Times New Roman"/>
          <w:iCs/>
          <w:sz w:val="24"/>
        </w:rPr>
        <w:t xml:space="preserve"> (the “Revised Negative Declaration”).</w:t>
      </w:r>
    </w:p>
    <w:p w:rsidR="00A1624D" w:rsidRDefault="00A1624D" w:rsidP="00843907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A1624D" w:rsidRDefault="00A1624D" w:rsidP="00843907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A1624D">
        <w:rPr>
          <w:rFonts w:ascii="Times New Roman" w:hAnsi="Times New Roman"/>
          <w:snapToGrid w:val="0"/>
          <w:sz w:val="24"/>
        </w:rPr>
        <w:t>RESOLVED:</w:t>
      </w:r>
    </w:p>
    <w:p w:rsidR="00A1624D" w:rsidRPr="00A1624D" w:rsidRDefault="00A1624D" w:rsidP="00A1624D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A1624D" w:rsidRPr="00A1624D" w:rsidRDefault="00A1624D" w:rsidP="00A1624D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A1624D">
        <w:rPr>
          <w:rFonts w:ascii="Times New Roman" w:hAnsi="Times New Roman"/>
          <w:sz w:val="24"/>
        </w:rPr>
        <w:tab/>
        <w:t>The Council finds that the action described herein will have no significant impact on the environment as set forth in the Revised Negative Declaration.</w:t>
      </w:r>
    </w:p>
    <w:p w:rsidR="00A1624D" w:rsidRDefault="00A1624D" w:rsidP="002F6BAD">
      <w:pPr>
        <w:jc w:val="both"/>
        <w:rPr>
          <w:rFonts w:ascii="Times New Roman" w:hAnsi="Times New Roman"/>
          <w:sz w:val="24"/>
        </w:rPr>
      </w:pPr>
    </w:p>
    <w:p w:rsidR="002C42CD" w:rsidRDefault="002C42CD" w:rsidP="0005159C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Pursuant to Section</w:t>
      </w:r>
      <w:r w:rsidR="001D05C8">
        <w:rPr>
          <w:rFonts w:ascii="Times New Roman" w:hAnsi="Times New Roman"/>
          <w:sz w:val="24"/>
        </w:rPr>
        <w:t>s</w:t>
      </w:r>
      <w:r w:rsidRPr="00226572">
        <w:rPr>
          <w:rFonts w:ascii="Times New Roman" w:hAnsi="Times New Roman"/>
          <w:sz w:val="24"/>
        </w:rPr>
        <w:t xml:space="preserve"> </w:t>
      </w:r>
      <w:r w:rsidR="001D05C8">
        <w:rPr>
          <w:rFonts w:ascii="Times New Roman" w:hAnsi="Times New Roman"/>
          <w:sz w:val="24"/>
        </w:rPr>
        <w:t xml:space="preserve">197-d and </w:t>
      </w:r>
      <w:r w:rsidRPr="00226572">
        <w:rPr>
          <w:rFonts w:ascii="Times New Roman" w:hAnsi="Times New Roman"/>
          <w:sz w:val="24"/>
        </w:rPr>
        <w:t xml:space="preserve">200 of the City Charter and on the basis of the Decision and Application, and based on the environmental determination and consideration described in </w:t>
      </w:r>
      <w:r w:rsidR="00843BEA" w:rsidRPr="00226572">
        <w:rPr>
          <w:rFonts w:ascii="Times New Roman" w:hAnsi="Times New Roman"/>
          <w:sz w:val="24"/>
        </w:rPr>
        <w:t>the</w:t>
      </w:r>
      <w:r w:rsidRPr="00226572">
        <w:rPr>
          <w:rFonts w:ascii="Times New Roman" w:hAnsi="Times New Roman"/>
          <w:sz w:val="24"/>
        </w:rPr>
        <w:t xml:space="preserve"> report, </w:t>
      </w:r>
      <w:r w:rsidR="00B56AC2" w:rsidRPr="00226572">
        <w:rPr>
          <w:rFonts w:ascii="Times New Roman" w:hAnsi="Times New Roman"/>
          <w:sz w:val="24"/>
        </w:rPr>
        <w:t xml:space="preserve">N </w:t>
      </w:r>
      <w:r w:rsidR="004C178F">
        <w:rPr>
          <w:rFonts w:ascii="Times New Roman" w:hAnsi="Times New Roman"/>
          <w:sz w:val="24"/>
        </w:rPr>
        <w:t>190230</w:t>
      </w:r>
      <w:r w:rsidR="00A1624D">
        <w:rPr>
          <w:rFonts w:ascii="Times New Roman" w:hAnsi="Times New Roman"/>
          <w:sz w:val="24"/>
        </w:rPr>
        <w:t xml:space="preserve"> ZR</w:t>
      </w:r>
      <w:r w:rsidR="004C178F">
        <w:rPr>
          <w:rFonts w:ascii="Times New Roman" w:hAnsi="Times New Roman"/>
          <w:sz w:val="24"/>
        </w:rPr>
        <w:t>Y</w:t>
      </w:r>
      <w:r w:rsidR="007063CC" w:rsidRPr="00226572">
        <w:rPr>
          <w:rFonts w:ascii="Times New Roman" w:hAnsi="Times New Roman"/>
          <w:sz w:val="24"/>
        </w:rPr>
        <w:t xml:space="preserve">, </w:t>
      </w:r>
      <w:r w:rsidRPr="00226572">
        <w:rPr>
          <w:rFonts w:ascii="Times New Roman" w:hAnsi="Times New Roman"/>
          <w:sz w:val="24"/>
        </w:rPr>
        <w:t xml:space="preserve">incorporated by reference herein, </w:t>
      </w:r>
      <w:r w:rsidR="00A12457"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>the Council approves the Decision</w:t>
      </w:r>
      <w:r w:rsidR="00091183" w:rsidRPr="00226572">
        <w:rPr>
          <w:rFonts w:ascii="Times New Roman" w:hAnsi="Times New Roman"/>
          <w:sz w:val="24"/>
        </w:rPr>
        <w:t xml:space="preserve"> </w:t>
      </w:r>
      <w:r w:rsidR="002D1F60" w:rsidRPr="00226572">
        <w:rPr>
          <w:rFonts w:ascii="Times New Roman" w:hAnsi="Times New Roman"/>
          <w:sz w:val="24"/>
        </w:rPr>
        <w:t>of the City Planning Commission</w:t>
      </w:r>
      <w:r w:rsidR="00CF51C2">
        <w:rPr>
          <w:rFonts w:ascii="Times New Roman" w:hAnsi="Times New Roman"/>
          <w:sz w:val="24"/>
        </w:rPr>
        <w:t xml:space="preserve"> with the following modifications:</w:t>
      </w:r>
    </w:p>
    <w:p w:rsidR="005B1855" w:rsidRPr="00226572" w:rsidRDefault="005B1855" w:rsidP="0056288D">
      <w:pPr>
        <w:jc w:val="both"/>
        <w:rPr>
          <w:rFonts w:ascii="Times New Roman" w:hAnsi="Times New Roman"/>
          <w:sz w:val="24"/>
        </w:rPr>
      </w:pPr>
    </w:p>
    <w:p w:rsidR="009517D4" w:rsidRDefault="009517D4" w:rsidP="009517D4">
      <w:pPr>
        <w:widowControl/>
        <w:autoSpaceDE/>
        <w:autoSpaceDN/>
        <w:adjustRightInd/>
        <w:rPr>
          <w:rFonts w:ascii="Times New Roman" w:eastAsia="Batang" w:hAnsi="Times New Roman"/>
          <w:sz w:val="24"/>
          <w:lang w:eastAsia="ko-KR" w:bidi="en-US"/>
        </w:rPr>
      </w:pPr>
      <w:r w:rsidRPr="00BC1F31">
        <w:rPr>
          <w:rFonts w:ascii="Times New Roman" w:eastAsia="Batang" w:hAnsi="Times New Roman"/>
          <w:sz w:val="24"/>
          <w:lang w:eastAsia="ko-KR" w:bidi="en-US"/>
        </w:rPr>
        <w:t xml:space="preserve">Matter </w:t>
      </w:r>
      <w:r w:rsidRPr="00BC1F31">
        <w:rPr>
          <w:rFonts w:ascii="Times New Roman" w:eastAsia="Batang" w:hAnsi="Times New Roman"/>
          <w:sz w:val="24"/>
          <w:u w:val="single"/>
          <w:lang w:eastAsia="ko-KR" w:bidi="en-US"/>
        </w:rPr>
        <w:t>underlined</w:t>
      </w:r>
      <w:r w:rsidRPr="00BC1F31">
        <w:rPr>
          <w:rFonts w:ascii="Times New Roman" w:eastAsia="Batang" w:hAnsi="Times New Roman"/>
          <w:sz w:val="24"/>
          <w:lang w:eastAsia="ko-KR" w:bidi="en-US"/>
        </w:rPr>
        <w:t xml:space="preserve"> is new, to be added</w:t>
      </w:r>
      <w:proofErr w:type="gramStart"/>
      <w:r w:rsidRPr="00BC1F31">
        <w:rPr>
          <w:rFonts w:ascii="Times New Roman" w:eastAsia="Batang" w:hAnsi="Times New Roman"/>
          <w:sz w:val="24"/>
          <w:lang w:eastAsia="ko-KR" w:bidi="en-US"/>
        </w:rPr>
        <w:t>;</w:t>
      </w:r>
      <w:proofErr w:type="gramEnd"/>
      <w:r w:rsidRPr="00BC1F31">
        <w:rPr>
          <w:rFonts w:ascii="Times New Roman" w:eastAsia="Batang" w:hAnsi="Times New Roman"/>
          <w:sz w:val="24"/>
          <w:lang w:eastAsia="ko-KR" w:bidi="en-US"/>
        </w:rPr>
        <w:br/>
        <w:t xml:space="preserve">Matter </w:t>
      </w:r>
      <w:r w:rsidRPr="00BC1F31">
        <w:rPr>
          <w:rFonts w:ascii="Times New Roman" w:eastAsia="Batang" w:hAnsi="Times New Roman"/>
          <w:strike/>
          <w:sz w:val="24"/>
          <w:lang w:eastAsia="ko-KR" w:bidi="en-US"/>
        </w:rPr>
        <w:t>struck out</w:t>
      </w:r>
      <w:r w:rsidRPr="00BC1F31">
        <w:rPr>
          <w:rFonts w:ascii="Times New Roman" w:eastAsia="Batang" w:hAnsi="Times New Roman"/>
          <w:sz w:val="24"/>
          <w:lang w:eastAsia="ko-KR" w:bidi="en-US"/>
        </w:rPr>
        <w:t xml:space="preserve"> is to be deleted;</w:t>
      </w:r>
      <w:r w:rsidRPr="00BC1F31">
        <w:rPr>
          <w:rFonts w:ascii="Times New Roman" w:eastAsia="Batang" w:hAnsi="Times New Roman"/>
          <w:sz w:val="24"/>
          <w:lang w:eastAsia="ko-KR" w:bidi="en-US"/>
        </w:rPr>
        <w:br/>
        <w:t>Matter within # # is defined in Section 12-10;</w:t>
      </w:r>
    </w:p>
    <w:p w:rsidR="009517D4" w:rsidRPr="00C70A6D" w:rsidRDefault="009517D4" w:rsidP="009517D4">
      <w:pPr>
        <w:rPr>
          <w:rFonts w:ascii="Times New Roman" w:hAnsi="Times New Roman"/>
          <w:sz w:val="24"/>
        </w:rPr>
      </w:pPr>
      <w:r w:rsidRPr="00C70A6D">
        <w:rPr>
          <w:rFonts w:ascii="Times New Roman" w:hAnsi="Times New Roman"/>
          <w:sz w:val="24"/>
        </w:rPr>
        <w:t xml:space="preserve">Matter </w:t>
      </w:r>
      <w:r w:rsidRPr="00C70A6D">
        <w:rPr>
          <w:rFonts w:ascii="Times New Roman" w:hAnsi="Times New Roman"/>
          <w:dstrike/>
          <w:sz w:val="24"/>
        </w:rPr>
        <w:t>double struck out</w:t>
      </w:r>
      <w:r w:rsidRPr="00C70A6D">
        <w:rPr>
          <w:rFonts w:ascii="Times New Roman" w:hAnsi="Times New Roman"/>
          <w:sz w:val="24"/>
        </w:rPr>
        <w:t xml:space="preserve"> is old, deleted by the City Council;</w:t>
      </w:r>
    </w:p>
    <w:p w:rsidR="009517D4" w:rsidRPr="002461E2" w:rsidRDefault="009517D4" w:rsidP="009517D4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</w:rPr>
      </w:pPr>
      <w:r w:rsidRPr="00C70A6D">
        <w:rPr>
          <w:rFonts w:ascii="Times New Roman" w:hAnsi="Times New Roman"/>
          <w:sz w:val="24"/>
        </w:rPr>
        <w:t xml:space="preserve">Matter </w:t>
      </w:r>
      <w:r w:rsidRPr="00C70A6D">
        <w:rPr>
          <w:rFonts w:ascii="Times New Roman" w:hAnsi="Times New Roman"/>
          <w:sz w:val="24"/>
          <w:u w:val="double"/>
        </w:rPr>
        <w:t>double-underlined</w:t>
      </w:r>
      <w:r w:rsidRPr="00C70A6D">
        <w:rPr>
          <w:rFonts w:ascii="Times New Roman" w:hAnsi="Times New Roman"/>
          <w:sz w:val="24"/>
        </w:rPr>
        <w:t xml:space="preserve"> is new, added by the City Council</w:t>
      </w:r>
    </w:p>
    <w:p w:rsidR="009517D4" w:rsidRPr="00BC1F31" w:rsidRDefault="009517D4" w:rsidP="009517D4">
      <w:pPr>
        <w:widowControl/>
        <w:autoSpaceDE/>
        <w:autoSpaceDN/>
        <w:adjustRightInd/>
        <w:rPr>
          <w:rFonts w:ascii="Times New Roman" w:eastAsia="Batang" w:hAnsi="Times New Roman"/>
          <w:sz w:val="24"/>
          <w:lang w:eastAsia="ko-KR" w:bidi="en-US"/>
        </w:rPr>
      </w:pPr>
      <w:r w:rsidRPr="00BC1F31">
        <w:rPr>
          <w:rFonts w:ascii="Times New Roman" w:eastAsia="Batang" w:hAnsi="Times New Roman"/>
          <w:sz w:val="24"/>
          <w:lang w:eastAsia="ko-KR" w:bidi="en-US"/>
        </w:rPr>
        <w:t>* * * indicates where unchanged text appears in the Zoning Resolution.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</w:p>
    <w:p w:rsidR="00AA0A42" w:rsidRDefault="00AA0A42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</w:p>
    <w:p w:rsidR="00AA0A42" w:rsidRDefault="00AA0A42" w:rsidP="00AA0A42">
      <w:pPr>
        <w:widowControl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ARTICLE I  </w:t>
      </w:r>
    </w:p>
    <w:p w:rsidR="00AA0A42" w:rsidRDefault="00AA0A42" w:rsidP="00AA0A42">
      <w:pPr>
        <w:widowControl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AA0A42" w:rsidRDefault="00AA0A42" w:rsidP="00AA0A42">
      <w:pPr>
        <w:widowControl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/>
        <w:t>Chapter 1</w:t>
      </w:r>
    </w:p>
    <w:p w:rsidR="00AA0A42" w:rsidRPr="004C178F" w:rsidRDefault="00AA0A42" w:rsidP="00AA0A42">
      <w:pPr>
        <w:widowControl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Title, Establishment of Controls and Interpretation of Regulations</w:t>
      </w:r>
    </w:p>
    <w:p w:rsidR="00AA0A42" w:rsidRPr="004C178F" w:rsidRDefault="00AA0A42" w:rsidP="00AA0A42">
      <w:pPr>
        <w:widowControl/>
        <w:spacing w:line="276" w:lineRule="auto"/>
        <w:rPr>
          <w:rFonts w:ascii="Times New Roman" w:hAnsi="Times New Roman"/>
          <w:bCs/>
          <w:sz w:val="24"/>
        </w:rPr>
      </w:pPr>
    </w:p>
    <w:p w:rsidR="00AA0A42" w:rsidRPr="004C178F" w:rsidRDefault="00AA0A42" w:rsidP="00AA0A42">
      <w:pPr>
        <w:widowControl/>
        <w:spacing w:line="276" w:lineRule="auto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AA0A42" w:rsidRDefault="00AA0A42" w:rsidP="00AA0A42">
      <w:pPr>
        <w:rPr>
          <w:rFonts w:ascii="Calibri" w:hAnsi="Calibri"/>
          <w:color w:val="1F497D"/>
          <w:szCs w:val="22"/>
        </w:rPr>
      </w:pPr>
    </w:p>
    <w:p w:rsidR="00AA0A42" w:rsidRPr="00DB0F83" w:rsidRDefault="00AA0A42" w:rsidP="00AA0A42">
      <w:pPr>
        <w:rPr>
          <w:sz w:val="24"/>
          <w:u w:val="double"/>
        </w:rPr>
      </w:pPr>
      <w:r w:rsidRPr="00DB0F83">
        <w:rPr>
          <w:rFonts w:ascii="Times New Roman" w:hAnsi="Times New Roman"/>
          <w:b/>
          <w:bCs/>
          <w:sz w:val="24"/>
          <w:u w:val="double"/>
        </w:rPr>
        <w:t>11-34</w:t>
      </w:r>
    </w:p>
    <w:p w:rsidR="00AA0A42" w:rsidRPr="00DB0F83" w:rsidRDefault="00AA0A42" w:rsidP="00AA0A42">
      <w:pPr>
        <w:rPr>
          <w:sz w:val="24"/>
          <w:u w:val="double"/>
        </w:rPr>
      </w:pPr>
      <w:r w:rsidRPr="00DB0F83">
        <w:rPr>
          <w:rFonts w:ascii="Times New Roman" w:hAnsi="Times New Roman"/>
          <w:b/>
          <w:bCs/>
          <w:sz w:val="24"/>
          <w:u w:val="double"/>
        </w:rPr>
        <w:t>Additional provisions for extension of period to complete construction</w:t>
      </w:r>
    </w:p>
    <w:p w:rsidR="00AA0A42" w:rsidRPr="00AA0A42" w:rsidRDefault="00AA0A42" w:rsidP="00AA0A42">
      <w:pPr>
        <w:rPr>
          <w:sz w:val="24"/>
        </w:rPr>
      </w:pPr>
      <w:r w:rsidRPr="00AA0A42">
        <w:rPr>
          <w:rFonts w:ascii="Times New Roman" w:hAnsi="Times New Roman"/>
          <w:b/>
          <w:bCs/>
          <w:sz w:val="24"/>
        </w:rPr>
        <w:t> </w:t>
      </w:r>
    </w:p>
    <w:p w:rsidR="00AA0A42" w:rsidRPr="00AA0A42" w:rsidRDefault="00AA0A42" w:rsidP="00AA0A42">
      <w:pPr>
        <w:rPr>
          <w:sz w:val="24"/>
          <w:u w:val="double"/>
        </w:rPr>
      </w:pPr>
      <w:r w:rsidRPr="00AA0A42">
        <w:rPr>
          <w:rFonts w:ascii="Times New Roman" w:hAnsi="Times New Roman"/>
          <w:b/>
          <w:bCs/>
          <w:sz w:val="24"/>
          <w:u w:val="double"/>
        </w:rPr>
        <w:t>11-341</w:t>
      </w:r>
    </w:p>
    <w:p w:rsidR="00AA0A42" w:rsidRPr="00AA0A42" w:rsidRDefault="00946CF3" w:rsidP="00AA0A42">
      <w:pPr>
        <w:rPr>
          <w:sz w:val="24"/>
          <w:u w:val="double"/>
        </w:rPr>
      </w:pPr>
      <w:r>
        <w:rPr>
          <w:rFonts w:ascii="Times New Roman" w:hAnsi="Times New Roman"/>
          <w:b/>
          <w:bCs/>
          <w:sz w:val="24"/>
          <w:u w:val="double"/>
        </w:rPr>
        <w:t xml:space="preserve">Building applications filed </w:t>
      </w:r>
      <w:r w:rsidR="00AA0A42" w:rsidRPr="00AA0A42">
        <w:rPr>
          <w:rFonts w:ascii="Times New Roman" w:hAnsi="Times New Roman"/>
          <w:b/>
          <w:bCs/>
          <w:sz w:val="24"/>
          <w:u w:val="double"/>
        </w:rPr>
        <w:t xml:space="preserve">before </w:t>
      </w:r>
      <w:r>
        <w:rPr>
          <w:rFonts w:ascii="Times New Roman" w:hAnsi="Times New Roman"/>
          <w:b/>
          <w:bCs/>
          <w:sz w:val="24"/>
          <w:u w:val="double"/>
        </w:rPr>
        <w:t>July 8, 2017</w:t>
      </w:r>
    </w:p>
    <w:p w:rsidR="00AA0A42" w:rsidRPr="00AA0A42" w:rsidRDefault="00AA0A42" w:rsidP="00AA0A42">
      <w:pPr>
        <w:rPr>
          <w:color w:val="1F497D"/>
          <w:sz w:val="24"/>
          <w:u w:val="double"/>
        </w:rPr>
      </w:pPr>
    </w:p>
    <w:p w:rsidR="00AA0A42" w:rsidRDefault="00AA0A42" w:rsidP="00AA0A42">
      <w:pPr>
        <w:spacing w:line="276" w:lineRule="auto"/>
        <w:rPr>
          <w:rFonts w:ascii="Times New Roman" w:hAnsi="Times New Roman"/>
          <w:sz w:val="24"/>
          <w:u w:val="double"/>
        </w:rPr>
      </w:pPr>
      <w:r w:rsidRPr="00AA0A42">
        <w:rPr>
          <w:rFonts w:ascii="Times New Roman" w:hAnsi="Times New Roman"/>
          <w:sz w:val="24"/>
          <w:u w:val="double"/>
        </w:rPr>
        <w:t>If</w:t>
      </w:r>
      <w:r w:rsidR="00270F5A">
        <w:rPr>
          <w:rFonts w:ascii="Times New Roman" w:hAnsi="Times New Roman"/>
          <w:sz w:val="24"/>
          <w:u w:val="double"/>
        </w:rPr>
        <w:t>,</w:t>
      </w:r>
      <w:r w:rsidRPr="00AA0A42">
        <w:rPr>
          <w:rFonts w:ascii="Times New Roman" w:hAnsi="Times New Roman"/>
          <w:sz w:val="24"/>
          <w:u w:val="double"/>
        </w:rPr>
        <w:t xml:space="preserve"> </w:t>
      </w:r>
      <w:r w:rsidR="00270F5A">
        <w:rPr>
          <w:rFonts w:ascii="Times New Roman" w:hAnsi="Times New Roman"/>
          <w:sz w:val="24"/>
          <w:u w:val="double"/>
        </w:rPr>
        <w:t>before July 8, 2017, a</w:t>
      </w:r>
      <w:r w:rsidRPr="00AA0A42">
        <w:rPr>
          <w:rFonts w:ascii="Times New Roman" w:hAnsi="Times New Roman"/>
          <w:sz w:val="24"/>
          <w:u w:val="double"/>
        </w:rPr>
        <w:t xml:space="preserve">n application has been filed with the Department of Buildings for a #development# on a #corner lot# with a #lot area# of less than 5,000 square feet, located in a C5-2 District in Community District 5 of the Borough of Manhattan, the provisions established in </w:t>
      </w:r>
    </w:p>
    <w:p w:rsidR="00AA0A42" w:rsidRPr="00AA0A42" w:rsidRDefault="00AA0A42" w:rsidP="00AA0A42">
      <w:pPr>
        <w:spacing w:line="276" w:lineRule="auto"/>
        <w:rPr>
          <w:sz w:val="24"/>
          <w:u w:val="double"/>
        </w:rPr>
      </w:pPr>
      <w:r w:rsidRPr="00AA0A42">
        <w:rPr>
          <w:rFonts w:ascii="Times New Roman" w:hAnsi="Times New Roman"/>
          <w:sz w:val="24"/>
          <w:u w:val="double"/>
        </w:rPr>
        <w:t>N 190230 ZRY pertaining to calculating #floor area# in a tower containing #residences# shall not apply in the portion of such #building# below a height of 130 feet above the #base plane#, provided that the aggregate height of any floor space on #stories# occupied predominantly by mechanical equipment provided pursuant to paragraph (8) of the definition of #floor area# in Section 12-10 (DEFINITIONS), and any floor space that is or becomes unused or inaccessible within a #building#, pursuant to paragraph (k) of the definition of #floor area# in Section 12-10, does not exceed 80 feet.</w:t>
      </w:r>
    </w:p>
    <w:p w:rsidR="00AA0A42" w:rsidRPr="00AA0A42" w:rsidRDefault="00AA0A42" w:rsidP="004C178F">
      <w:pPr>
        <w:widowControl/>
        <w:spacing w:line="276" w:lineRule="auto"/>
        <w:rPr>
          <w:rFonts w:ascii="Times New Roman" w:hAnsi="Times New Roman"/>
          <w:b/>
          <w:sz w:val="24"/>
          <w:u w:val="double"/>
        </w:rPr>
      </w:pPr>
    </w:p>
    <w:p w:rsidR="009B0374" w:rsidRPr="004C178F" w:rsidRDefault="009B0374" w:rsidP="009B0374">
      <w:pPr>
        <w:widowControl/>
        <w:spacing w:line="276" w:lineRule="auto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  <w:r w:rsidRPr="004C178F">
        <w:rPr>
          <w:rFonts w:ascii="Times New Roman" w:hAnsi="Times New Roman"/>
          <w:b/>
          <w:sz w:val="24"/>
        </w:rPr>
        <w:lastRenderedPageBreak/>
        <w:t xml:space="preserve">ARTICLE </w:t>
      </w:r>
      <w:proofErr w:type="gramStart"/>
      <w:r w:rsidRPr="004C178F">
        <w:rPr>
          <w:rFonts w:ascii="Times New Roman" w:hAnsi="Times New Roman"/>
          <w:b/>
          <w:sz w:val="24"/>
        </w:rPr>
        <w:t xml:space="preserve">II  </w:t>
      </w:r>
      <w:proofErr w:type="gramEnd"/>
      <w:r w:rsidRPr="004C178F">
        <w:rPr>
          <w:rFonts w:ascii="Times New Roman" w:hAnsi="Times New Roman"/>
          <w:b/>
          <w:sz w:val="24"/>
        </w:rPr>
        <w:br/>
        <w:t>RESIDENCE DISTRICT REGULATIONS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Cs/>
          <w:sz w:val="24"/>
        </w:rPr>
      </w:pP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bCs/>
          <w:sz w:val="24"/>
        </w:rPr>
      </w:pPr>
      <w:r w:rsidRPr="004C178F">
        <w:rPr>
          <w:rFonts w:ascii="Times New Roman" w:hAnsi="Times New Roman"/>
          <w:b/>
          <w:bCs/>
          <w:sz w:val="24"/>
        </w:rPr>
        <w:t xml:space="preserve">Chapter </w:t>
      </w:r>
      <w:proofErr w:type="gramStart"/>
      <w:r w:rsidRPr="004C178F">
        <w:rPr>
          <w:rFonts w:ascii="Times New Roman" w:hAnsi="Times New Roman"/>
          <w:b/>
          <w:bCs/>
          <w:sz w:val="24"/>
        </w:rPr>
        <w:t xml:space="preserve">3  </w:t>
      </w:r>
      <w:proofErr w:type="gramEnd"/>
      <w:r w:rsidRPr="004C178F">
        <w:rPr>
          <w:rFonts w:ascii="Times New Roman" w:hAnsi="Times New Roman"/>
          <w:b/>
          <w:bCs/>
          <w:sz w:val="24"/>
        </w:rPr>
        <w:br/>
        <w:t>Residential Bulk Regulations in Residence Districts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spacing w:line="276" w:lineRule="auto"/>
        <w:jc w:val="center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bCs/>
          <w:sz w:val="24"/>
        </w:rPr>
      </w:pPr>
      <w:r w:rsidRPr="004C178F">
        <w:rPr>
          <w:rFonts w:ascii="Times New Roman" w:hAnsi="Times New Roman"/>
          <w:b/>
          <w:bCs/>
          <w:sz w:val="24"/>
        </w:rPr>
        <w:t>23-10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bCs/>
          <w:sz w:val="24"/>
        </w:rPr>
      </w:pPr>
      <w:r w:rsidRPr="004C178F">
        <w:rPr>
          <w:rFonts w:ascii="Times New Roman" w:hAnsi="Times New Roman"/>
          <w:b/>
          <w:bCs/>
          <w:sz w:val="24"/>
        </w:rPr>
        <w:t>OPEN SPACE AND FLOOR AREA REGULATIONS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R1 R2 R3 R4 R5 R6 R7 R8 R9 R10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jc w:val="both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 xml:space="preserve">Special #open space# and #floor area# provisions are set forth in Section 23-16 (Special Floor Area and Lot Coverage Provisions for Certain Areas) for </w:t>
      </w:r>
      <w:r w:rsidRPr="004C178F">
        <w:rPr>
          <w:rFonts w:ascii="Times New Roman" w:hAnsi="Times New Roman"/>
          <w:sz w:val="24"/>
          <w:u w:val="single"/>
        </w:rPr>
        <w:t>standard tower and</w:t>
      </w:r>
      <w:r w:rsidRPr="004C178F">
        <w:rPr>
          <w:rFonts w:ascii="Times New Roman" w:hAnsi="Times New Roman"/>
          <w:sz w:val="24"/>
        </w:rPr>
        <w:t xml:space="preserve"> tower-on-a-base </w:t>
      </w:r>
      <w:r w:rsidRPr="00E83A0A">
        <w:rPr>
          <w:rFonts w:ascii="Times New Roman" w:hAnsi="Times New Roman"/>
          <w:sz w:val="24"/>
        </w:rPr>
        <w:t>#</w:t>
      </w:r>
      <w:r w:rsidRPr="004C178F">
        <w:rPr>
          <w:rFonts w:ascii="Times New Roman" w:hAnsi="Times New Roman"/>
          <w:sz w:val="24"/>
        </w:rPr>
        <w:t>buildings</w:t>
      </w:r>
      <w:r w:rsidRPr="00E83A0A">
        <w:rPr>
          <w:rFonts w:ascii="Times New Roman" w:hAnsi="Times New Roman"/>
          <w:sz w:val="24"/>
        </w:rPr>
        <w:t>#</w:t>
      </w:r>
      <w:r w:rsidRPr="004C178F">
        <w:rPr>
          <w:rFonts w:ascii="Times New Roman" w:hAnsi="Times New Roman"/>
          <w:sz w:val="24"/>
        </w:rPr>
        <w:t xml:space="preserve"> in R9 </w:t>
      </w:r>
      <w:r w:rsidRPr="004C178F">
        <w:rPr>
          <w:rFonts w:ascii="Times New Roman" w:hAnsi="Times New Roman"/>
          <w:sz w:val="24"/>
          <w:u w:val="single"/>
        </w:rPr>
        <w:t xml:space="preserve">and R10 </w:t>
      </w:r>
      <w:r w:rsidRPr="004C178F">
        <w:rPr>
          <w:rFonts w:ascii="Times New Roman" w:hAnsi="Times New Roman"/>
          <w:sz w:val="24"/>
        </w:rPr>
        <w:t>Districts, as well as for certain areas in Community District 7 and Community District 9 in the Borough of Manhattan, and Community District 12 in the Borough of Brooklyn. Additional provisions are set forth in Sections 23-17 (Existing Public Amenities for Which Floor Area Bonuses Have Been Received) and 23-18 (Special Provisions for Zoning Lots Divided by District Boundaries or Subject to Different Bulk Regulations).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  <w:r w:rsidRPr="004C178F">
        <w:rPr>
          <w:rFonts w:ascii="Times New Roman" w:hAnsi="Times New Roman"/>
          <w:b/>
          <w:sz w:val="24"/>
        </w:rPr>
        <w:t>23-16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  <w:r w:rsidRPr="004C178F">
        <w:rPr>
          <w:rFonts w:ascii="Times New Roman" w:hAnsi="Times New Roman"/>
          <w:b/>
          <w:sz w:val="24"/>
        </w:rPr>
        <w:t xml:space="preserve">Special Floor Area and Lot Coverage Provisions for Certain Areas 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jc w:val="both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 xml:space="preserve">The #floor area ratio# provisions of Sections 23-14 (Open Space and Floor Area Regulations in R1 </w:t>
      </w:r>
      <w:proofErr w:type="gramStart"/>
      <w:r w:rsidRPr="004C178F">
        <w:rPr>
          <w:rFonts w:ascii="Times New Roman" w:hAnsi="Times New Roman"/>
          <w:sz w:val="24"/>
        </w:rPr>
        <w:t>Through</w:t>
      </w:r>
      <w:proofErr w:type="gramEnd"/>
      <w:r w:rsidRPr="004C178F">
        <w:rPr>
          <w:rFonts w:ascii="Times New Roman" w:hAnsi="Times New Roman"/>
          <w:sz w:val="24"/>
        </w:rPr>
        <w:t xml:space="preserve"> R5 Districts) and 23-15 (Open Space and Floor Area Regulations in R6 Through R10 Districts), inclusive, shall be modified for certain areas, as follows: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 xml:space="preserve"> </w:t>
      </w:r>
    </w:p>
    <w:p w:rsidR="004C178F" w:rsidRPr="004C178F" w:rsidRDefault="004C178F" w:rsidP="004C178F">
      <w:pPr>
        <w:widowControl/>
        <w:spacing w:line="276" w:lineRule="auto"/>
        <w:ind w:left="720" w:hanging="720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 xml:space="preserve">(a)        For </w:t>
      </w:r>
      <w:r w:rsidRPr="004C178F">
        <w:rPr>
          <w:rFonts w:ascii="Times New Roman" w:hAnsi="Times New Roman"/>
          <w:sz w:val="24"/>
          <w:u w:val="single"/>
        </w:rPr>
        <w:t>standard tower and</w:t>
      </w:r>
      <w:r w:rsidRPr="004C178F">
        <w:rPr>
          <w:rFonts w:ascii="Times New Roman" w:hAnsi="Times New Roman"/>
          <w:sz w:val="24"/>
        </w:rPr>
        <w:t xml:space="preserve"> tower-on-a-base </w:t>
      </w:r>
      <w:r w:rsidRPr="004C178F">
        <w:rPr>
          <w:rFonts w:ascii="Times New Roman" w:hAnsi="Times New Roman"/>
          <w:sz w:val="24"/>
          <w:u w:val="single"/>
        </w:rPr>
        <w:t>#</w:t>
      </w:r>
      <w:r w:rsidRPr="004C178F">
        <w:rPr>
          <w:rFonts w:ascii="Times New Roman" w:hAnsi="Times New Roman"/>
          <w:sz w:val="24"/>
        </w:rPr>
        <w:t>buildings</w:t>
      </w:r>
      <w:r w:rsidRPr="004C178F">
        <w:rPr>
          <w:rFonts w:ascii="Times New Roman" w:hAnsi="Times New Roman"/>
          <w:sz w:val="24"/>
          <w:u w:val="single"/>
        </w:rPr>
        <w:t>#</w:t>
      </w:r>
      <w:r w:rsidRPr="004C178F">
        <w:rPr>
          <w:rFonts w:ascii="Times New Roman" w:hAnsi="Times New Roman"/>
          <w:sz w:val="24"/>
        </w:rPr>
        <w:t xml:space="preserve"> in R9 </w:t>
      </w:r>
      <w:r w:rsidRPr="004C178F">
        <w:rPr>
          <w:rFonts w:ascii="Times New Roman" w:hAnsi="Times New Roman"/>
          <w:sz w:val="24"/>
          <w:u w:val="single"/>
        </w:rPr>
        <w:t>and R10</w:t>
      </w:r>
      <w:r w:rsidRPr="004C178F">
        <w:rPr>
          <w:rFonts w:ascii="Times New Roman" w:hAnsi="Times New Roman"/>
          <w:sz w:val="24"/>
        </w:rPr>
        <w:t xml:space="preserve"> Districts</w:t>
      </w:r>
    </w:p>
    <w:p w:rsidR="004C178F" w:rsidRPr="004C178F" w:rsidRDefault="004C178F" w:rsidP="004C178F">
      <w:pPr>
        <w:widowControl/>
        <w:spacing w:line="276" w:lineRule="auto"/>
        <w:ind w:left="720" w:hanging="720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ind w:left="1440" w:hanging="720"/>
        <w:jc w:val="both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  <w:u w:val="single"/>
        </w:rPr>
        <w:lastRenderedPageBreak/>
        <w:t>(1)</w:t>
      </w:r>
      <w:r w:rsidRPr="004C178F">
        <w:rPr>
          <w:rFonts w:ascii="Times New Roman" w:hAnsi="Times New Roman"/>
          <w:sz w:val="24"/>
        </w:rPr>
        <w:t xml:space="preserve">        In R9 Districts, for #zoning lots# where #buildings# are #developed# or #enlarged# pursuant to the tower-on-a-base provisions of Section 23-651, the maximum #floor area ratio# shall be 7.52, and the maximum #lot coverage# shall be 100 percent on a #corner lot# and 70 percent on an #interior lot#.</w:t>
      </w:r>
    </w:p>
    <w:p w:rsidR="004C178F" w:rsidRPr="004C178F" w:rsidRDefault="004C178F" w:rsidP="004C178F">
      <w:pPr>
        <w:widowControl/>
        <w:spacing w:line="276" w:lineRule="auto"/>
        <w:ind w:left="1440" w:hanging="720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ind w:left="1440" w:hanging="720"/>
        <w:jc w:val="both"/>
        <w:rPr>
          <w:rFonts w:ascii="Times New Roman" w:hAnsi="Times New Roman"/>
          <w:sz w:val="24"/>
          <w:u w:val="single"/>
        </w:rPr>
      </w:pPr>
      <w:r w:rsidRPr="004C178F">
        <w:rPr>
          <w:rFonts w:ascii="Times New Roman" w:hAnsi="Times New Roman"/>
          <w:sz w:val="24"/>
          <w:u w:val="single"/>
        </w:rPr>
        <w:t>(2)</w:t>
      </w:r>
      <w:r w:rsidRPr="004C178F">
        <w:rPr>
          <w:rFonts w:ascii="Times New Roman" w:hAnsi="Times New Roman"/>
          <w:sz w:val="24"/>
        </w:rPr>
        <w:t xml:space="preserve">        </w:t>
      </w:r>
      <w:r w:rsidRPr="004C178F">
        <w:rPr>
          <w:rFonts w:ascii="Times New Roman" w:hAnsi="Times New Roman"/>
          <w:sz w:val="24"/>
          <w:u w:val="single"/>
        </w:rPr>
        <w:t xml:space="preserve">In R9 and R10 Districts, for #zoning lots# containing a #building# that is #developed# or #enlarged# pursuant to the applicable tower regulations of Section 23-65 (Tower Regulations), inclusive, any floor space used for mechanical equipment provided pursuant to paragraph (8) of the definition of #floor area# in Section 12-10 (DEFINITIONS), and any floor space that is or becomes unused or inaccessible within a #building#, pursuant to paragraph (k) of the definition of #floor area# in Section 12-10, shall be considered #floor area# and calculated in accordance with the provisions of this Section, provided that such floor space: </w:t>
      </w:r>
    </w:p>
    <w:p w:rsidR="004C178F" w:rsidRPr="004C178F" w:rsidRDefault="004C178F" w:rsidP="004C178F">
      <w:pPr>
        <w:widowControl/>
        <w:spacing w:line="276" w:lineRule="auto"/>
        <w:ind w:left="1440" w:hanging="720"/>
        <w:rPr>
          <w:rFonts w:ascii="Times New Roman" w:hAnsi="Times New Roman"/>
          <w:sz w:val="24"/>
          <w:u w:val="single"/>
        </w:rPr>
      </w:pPr>
    </w:p>
    <w:p w:rsidR="004C178F" w:rsidRPr="004C178F" w:rsidRDefault="004C178F" w:rsidP="004C178F">
      <w:pPr>
        <w:widowControl/>
        <w:numPr>
          <w:ilvl w:val="0"/>
          <w:numId w:val="13"/>
        </w:numPr>
        <w:autoSpaceDE/>
        <w:autoSpaceDN/>
        <w:adjustRightInd/>
        <w:spacing w:after="160" w:line="276" w:lineRule="auto"/>
        <w:contextualSpacing/>
        <w:rPr>
          <w:rFonts w:ascii="Times New Roman" w:hAnsi="Times New Roman"/>
          <w:sz w:val="24"/>
          <w:u w:val="single"/>
        </w:rPr>
      </w:pPr>
      <w:r w:rsidRPr="004C178F">
        <w:rPr>
          <w:rFonts w:ascii="Times New Roman" w:hAnsi="Times New Roman"/>
          <w:sz w:val="24"/>
          <w:u w:val="single"/>
        </w:rPr>
        <w:t xml:space="preserve">occupies the predominant portion of a #story#; </w:t>
      </w:r>
    </w:p>
    <w:p w:rsidR="004C178F" w:rsidRPr="004C178F" w:rsidRDefault="004C178F" w:rsidP="004C178F">
      <w:pPr>
        <w:widowControl/>
        <w:spacing w:line="276" w:lineRule="auto"/>
        <w:ind w:left="2160"/>
        <w:contextualSpacing/>
        <w:rPr>
          <w:rFonts w:ascii="Times New Roman" w:hAnsi="Times New Roman"/>
          <w:sz w:val="24"/>
          <w:u w:val="single"/>
        </w:rPr>
      </w:pPr>
    </w:p>
    <w:p w:rsidR="004C178F" w:rsidRPr="004C178F" w:rsidRDefault="004C178F" w:rsidP="004C178F">
      <w:pPr>
        <w:widowControl/>
        <w:numPr>
          <w:ilvl w:val="0"/>
          <w:numId w:val="13"/>
        </w:numPr>
        <w:autoSpaceDE/>
        <w:autoSpaceDN/>
        <w:adjustRightInd/>
        <w:spacing w:after="160" w:line="276" w:lineRule="auto"/>
        <w:contextualSpacing/>
        <w:jc w:val="both"/>
        <w:rPr>
          <w:rFonts w:ascii="Times New Roman" w:hAnsi="Times New Roman"/>
          <w:sz w:val="24"/>
          <w:u w:val="single"/>
        </w:rPr>
      </w:pPr>
      <w:r w:rsidRPr="004C178F">
        <w:rPr>
          <w:rFonts w:ascii="Times New Roman" w:hAnsi="Times New Roman"/>
          <w:sz w:val="24"/>
          <w:u w:val="single"/>
        </w:rPr>
        <w:t xml:space="preserve">is located above the #base plane# or #curb level#, as applicable, and below the highest #story# containing #residential floor area#; and </w:t>
      </w:r>
    </w:p>
    <w:p w:rsidR="004C178F" w:rsidRPr="004C178F" w:rsidRDefault="004C178F" w:rsidP="004C178F">
      <w:pPr>
        <w:widowControl/>
        <w:spacing w:line="276" w:lineRule="auto"/>
        <w:ind w:left="2160"/>
        <w:contextualSpacing/>
        <w:rPr>
          <w:rFonts w:ascii="Times New Roman" w:hAnsi="Times New Roman"/>
          <w:sz w:val="24"/>
          <w:u w:val="single"/>
        </w:rPr>
      </w:pPr>
    </w:p>
    <w:p w:rsidR="004C178F" w:rsidRPr="004C178F" w:rsidRDefault="004C178F" w:rsidP="004C178F">
      <w:pPr>
        <w:widowControl/>
        <w:numPr>
          <w:ilvl w:val="0"/>
          <w:numId w:val="13"/>
        </w:numPr>
        <w:autoSpaceDE/>
        <w:autoSpaceDN/>
        <w:adjustRightInd/>
        <w:spacing w:after="160" w:line="276" w:lineRule="auto"/>
        <w:contextualSpacing/>
        <w:jc w:val="both"/>
        <w:rPr>
          <w:rFonts w:ascii="Times New Roman" w:hAnsi="Times New Roman"/>
          <w:sz w:val="24"/>
          <w:u w:val="single"/>
        </w:rPr>
      </w:pPr>
      <w:proofErr w:type="gramStart"/>
      <w:r w:rsidRPr="004C178F">
        <w:rPr>
          <w:rFonts w:ascii="Times New Roman" w:hAnsi="Times New Roman"/>
          <w:sz w:val="24"/>
          <w:u w:val="single"/>
        </w:rPr>
        <w:t>exceeds</w:t>
      </w:r>
      <w:proofErr w:type="gramEnd"/>
      <w:r w:rsidRPr="004C178F">
        <w:rPr>
          <w:rFonts w:ascii="Times New Roman" w:hAnsi="Times New Roman"/>
          <w:sz w:val="24"/>
          <w:u w:val="single"/>
        </w:rPr>
        <w:t xml:space="preserve"> an aggregate height of</w:t>
      </w:r>
      <w:r w:rsidR="009B0374">
        <w:rPr>
          <w:rFonts w:ascii="Times New Roman" w:hAnsi="Times New Roman"/>
          <w:sz w:val="24"/>
          <w:u w:val="single"/>
        </w:rPr>
        <w:t xml:space="preserve"> </w:t>
      </w:r>
      <w:r w:rsidR="009B0374" w:rsidRPr="009B0374">
        <w:rPr>
          <w:rFonts w:ascii="Times New Roman" w:hAnsi="Times New Roman"/>
          <w:dstrike/>
          <w:sz w:val="24"/>
          <w:u w:val="single"/>
        </w:rPr>
        <w:t>30</w:t>
      </w:r>
      <w:r w:rsidRPr="004C178F">
        <w:rPr>
          <w:rFonts w:ascii="Times New Roman" w:hAnsi="Times New Roman"/>
          <w:sz w:val="24"/>
          <w:u w:val="single"/>
        </w:rPr>
        <w:t xml:space="preserve"> </w:t>
      </w:r>
      <w:r w:rsidR="009B0374" w:rsidRPr="009B0374">
        <w:rPr>
          <w:rFonts w:ascii="Times New Roman" w:hAnsi="Times New Roman"/>
          <w:sz w:val="24"/>
          <w:u w:val="double"/>
        </w:rPr>
        <w:t>25</w:t>
      </w:r>
      <w:r w:rsidRPr="004C178F">
        <w:rPr>
          <w:rFonts w:ascii="Times New Roman" w:hAnsi="Times New Roman"/>
          <w:sz w:val="24"/>
          <w:u w:val="single"/>
        </w:rPr>
        <w:t xml:space="preserve"> feet in #stories# located within 75 vertical feet of one another within a #building#. </w:t>
      </w:r>
    </w:p>
    <w:p w:rsidR="004C178F" w:rsidRPr="004C178F" w:rsidRDefault="004C178F" w:rsidP="004C178F">
      <w:pPr>
        <w:widowControl/>
        <w:spacing w:line="360" w:lineRule="auto"/>
        <w:ind w:left="720"/>
        <w:contextualSpacing/>
        <w:rPr>
          <w:rFonts w:ascii="Times New Roman" w:hAnsi="Times New Roman"/>
          <w:sz w:val="24"/>
          <w:u w:val="single"/>
        </w:rPr>
      </w:pPr>
    </w:p>
    <w:p w:rsidR="004C178F" w:rsidRPr="004C178F" w:rsidRDefault="004C178F" w:rsidP="004C178F">
      <w:pPr>
        <w:widowControl/>
        <w:spacing w:line="276" w:lineRule="auto"/>
        <w:ind w:left="1440"/>
        <w:jc w:val="both"/>
        <w:rPr>
          <w:rFonts w:ascii="Times New Roman" w:hAnsi="Times New Roman"/>
          <w:sz w:val="24"/>
          <w:u w:val="single"/>
        </w:rPr>
      </w:pPr>
      <w:bookmarkStart w:id="1" w:name="_Hlk5031560"/>
      <w:r w:rsidRPr="004C178F">
        <w:rPr>
          <w:rFonts w:ascii="Times New Roman" w:hAnsi="Times New Roman"/>
          <w:sz w:val="24"/>
          <w:u w:val="single"/>
        </w:rPr>
        <w:t xml:space="preserve">For the purpose of applying this provision, the height of such floor space shall be measured from the top of a structural floor to the bottom of a structural floor directly above such space. In addition, the number of #stories# of #floor area# such space constitutes within the #building# shall be determined by aggregating the total height of such floor spaces, dividing by </w:t>
      </w:r>
      <w:r w:rsidRPr="009B0374">
        <w:rPr>
          <w:rFonts w:ascii="Times New Roman" w:hAnsi="Times New Roman"/>
          <w:dstrike/>
          <w:sz w:val="24"/>
          <w:u w:val="single"/>
        </w:rPr>
        <w:t>30</w:t>
      </w:r>
      <w:r w:rsidRPr="004C178F">
        <w:rPr>
          <w:rFonts w:ascii="Times New Roman" w:hAnsi="Times New Roman"/>
          <w:sz w:val="24"/>
          <w:u w:val="single"/>
        </w:rPr>
        <w:t xml:space="preserve"> </w:t>
      </w:r>
      <w:r w:rsidR="009B0374" w:rsidRPr="009B0374">
        <w:rPr>
          <w:rFonts w:ascii="Times New Roman" w:hAnsi="Times New Roman"/>
          <w:sz w:val="24"/>
          <w:u w:val="double"/>
        </w:rPr>
        <w:t>25</w:t>
      </w:r>
      <w:r w:rsidR="009B0374">
        <w:rPr>
          <w:rFonts w:ascii="Times New Roman" w:hAnsi="Times New Roman"/>
          <w:sz w:val="24"/>
          <w:u w:val="single"/>
        </w:rPr>
        <w:t xml:space="preserve"> </w:t>
      </w:r>
      <w:r w:rsidRPr="004C178F">
        <w:rPr>
          <w:rFonts w:ascii="Times New Roman" w:hAnsi="Times New Roman"/>
          <w:sz w:val="24"/>
          <w:u w:val="single"/>
        </w:rPr>
        <w:t xml:space="preserve">feet, and rounding to the nearest whole integer. </w:t>
      </w:r>
    </w:p>
    <w:bookmarkEnd w:id="1"/>
    <w:p w:rsidR="004C178F" w:rsidRPr="004C178F" w:rsidRDefault="004C178F" w:rsidP="004C178F">
      <w:pPr>
        <w:widowControl/>
        <w:spacing w:line="276" w:lineRule="auto"/>
        <w:ind w:left="2160"/>
        <w:contextualSpacing/>
        <w:rPr>
          <w:rFonts w:ascii="Times New Roman" w:hAnsi="Times New Roman"/>
          <w:sz w:val="24"/>
          <w:u w:val="single"/>
        </w:rPr>
      </w:pPr>
    </w:p>
    <w:p w:rsidR="004C178F" w:rsidRPr="004C178F" w:rsidRDefault="004C178F" w:rsidP="004C178F">
      <w:pPr>
        <w:widowControl/>
        <w:spacing w:line="276" w:lineRule="auto"/>
        <w:ind w:left="720" w:hanging="720"/>
        <w:jc w:val="center"/>
        <w:rPr>
          <w:rFonts w:ascii="Times New Roman" w:hAnsi="Times New Roman"/>
          <w:sz w:val="24"/>
        </w:rPr>
      </w:pPr>
      <w:r w:rsidRPr="004C178F" w:rsidDel="004E21F9">
        <w:rPr>
          <w:rFonts w:ascii="Times New Roman" w:hAnsi="Times New Roman"/>
          <w:sz w:val="24"/>
        </w:rPr>
        <w:t xml:space="preserve"> </w:t>
      </w: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spacing w:line="276" w:lineRule="auto"/>
        <w:ind w:left="720" w:hanging="720"/>
        <w:jc w:val="center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bCs/>
          <w:sz w:val="24"/>
        </w:rPr>
      </w:pPr>
      <w:r w:rsidRPr="004C178F">
        <w:rPr>
          <w:rFonts w:ascii="Times New Roman" w:hAnsi="Times New Roman"/>
          <w:b/>
          <w:bCs/>
          <w:sz w:val="24"/>
        </w:rPr>
        <w:t xml:space="preserve">Chapter </w:t>
      </w:r>
      <w:proofErr w:type="gramStart"/>
      <w:r w:rsidRPr="004C178F">
        <w:rPr>
          <w:rFonts w:ascii="Times New Roman" w:hAnsi="Times New Roman"/>
          <w:b/>
          <w:bCs/>
          <w:sz w:val="24"/>
        </w:rPr>
        <w:t xml:space="preserve">4  </w:t>
      </w:r>
      <w:proofErr w:type="gramEnd"/>
      <w:r w:rsidRPr="004C178F">
        <w:rPr>
          <w:rFonts w:ascii="Times New Roman" w:hAnsi="Times New Roman"/>
          <w:b/>
          <w:bCs/>
          <w:sz w:val="24"/>
        </w:rPr>
        <w:br/>
        <w:t>Bulk Regulations for Community Facilities in Residence Districts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lastRenderedPageBreak/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bCs/>
          <w:sz w:val="24"/>
        </w:rPr>
      </w:pPr>
    </w:p>
    <w:p w:rsidR="004C178F" w:rsidRPr="004C178F" w:rsidRDefault="004C178F" w:rsidP="004C178F">
      <w:pPr>
        <w:widowControl/>
        <w:rPr>
          <w:rFonts w:ascii="Times New Roman" w:hAnsi="Times New Roman"/>
          <w:b/>
          <w:bCs/>
          <w:sz w:val="24"/>
        </w:rPr>
      </w:pPr>
      <w:r w:rsidRPr="004C178F">
        <w:rPr>
          <w:rFonts w:ascii="Times New Roman" w:hAnsi="Times New Roman"/>
          <w:b/>
          <w:bCs/>
          <w:sz w:val="24"/>
        </w:rPr>
        <w:t>24-10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bCs/>
          <w:sz w:val="24"/>
        </w:rPr>
      </w:pPr>
      <w:r w:rsidRPr="004C178F">
        <w:rPr>
          <w:rFonts w:ascii="Times New Roman" w:hAnsi="Times New Roman"/>
          <w:b/>
          <w:bCs/>
          <w:sz w:val="24"/>
        </w:rPr>
        <w:t>FLOOR AREA AND LOT COVERAGE REGULATIONS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bCs/>
          <w:sz w:val="24"/>
        </w:rPr>
      </w:pPr>
    </w:p>
    <w:p w:rsidR="004C178F" w:rsidRPr="004C178F" w:rsidRDefault="004C178F" w:rsidP="004C178F">
      <w:pPr>
        <w:widowControl/>
        <w:spacing w:line="276" w:lineRule="auto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bCs/>
          <w:sz w:val="24"/>
        </w:rPr>
      </w:pP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bCs/>
          <w:sz w:val="24"/>
        </w:rPr>
      </w:pPr>
      <w:r w:rsidRPr="004C178F">
        <w:rPr>
          <w:rFonts w:ascii="Times New Roman" w:hAnsi="Times New Roman"/>
          <w:b/>
          <w:bCs/>
          <w:sz w:val="24"/>
        </w:rPr>
        <w:t>24-112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bCs/>
          <w:sz w:val="24"/>
        </w:rPr>
      </w:pPr>
      <w:r w:rsidRPr="004C178F">
        <w:rPr>
          <w:rFonts w:ascii="Times New Roman" w:hAnsi="Times New Roman"/>
          <w:b/>
          <w:bCs/>
          <w:sz w:val="24"/>
        </w:rPr>
        <w:t>Special floor area ratio provisions for certain areas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bCs/>
          <w:sz w:val="24"/>
        </w:rPr>
      </w:pPr>
    </w:p>
    <w:p w:rsidR="004C178F" w:rsidRPr="004C178F" w:rsidRDefault="004C178F" w:rsidP="004C178F">
      <w:pPr>
        <w:widowControl/>
        <w:spacing w:line="276" w:lineRule="auto"/>
        <w:jc w:val="both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The #floor area ratio# provisions of Section 24-11 (Maximum Floor Area Ratio and Percentage of Lot Coverage), inclusive, shall be modified for certain areas as follows: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numPr>
          <w:ilvl w:val="0"/>
          <w:numId w:val="10"/>
        </w:numPr>
        <w:spacing w:line="276" w:lineRule="auto"/>
        <w:ind w:hanging="720"/>
        <w:contextualSpacing/>
        <w:jc w:val="both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 xml:space="preserve">in R8B Districts within Community District 8, in the Borough of Manhattan, the maximum #floor area ratio# on a #zoning lot# containing #community facility uses# exclusively shall be 5.10; </w:t>
      </w:r>
      <w:r w:rsidRPr="004C178F">
        <w:rPr>
          <w:rFonts w:ascii="Times New Roman" w:hAnsi="Times New Roman"/>
          <w:strike/>
          <w:sz w:val="24"/>
        </w:rPr>
        <w:t>and</w:t>
      </w:r>
    </w:p>
    <w:p w:rsidR="004C178F" w:rsidRPr="004C178F" w:rsidRDefault="004C178F" w:rsidP="004C178F">
      <w:pPr>
        <w:widowControl/>
        <w:spacing w:line="276" w:lineRule="auto"/>
        <w:ind w:left="720"/>
        <w:contextualSpacing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numPr>
          <w:ilvl w:val="0"/>
          <w:numId w:val="10"/>
        </w:numPr>
        <w:spacing w:line="276" w:lineRule="auto"/>
        <w:ind w:hanging="720"/>
        <w:contextualSpacing/>
        <w:jc w:val="both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in R10 Districts, except R10A or R10X Districts, within Community District 7, in the Borough of Manhattan, all #zoning lots# shall be limited to a maximum #floor area ratio# of 10.0</w:t>
      </w:r>
      <w:r w:rsidRPr="004C178F">
        <w:rPr>
          <w:rFonts w:ascii="Times New Roman" w:hAnsi="Times New Roman"/>
          <w:strike/>
          <w:sz w:val="24"/>
        </w:rPr>
        <w:t>.</w:t>
      </w:r>
      <w:r w:rsidRPr="004C178F">
        <w:rPr>
          <w:rFonts w:ascii="Times New Roman" w:hAnsi="Times New Roman"/>
          <w:sz w:val="24"/>
          <w:u w:val="single"/>
        </w:rPr>
        <w:t>; and</w:t>
      </w:r>
    </w:p>
    <w:p w:rsidR="004C178F" w:rsidRPr="004C178F" w:rsidRDefault="004C178F" w:rsidP="004C178F">
      <w:pPr>
        <w:widowControl/>
        <w:spacing w:line="276" w:lineRule="auto"/>
        <w:ind w:left="720"/>
        <w:contextualSpacing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hanging="720"/>
        <w:contextualSpacing/>
        <w:jc w:val="both"/>
        <w:rPr>
          <w:rFonts w:ascii="Times New Roman" w:hAnsi="Times New Roman"/>
          <w:sz w:val="24"/>
          <w:u w:val="single"/>
        </w:rPr>
      </w:pPr>
      <w:r w:rsidRPr="004C178F">
        <w:rPr>
          <w:rFonts w:ascii="Times New Roman" w:hAnsi="Times New Roman"/>
          <w:sz w:val="24"/>
          <w:u w:val="single"/>
        </w:rPr>
        <w:t xml:space="preserve">in R9 and R10 Districts, for #zoning lots# containing a #building# that is #developed# or #enlarged# pursuant to the applicable tower regulations of Section 23-65 (Tower Regulations), inclusive, the provisions of paragraph (a)(2) of Section 23-16 (Special Floor Area and Lot Coverage Provisions for Certain Areas) shall apply: 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  <w:u w:val="single"/>
        </w:rPr>
      </w:pPr>
    </w:p>
    <w:p w:rsidR="004C178F" w:rsidRPr="004C178F" w:rsidRDefault="004C178F" w:rsidP="004C178F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440" w:hanging="720"/>
        <w:contextualSpacing/>
        <w:jc w:val="both"/>
        <w:rPr>
          <w:rFonts w:ascii="Times New Roman" w:hAnsi="Times New Roman"/>
          <w:b/>
          <w:sz w:val="24"/>
        </w:rPr>
      </w:pPr>
      <w:r w:rsidRPr="004C178F">
        <w:rPr>
          <w:rFonts w:ascii="Times New Roman" w:hAnsi="Times New Roman"/>
          <w:sz w:val="24"/>
          <w:u w:val="single"/>
        </w:rPr>
        <w:t xml:space="preserve">to only the #residential# portion of a #building# where less than 75 percent of the total #floor area# of such #building# is allocated to #residential use#; and </w:t>
      </w:r>
    </w:p>
    <w:p w:rsidR="004C178F" w:rsidRPr="004C178F" w:rsidRDefault="004C178F" w:rsidP="004C178F">
      <w:pPr>
        <w:widowControl/>
        <w:spacing w:line="276" w:lineRule="auto"/>
        <w:ind w:left="1440"/>
        <w:contextualSpacing/>
        <w:rPr>
          <w:rFonts w:ascii="Times New Roman" w:hAnsi="Times New Roman"/>
          <w:b/>
          <w:sz w:val="24"/>
        </w:rPr>
      </w:pPr>
    </w:p>
    <w:p w:rsidR="004C178F" w:rsidRPr="004C178F" w:rsidRDefault="004C178F" w:rsidP="004C178F">
      <w:pPr>
        <w:widowControl/>
        <w:numPr>
          <w:ilvl w:val="0"/>
          <w:numId w:val="15"/>
        </w:numPr>
        <w:tabs>
          <w:tab w:val="left" w:pos="1440"/>
        </w:tabs>
        <w:autoSpaceDE/>
        <w:autoSpaceDN/>
        <w:adjustRightInd/>
        <w:spacing w:after="160" w:line="276" w:lineRule="auto"/>
        <w:ind w:left="1440" w:hanging="720"/>
        <w:contextualSpacing/>
        <w:jc w:val="both"/>
        <w:rPr>
          <w:rFonts w:ascii="Times New Roman" w:hAnsi="Times New Roman"/>
          <w:sz w:val="24"/>
        </w:rPr>
      </w:pPr>
      <w:proofErr w:type="gramStart"/>
      <w:r w:rsidRPr="004C178F">
        <w:rPr>
          <w:rFonts w:ascii="Times New Roman" w:hAnsi="Times New Roman"/>
          <w:sz w:val="24"/>
          <w:u w:val="single"/>
        </w:rPr>
        <w:t>to</w:t>
      </w:r>
      <w:proofErr w:type="gramEnd"/>
      <w:r w:rsidRPr="004C178F">
        <w:rPr>
          <w:rFonts w:ascii="Times New Roman" w:hAnsi="Times New Roman"/>
          <w:sz w:val="24"/>
          <w:u w:val="single"/>
        </w:rPr>
        <w:t xml:space="preserve"> the entire #building# where 75 percent or more of the total #floor area# of such #building# is allocated to #residential use#. </w:t>
      </w:r>
    </w:p>
    <w:p w:rsidR="004C178F" w:rsidRPr="004C178F" w:rsidRDefault="004C178F" w:rsidP="004C178F">
      <w:pPr>
        <w:widowControl/>
        <w:spacing w:line="276" w:lineRule="auto"/>
        <w:ind w:left="720"/>
        <w:contextualSpacing/>
        <w:rPr>
          <w:rFonts w:ascii="Times New Roman" w:hAnsi="Times New Roman"/>
          <w:sz w:val="24"/>
          <w:u w:val="single"/>
        </w:rPr>
      </w:pPr>
    </w:p>
    <w:p w:rsidR="004C178F" w:rsidRPr="004C178F" w:rsidRDefault="004C178F" w:rsidP="004C178F">
      <w:pPr>
        <w:widowControl/>
        <w:spacing w:line="276" w:lineRule="auto"/>
        <w:ind w:left="720" w:hanging="720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bCs/>
          <w:sz w:val="24"/>
        </w:rPr>
      </w:pP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  <w:r w:rsidRPr="004C178F">
        <w:rPr>
          <w:rFonts w:ascii="Times New Roman" w:hAnsi="Times New Roman"/>
          <w:b/>
          <w:sz w:val="24"/>
        </w:rPr>
        <w:lastRenderedPageBreak/>
        <w:t xml:space="preserve">ARTICLE </w:t>
      </w:r>
      <w:proofErr w:type="gramStart"/>
      <w:r w:rsidRPr="004C178F">
        <w:rPr>
          <w:rFonts w:ascii="Times New Roman" w:hAnsi="Times New Roman"/>
          <w:b/>
          <w:sz w:val="24"/>
        </w:rPr>
        <w:t xml:space="preserve">III  </w:t>
      </w:r>
      <w:proofErr w:type="gramEnd"/>
      <w:r w:rsidRPr="004C178F">
        <w:rPr>
          <w:rFonts w:ascii="Times New Roman" w:hAnsi="Times New Roman"/>
          <w:b/>
          <w:sz w:val="24"/>
        </w:rPr>
        <w:br/>
        <w:t>COMMERCIAL DISTRICT REGULATIONS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Cs/>
          <w:sz w:val="24"/>
        </w:rPr>
      </w:pP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bCs/>
          <w:sz w:val="24"/>
        </w:rPr>
      </w:pPr>
      <w:r w:rsidRPr="004C178F">
        <w:rPr>
          <w:rFonts w:ascii="Times New Roman" w:hAnsi="Times New Roman"/>
          <w:b/>
          <w:bCs/>
          <w:sz w:val="24"/>
        </w:rPr>
        <w:t xml:space="preserve">Chapter </w:t>
      </w:r>
      <w:proofErr w:type="gramStart"/>
      <w:r w:rsidRPr="004C178F">
        <w:rPr>
          <w:rFonts w:ascii="Times New Roman" w:hAnsi="Times New Roman"/>
          <w:b/>
          <w:bCs/>
          <w:sz w:val="24"/>
        </w:rPr>
        <w:t xml:space="preserve">5  </w:t>
      </w:r>
      <w:proofErr w:type="gramEnd"/>
      <w:r w:rsidRPr="004C178F">
        <w:rPr>
          <w:rFonts w:ascii="Times New Roman" w:hAnsi="Times New Roman"/>
          <w:b/>
          <w:bCs/>
          <w:sz w:val="24"/>
        </w:rPr>
        <w:br/>
        <w:t>Bulk Regulations for Mixed Buildings in Commercial Districts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bCs/>
          <w:sz w:val="24"/>
        </w:rPr>
      </w:pPr>
    </w:p>
    <w:p w:rsidR="004C178F" w:rsidRPr="004C178F" w:rsidRDefault="004C178F" w:rsidP="004C178F">
      <w:pPr>
        <w:widowControl/>
        <w:spacing w:line="276" w:lineRule="auto"/>
        <w:ind w:left="720" w:hanging="720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bCs/>
          <w:sz w:val="24"/>
        </w:rPr>
      </w:pP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bCs/>
          <w:sz w:val="24"/>
        </w:rPr>
      </w:pPr>
      <w:r w:rsidRPr="004C178F">
        <w:rPr>
          <w:rFonts w:ascii="Times New Roman" w:hAnsi="Times New Roman"/>
          <w:b/>
          <w:bCs/>
          <w:sz w:val="24"/>
        </w:rPr>
        <w:t>35-35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b/>
          <w:bCs/>
          <w:sz w:val="24"/>
        </w:rPr>
        <w:t>Special Floor Area Ratio Provisions for Certain Areas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ind w:left="720" w:hanging="720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  <w:u w:val="single"/>
        </w:rPr>
      </w:pPr>
      <w:r w:rsidRPr="004C178F">
        <w:rPr>
          <w:rFonts w:ascii="Times New Roman" w:hAnsi="Times New Roman"/>
          <w:b/>
          <w:sz w:val="24"/>
          <w:u w:val="single"/>
        </w:rPr>
        <w:t>35-352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  <w:u w:val="single"/>
        </w:rPr>
      </w:pPr>
      <w:r w:rsidRPr="004C178F">
        <w:rPr>
          <w:rFonts w:ascii="Times New Roman" w:hAnsi="Times New Roman"/>
          <w:b/>
          <w:sz w:val="24"/>
          <w:u w:val="single"/>
        </w:rPr>
        <w:t>Special floor area regulations for certain districts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jc w:val="both"/>
        <w:rPr>
          <w:rFonts w:ascii="Times New Roman" w:hAnsi="Times New Roman"/>
          <w:sz w:val="24"/>
          <w:u w:val="single"/>
        </w:rPr>
      </w:pPr>
      <w:r w:rsidRPr="004C178F">
        <w:rPr>
          <w:rFonts w:ascii="Times New Roman" w:hAnsi="Times New Roman"/>
          <w:sz w:val="24"/>
          <w:u w:val="single"/>
        </w:rPr>
        <w:t>In C1 or C2 Districts mapped within R9 and R10 Districts, or in #Commercial Districts# with a residential equivalent of an R9 or R10 District, for #zoning lots# containing a #building# that is #developed# or #enlarged# pursuant to the applicable tower regulations of Section 35-64 (Special Tower Regulations for Mixed Buildings), the provisions of paragraph (a</w:t>
      </w:r>
      <w:proofErr w:type="gramStart"/>
      <w:r w:rsidRPr="004C178F">
        <w:rPr>
          <w:rFonts w:ascii="Times New Roman" w:hAnsi="Times New Roman"/>
          <w:sz w:val="24"/>
          <w:u w:val="single"/>
        </w:rPr>
        <w:t>)(</w:t>
      </w:r>
      <w:proofErr w:type="gramEnd"/>
      <w:r w:rsidRPr="004C178F">
        <w:rPr>
          <w:rFonts w:ascii="Times New Roman" w:hAnsi="Times New Roman"/>
          <w:sz w:val="24"/>
          <w:u w:val="single"/>
        </w:rPr>
        <w:t xml:space="preserve">2) of Section 23-16 (Special Floor Area and Lot Coverage Provisions for Certain Areas) shall apply: 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  <w:u w:val="single"/>
        </w:rPr>
      </w:pPr>
    </w:p>
    <w:p w:rsidR="004C178F" w:rsidRPr="004C178F" w:rsidRDefault="004C178F" w:rsidP="004C178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 w:rsidRPr="004C178F">
        <w:rPr>
          <w:rFonts w:ascii="Times New Roman" w:hAnsi="Times New Roman"/>
          <w:sz w:val="24"/>
          <w:u w:val="single"/>
        </w:rPr>
        <w:t xml:space="preserve">to only the #residential# portion of a #building# where less than 75 percent of the total #floor area# of such #building# is allocated to #residential use#; and </w:t>
      </w:r>
    </w:p>
    <w:p w:rsidR="004C178F" w:rsidRPr="004C178F" w:rsidRDefault="004C178F" w:rsidP="004C178F">
      <w:pPr>
        <w:widowControl/>
        <w:spacing w:line="276" w:lineRule="auto"/>
        <w:ind w:left="720"/>
        <w:contextualSpacing/>
        <w:rPr>
          <w:rFonts w:ascii="Times New Roman" w:hAnsi="Times New Roman"/>
          <w:b/>
          <w:sz w:val="24"/>
        </w:rPr>
      </w:pPr>
    </w:p>
    <w:p w:rsidR="004C178F" w:rsidRPr="004C178F" w:rsidRDefault="004C178F" w:rsidP="004C178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proofErr w:type="gramStart"/>
      <w:r w:rsidRPr="004C178F">
        <w:rPr>
          <w:rFonts w:ascii="Times New Roman" w:hAnsi="Times New Roman"/>
          <w:sz w:val="24"/>
          <w:u w:val="single"/>
        </w:rPr>
        <w:t>to</w:t>
      </w:r>
      <w:proofErr w:type="gramEnd"/>
      <w:r w:rsidRPr="004C178F">
        <w:rPr>
          <w:rFonts w:ascii="Times New Roman" w:hAnsi="Times New Roman"/>
          <w:sz w:val="24"/>
          <w:u w:val="single"/>
        </w:rPr>
        <w:t xml:space="preserve"> the entire #building# where 75 percent or more of the total #floor area# of such #building# is allocated to #residential use#. 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ind w:left="720" w:hanging="720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  <w:r w:rsidRPr="004C178F">
        <w:rPr>
          <w:rFonts w:ascii="Times New Roman" w:hAnsi="Times New Roman"/>
          <w:b/>
          <w:sz w:val="24"/>
        </w:rPr>
        <w:t xml:space="preserve">ARTICLE IX 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  <w:r w:rsidRPr="004C178F">
        <w:rPr>
          <w:rFonts w:ascii="Times New Roman" w:hAnsi="Times New Roman"/>
          <w:b/>
          <w:sz w:val="24"/>
        </w:rPr>
        <w:t>SPECIAL PURPOSE DISTRICTS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</w:p>
    <w:p w:rsidR="004C178F" w:rsidRPr="004C178F" w:rsidRDefault="004C178F" w:rsidP="004C178F">
      <w:pPr>
        <w:widowControl/>
        <w:spacing w:line="276" w:lineRule="auto"/>
        <w:ind w:left="720" w:hanging="720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  <w:r w:rsidRPr="004C178F">
        <w:rPr>
          <w:rFonts w:ascii="Times New Roman" w:hAnsi="Times New Roman"/>
          <w:b/>
          <w:sz w:val="24"/>
        </w:rPr>
        <w:t xml:space="preserve">Chapter 6 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  <w:r w:rsidRPr="004C178F">
        <w:rPr>
          <w:rFonts w:ascii="Times New Roman" w:hAnsi="Times New Roman"/>
          <w:b/>
          <w:sz w:val="24"/>
        </w:rPr>
        <w:t>Special Clinton District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ind w:left="720" w:hanging="720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</w:p>
    <w:p w:rsidR="004C178F" w:rsidRPr="004C178F" w:rsidRDefault="004C178F" w:rsidP="004C178F">
      <w:pPr>
        <w:widowControl/>
        <w:rPr>
          <w:rFonts w:ascii="Times New Roman" w:hAnsi="Times New Roman"/>
          <w:b/>
          <w:bCs/>
          <w:sz w:val="24"/>
        </w:rPr>
      </w:pPr>
      <w:r w:rsidRPr="004C178F">
        <w:rPr>
          <w:rFonts w:ascii="Times New Roman" w:hAnsi="Times New Roman"/>
          <w:b/>
          <w:bCs/>
          <w:sz w:val="24"/>
        </w:rPr>
        <w:t>96-20</w:t>
      </w:r>
    </w:p>
    <w:p w:rsidR="004C178F" w:rsidRPr="004C178F" w:rsidRDefault="004C178F" w:rsidP="004C178F">
      <w:pPr>
        <w:widowControl/>
        <w:rPr>
          <w:rFonts w:ascii="Times New Roman" w:hAnsi="Times New Roman"/>
          <w:b/>
          <w:bCs/>
          <w:sz w:val="24"/>
        </w:rPr>
      </w:pPr>
      <w:r w:rsidRPr="004C178F">
        <w:rPr>
          <w:rFonts w:ascii="Times New Roman" w:hAnsi="Times New Roman"/>
          <w:b/>
          <w:bCs/>
          <w:sz w:val="24"/>
        </w:rPr>
        <w:t>PERIMETER AREA</w:t>
      </w:r>
    </w:p>
    <w:p w:rsidR="004C178F" w:rsidRPr="004C178F" w:rsidRDefault="004C178F" w:rsidP="004C178F">
      <w:pPr>
        <w:widowControl/>
        <w:rPr>
          <w:rFonts w:ascii="Times New Roman" w:hAnsi="Times New Roman"/>
          <w:b/>
          <w:bCs/>
          <w:sz w:val="24"/>
        </w:rPr>
      </w:pPr>
    </w:p>
    <w:p w:rsidR="004C178F" w:rsidRPr="004C178F" w:rsidRDefault="004C178F" w:rsidP="004C178F">
      <w:pPr>
        <w:widowControl/>
        <w:spacing w:line="276" w:lineRule="auto"/>
        <w:ind w:left="720" w:hanging="720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rPr>
          <w:rFonts w:ascii="Times New Roman" w:hAnsi="Times New Roman"/>
          <w:b/>
          <w:bCs/>
          <w:sz w:val="24"/>
        </w:rPr>
      </w:pPr>
    </w:p>
    <w:p w:rsidR="004C178F" w:rsidRPr="004C178F" w:rsidRDefault="004C178F" w:rsidP="004C178F">
      <w:pPr>
        <w:widowControl/>
        <w:rPr>
          <w:rFonts w:ascii="Times New Roman" w:hAnsi="Times New Roman"/>
          <w:b/>
          <w:bCs/>
          <w:sz w:val="24"/>
        </w:rPr>
      </w:pPr>
      <w:r w:rsidRPr="004C178F">
        <w:rPr>
          <w:rFonts w:ascii="Times New Roman" w:hAnsi="Times New Roman"/>
          <w:b/>
          <w:bCs/>
          <w:sz w:val="24"/>
        </w:rPr>
        <w:t>96-21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  <w:r w:rsidRPr="004C178F">
        <w:rPr>
          <w:rFonts w:ascii="Times New Roman" w:hAnsi="Times New Roman"/>
          <w:b/>
          <w:bCs/>
          <w:sz w:val="24"/>
        </w:rPr>
        <w:t>Special Regulations for 42nd Street Perimeter Area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</w:p>
    <w:p w:rsidR="004C178F" w:rsidRPr="004C178F" w:rsidRDefault="004C178F" w:rsidP="004C178F">
      <w:pPr>
        <w:widowControl/>
        <w:spacing w:line="276" w:lineRule="auto"/>
        <w:ind w:left="720" w:hanging="720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spacing w:line="276" w:lineRule="auto"/>
        <w:ind w:left="720" w:hanging="720"/>
        <w:jc w:val="center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  <w:r w:rsidRPr="004C178F">
        <w:rPr>
          <w:rFonts w:ascii="Times New Roman" w:hAnsi="Times New Roman"/>
          <w:sz w:val="24"/>
        </w:rPr>
        <w:t xml:space="preserve">(b) </w:t>
      </w:r>
      <w:r w:rsidRPr="004C178F">
        <w:rPr>
          <w:rFonts w:ascii="Times New Roman" w:hAnsi="Times New Roman"/>
          <w:sz w:val="24"/>
        </w:rPr>
        <w:tab/>
        <w:t>#Floor area# regulations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</w:p>
    <w:p w:rsidR="004C178F" w:rsidRPr="004C178F" w:rsidRDefault="004C178F" w:rsidP="004C178F">
      <w:pPr>
        <w:widowControl/>
        <w:spacing w:line="276" w:lineRule="auto"/>
        <w:ind w:left="720" w:hanging="720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spacing w:line="276" w:lineRule="auto"/>
        <w:ind w:left="720" w:hanging="720"/>
        <w:jc w:val="center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ind w:left="1440" w:hanging="720"/>
        <w:rPr>
          <w:rFonts w:ascii="Times New Roman" w:hAnsi="Times New Roman"/>
          <w:b/>
          <w:sz w:val="24"/>
        </w:rPr>
      </w:pPr>
      <w:r w:rsidRPr="004C178F">
        <w:rPr>
          <w:rFonts w:ascii="Times New Roman" w:hAnsi="Times New Roman"/>
          <w:sz w:val="24"/>
        </w:rPr>
        <w:t>(2)</w:t>
      </w:r>
      <w:r w:rsidRPr="004C178F">
        <w:rPr>
          <w:rFonts w:ascii="Times New Roman" w:hAnsi="Times New Roman"/>
          <w:sz w:val="24"/>
        </w:rPr>
        <w:tab/>
        <w:t xml:space="preserve"> #Floor area# regulations in Subarea 2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</w:p>
    <w:p w:rsidR="004C178F" w:rsidRPr="004C178F" w:rsidRDefault="004C178F" w:rsidP="004C178F">
      <w:pPr>
        <w:widowControl/>
        <w:spacing w:line="276" w:lineRule="auto"/>
        <w:ind w:left="720" w:hanging="720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</w:p>
    <w:p w:rsidR="004C178F" w:rsidRPr="004C178F" w:rsidRDefault="004C178F" w:rsidP="004C178F">
      <w:pPr>
        <w:widowControl/>
        <w:spacing w:line="276" w:lineRule="auto"/>
        <w:ind w:left="1440" w:hanging="720"/>
        <w:rPr>
          <w:rFonts w:ascii="Times New Roman" w:hAnsi="Times New Roman"/>
          <w:sz w:val="24"/>
          <w:u w:val="single"/>
        </w:rPr>
      </w:pPr>
      <w:r w:rsidRPr="004C178F">
        <w:rPr>
          <w:rFonts w:ascii="Times New Roman" w:hAnsi="Times New Roman"/>
          <w:sz w:val="24"/>
          <w:u w:val="single"/>
        </w:rPr>
        <w:t>(3)</w:t>
      </w:r>
      <w:r w:rsidRPr="004C178F">
        <w:rPr>
          <w:rFonts w:ascii="Times New Roman" w:hAnsi="Times New Roman"/>
          <w:sz w:val="24"/>
        </w:rPr>
        <w:t xml:space="preserve"> </w:t>
      </w:r>
      <w:r w:rsidRPr="004C178F">
        <w:rPr>
          <w:rFonts w:ascii="Times New Roman" w:hAnsi="Times New Roman"/>
          <w:sz w:val="24"/>
        </w:rPr>
        <w:tab/>
      </w:r>
      <w:r w:rsidRPr="004C178F">
        <w:rPr>
          <w:rFonts w:ascii="Times New Roman" w:hAnsi="Times New Roman"/>
          <w:sz w:val="24"/>
          <w:u w:val="single"/>
        </w:rPr>
        <w:t>Additional regulations for Subareas 1 and 2</w:t>
      </w:r>
    </w:p>
    <w:p w:rsidR="004C178F" w:rsidRPr="004C178F" w:rsidRDefault="004C178F" w:rsidP="004C178F">
      <w:pPr>
        <w:widowControl/>
        <w:spacing w:line="276" w:lineRule="auto"/>
        <w:ind w:left="1440"/>
        <w:rPr>
          <w:rFonts w:ascii="Times New Roman" w:hAnsi="Times New Roman"/>
          <w:sz w:val="24"/>
          <w:u w:val="single"/>
        </w:rPr>
      </w:pPr>
    </w:p>
    <w:p w:rsidR="004C178F" w:rsidRPr="004C178F" w:rsidRDefault="004C178F" w:rsidP="004C178F">
      <w:pPr>
        <w:widowControl/>
        <w:spacing w:line="276" w:lineRule="auto"/>
        <w:ind w:left="1440"/>
        <w:jc w:val="both"/>
        <w:rPr>
          <w:rFonts w:ascii="Times New Roman" w:hAnsi="Times New Roman"/>
          <w:sz w:val="24"/>
          <w:u w:val="single"/>
        </w:rPr>
      </w:pPr>
      <w:r w:rsidRPr="004C178F">
        <w:rPr>
          <w:rFonts w:ascii="Times New Roman" w:hAnsi="Times New Roman"/>
          <w:sz w:val="24"/>
          <w:u w:val="single"/>
        </w:rPr>
        <w:t xml:space="preserve">In Subareas 1 and 2, for #zoning lots# containing a #building# that is #developed# or #enlarged# pursuant to the applicable tower regulations of Section 35-64 (Special Tower Regulations for Mixed Buildings), the provisions of paragraph (a)(2) of Section 23-16 (Special Floor Area and Lot Coverage Provisions for Certain Areas) shall apply: </w:t>
      </w:r>
    </w:p>
    <w:p w:rsidR="004C178F" w:rsidRPr="004C178F" w:rsidRDefault="004C178F" w:rsidP="004C178F">
      <w:pPr>
        <w:widowControl/>
        <w:spacing w:line="276" w:lineRule="auto"/>
        <w:ind w:left="1440"/>
        <w:rPr>
          <w:rFonts w:ascii="Times New Roman" w:hAnsi="Times New Roman"/>
          <w:sz w:val="24"/>
          <w:u w:val="single"/>
        </w:rPr>
      </w:pPr>
    </w:p>
    <w:p w:rsidR="004C178F" w:rsidRPr="004C178F" w:rsidRDefault="004C178F" w:rsidP="004C178F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2160"/>
        <w:contextualSpacing/>
        <w:jc w:val="both"/>
        <w:rPr>
          <w:rFonts w:ascii="Times New Roman" w:hAnsi="Times New Roman"/>
          <w:b/>
          <w:sz w:val="24"/>
        </w:rPr>
      </w:pPr>
      <w:r w:rsidRPr="004C178F">
        <w:rPr>
          <w:rFonts w:ascii="Times New Roman" w:hAnsi="Times New Roman"/>
          <w:sz w:val="24"/>
          <w:u w:val="single"/>
        </w:rPr>
        <w:t xml:space="preserve">to only the #residential# portion of a #building# where less than 75 percent of the total #floor area# of such #building# is allocated to #residential use#; and </w:t>
      </w:r>
    </w:p>
    <w:p w:rsidR="004C178F" w:rsidRPr="004C178F" w:rsidRDefault="004C178F" w:rsidP="004C178F">
      <w:pPr>
        <w:widowControl/>
        <w:spacing w:line="276" w:lineRule="auto"/>
        <w:ind w:left="3600"/>
        <w:contextualSpacing/>
        <w:rPr>
          <w:rFonts w:ascii="Times New Roman" w:hAnsi="Times New Roman"/>
          <w:b/>
          <w:sz w:val="24"/>
        </w:rPr>
      </w:pPr>
    </w:p>
    <w:p w:rsidR="004C178F" w:rsidRPr="004C178F" w:rsidRDefault="004C178F" w:rsidP="004C178F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2160"/>
        <w:contextualSpacing/>
        <w:jc w:val="both"/>
        <w:rPr>
          <w:rFonts w:ascii="Times New Roman" w:hAnsi="Times New Roman"/>
          <w:b/>
          <w:sz w:val="24"/>
        </w:rPr>
      </w:pPr>
      <w:proofErr w:type="gramStart"/>
      <w:r w:rsidRPr="004C178F">
        <w:rPr>
          <w:rFonts w:ascii="Times New Roman" w:hAnsi="Times New Roman"/>
          <w:sz w:val="24"/>
          <w:u w:val="single"/>
        </w:rPr>
        <w:lastRenderedPageBreak/>
        <w:t>to</w:t>
      </w:r>
      <w:proofErr w:type="gramEnd"/>
      <w:r w:rsidRPr="004C178F">
        <w:rPr>
          <w:rFonts w:ascii="Times New Roman" w:hAnsi="Times New Roman"/>
          <w:sz w:val="24"/>
          <w:u w:val="single"/>
        </w:rPr>
        <w:t xml:space="preserve"> the entire #building# where 75 percent or more of the total #floor area# of such #building# is allocated to #residential use#. 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</w:p>
    <w:p w:rsidR="004C178F" w:rsidRPr="004C178F" w:rsidRDefault="004C178F" w:rsidP="004C178F">
      <w:pPr>
        <w:widowControl/>
        <w:spacing w:line="276" w:lineRule="auto"/>
        <w:ind w:left="720" w:hanging="720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  <w:r w:rsidRPr="004C178F">
        <w:rPr>
          <w:rFonts w:ascii="Times New Roman" w:hAnsi="Times New Roman"/>
          <w:b/>
          <w:sz w:val="24"/>
        </w:rPr>
        <w:t xml:space="preserve">Chapter 8 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  <w:r w:rsidRPr="004C178F">
        <w:rPr>
          <w:rFonts w:ascii="Times New Roman" w:hAnsi="Times New Roman"/>
          <w:b/>
          <w:sz w:val="24"/>
        </w:rPr>
        <w:t>Special West Chelsea District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ind w:left="720" w:hanging="720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rPr>
          <w:rFonts w:ascii="Times New Roman" w:hAnsi="Times New Roman"/>
          <w:b/>
          <w:bCs/>
          <w:sz w:val="24"/>
        </w:rPr>
      </w:pPr>
      <w:r w:rsidRPr="004C178F">
        <w:rPr>
          <w:rFonts w:ascii="Times New Roman" w:hAnsi="Times New Roman"/>
          <w:b/>
          <w:bCs/>
          <w:sz w:val="24"/>
        </w:rPr>
        <w:t>98-20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b/>
          <w:bCs/>
          <w:sz w:val="24"/>
        </w:rPr>
        <w:t>FLOOR AREA AND LOT COVERAGE REGULATIONS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ind w:left="720" w:hanging="720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rPr>
          <w:rFonts w:ascii="Times New Roman" w:hAnsi="Times New Roman"/>
          <w:b/>
          <w:bCs/>
          <w:sz w:val="24"/>
        </w:rPr>
      </w:pPr>
      <w:r w:rsidRPr="004C178F">
        <w:rPr>
          <w:rFonts w:ascii="Times New Roman" w:hAnsi="Times New Roman"/>
          <w:b/>
          <w:bCs/>
          <w:sz w:val="24"/>
        </w:rPr>
        <w:t>98-22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b/>
          <w:bCs/>
          <w:sz w:val="24"/>
        </w:rPr>
        <w:t>Maximum Floor Area Ratio and Lot Coverage in Subareas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ind w:left="720" w:hanging="720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Pr="004C178F" w:rsidRDefault="004C178F" w:rsidP="004C178F">
      <w:pPr>
        <w:widowControl/>
        <w:rPr>
          <w:rFonts w:ascii="Times New Roman" w:hAnsi="Times New Roman"/>
          <w:b/>
          <w:bCs/>
          <w:sz w:val="24"/>
        </w:rPr>
      </w:pPr>
    </w:p>
    <w:p w:rsidR="004C178F" w:rsidRPr="004C178F" w:rsidRDefault="004C178F" w:rsidP="004C178F">
      <w:pPr>
        <w:widowControl/>
        <w:rPr>
          <w:rFonts w:ascii="Times New Roman" w:hAnsi="Times New Roman"/>
          <w:b/>
          <w:bCs/>
          <w:sz w:val="24"/>
          <w:u w:val="single"/>
        </w:rPr>
      </w:pPr>
      <w:r w:rsidRPr="004C178F">
        <w:rPr>
          <w:rFonts w:ascii="Times New Roman" w:hAnsi="Times New Roman"/>
          <w:b/>
          <w:bCs/>
          <w:sz w:val="24"/>
          <w:u w:val="single"/>
        </w:rPr>
        <w:t>98-221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  <w:u w:val="single"/>
        </w:rPr>
      </w:pPr>
      <w:r w:rsidRPr="004C178F">
        <w:rPr>
          <w:rFonts w:ascii="Times New Roman" w:hAnsi="Times New Roman"/>
          <w:b/>
          <w:bCs/>
          <w:sz w:val="24"/>
          <w:u w:val="single"/>
        </w:rPr>
        <w:t>Additional regulations for Subdistrict A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</w:rPr>
      </w:pPr>
    </w:p>
    <w:p w:rsidR="004C178F" w:rsidRPr="004C178F" w:rsidRDefault="004C178F" w:rsidP="004C178F">
      <w:pPr>
        <w:widowControl/>
        <w:spacing w:line="276" w:lineRule="auto"/>
        <w:jc w:val="both"/>
        <w:rPr>
          <w:rFonts w:ascii="Times New Roman" w:hAnsi="Times New Roman"/>
          <w:sz w:val="24"/>
          <w:u w:val="single"/>
        </w:rPr>
      </w:pPr>
      <w:r w:rsidRPr="004C178F">
        <w:rPr>
          <w:rFonts w:ascii="Times New Roman" w:hAnsi="Times New Roman"/>
          <w:sz w:val="24"/>
          <w:u w:val="single"/>
        </w:rPr>
        <w:t xml:space="preserve">In Subdistrict A, for #zoning lots# containing a #building# that is #developed# or #enlarged# pursuant to the applicable tower regulations of Section 98-423 (Special Street wall location, minimum and maximum base heights and maximum building heights), the provisions of paragraph (a)(2) of Section 23-16 (Special Floor Area and Lot Coverage Provisions for Certain Areas) shall apply: 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sz w:val="24"/>
          <w:u w:val="single"/>
        </w:rPr>
      </w:pPr>
    </w:p>
    <w:p w:rsidR="004C178F" w:rsidRPr="004C178F" w:rsidRDefault="004C178F" w:rsidP="004C178F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 w:rsidRPr="004C178F">
        <w:rPr>
          <w:rFonts w:ascii="Times New Roman" w:hAnsi="Times New Roman"/>
          <w:sz w:val="24"/>
          <w:u w:val="single"/>
        </w:rPr>
        <w:t xml:space="preserve">to only the #residential# portion of a #building# where less than 75 percent of the total #floor area# of such #building# is allocated to #residential use#; and </w:t>
      </w:r>
    </w:p>
    <w:p w:rsidR="004C178F" w:rsidRPr="004C178F" w:rsidRDefault="004C178F" w:rsidP="004C178F">
      <w:pPr>
        <w:widowControl/>
        <w:spacing w:line="276" w:lineRule="auto"/>
        <w:ind w:left="720"/>
        <w:contextualSpacing/>
        <w:rPr>
          <w:rFonts w:ascii="Times New Roman" w:hAnsi="Times New Roman"/>
          <w:b/>
          <w:sz w:val="24"/>
        </w:rPr>
      </w:pPr>
    </w:p>
    <w:p w:rsidR="004C178F" w:rsidRPr="004C178F" w:rsidRDefault="004C178F" w:rsidP="004C178F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proofErr w:type="gramStart"/>
      <w:r w:rsidRPr="004C178F">
        <w:rPr>
          <w:rFonts w:ascii="Times New Roman" w:hAnsi="Times New Roman"/>
          <w:sz w:val="24"/>
          <w:u w:val="single"/>
        </w:rPr>
        <w:t>to</w:t>
      </w:r>
      <w:proofErr w:type="gramEnd"/>
      <w:r w:rsidRPr="004C178F">
        <w:rPr>
          <w:rFonts w:ascii="Times New Roman" w:hAnsi="Times New Roman"/>
          <w:sz w:val="24"/>
          <w:u w:val="single"/>
        </w:rPr>
        <w:t xml:space="preserve"> the entire #building# where 75 percent or more of the total #floor area# of such #building# is allocated to #residential use#. </w:t>
      </w:r>
    </w:p>
    <w:p w:rsidR="004C178F" w:rsidRPr="004C178F" w:rsidRDefault="004C178F" w:rsidP="004C178F">
      <w:pPr>
        <w:widowControl/>
        <w:spacing w:line="276" w:lineRule="auto"/>
        <w:rPr>
          <w:rFonts w:ascii="Times New Roman" w:hAnsi="Times New Roman"/>
          <w:b/>
          <w:sz w:val="24"/>
        </w:rPr>
      </w:pPr>
    </w:p>
    <w:p w:rsidR="004C178F" w:rsidRPr="004C178F" w:rsidRDefault="004C178F" w:rsidP="004C178F">
      <w:pPr>
        <w:widowControl/>
        <w:spacing w:line="276" w:lineRule="auto"/>
        <w:ind w:left="720" w:hanging="720"/>
        <w:jc w:val="center"/>
        <w:rPr>
          <w:rFonts w:ascii="Times New Roman" w:hAnsi="Times New Roman"/>
          <w:sz w:val="24"/>
        </w:rPr>
      </w:pPr>
      <w:r w:rsidRPr="004C178F">
        <w:rPr>
          <w:rFonts w:ascii="Times New Roman" w:hAnsi="Times New Roman"/>
          <w:sz w:val="24"/>
        </w:rPr>
        <w:lastRenderedPageBreak/>
        <w:t>*</w:t>
      </w:r>
      <w:r w:rsidRPr="004C178F">
        <w:rPr>
          <w:rFonts w:ascii="Times New Roman" w:hAnsi="Times New Roman"/>
          <w:sz w:val="24"/>
        </w:rPr>
        <w:tab/>
        <w:t>*</w:t>
      </w:r>
      <w:r w:rsidRPr="004C178F">
        <w:rPr>
          <w:rFonts w:ascii="Times New Roman" w:hAnsi="Times New Roman"/>
          <w:sz w:val="24"/>
        </w:rPr>
        <w:tab/>
        <w:t>*</w:t>
      </w:r>
    </w:p>
    <w:p w:rsidR="004C178F" w:rsidRDefault="004C178F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</w:t>
      </w:r>
      <w:proofErr w:type="gramStart"/>
      <w:r w:rsidRPr="00226572">
        <w:rPr>
          <w:rFonts w:ascii="Times New Roman" w:hAnsi="Times New Roman"/>
          <w:sz w:val="24"/>
        </w:rPr>
        <w:t>, }</w:t>
      </w:r>
      <w:proofErr w:type="gramEnd"/>
    </w:p>
    <w:p w:rsidR="006A423B" w:rsidRPr="00226572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 </w:t>
      </w:r>
      <w:r w:rsidRPr="00226572">
        <w:rPr>
          <w:rFonts w:ascii="Times New Roman" w:hAnsi="Times New Roman"/>
          <w:sz w:val="24"/>
        </w:rPr>
        <w:tab/>
        <w:t>The City of New York</w:t>
      </w:r>
      <w:proofErr w:type="gramStart"/>
      <w:r w:rsidRPr="00226572">
        <w:rPr>
          <w:rFonts w:ascii="Times New Roman" w:hAnsi="Times New Roman"/>
          <w:sz w:val="24"/>
        </w:rPr>
        <w:t>,  }</w:t>
      </w:r>
      <w:proofErr w:type="gramEnd"/>
      <w:r w:rsidRPr="00226572">
        <w:rPr>
          <w:rFonts w:ascii="Times New Roman" w:hAnsi="Times New Roman"/>
          <w:sz w:val="24"/>
        </w:rPr>
        <w:t xml:space="preserve"> ss.:</w:t>
      </w: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370EF6">
        <w:t>May 29</w:t>
      </w:r>
      <w:r w:rsidR="000259E5">
        <w:t>,</w:t>
      </w:r>
      <w:r w:rsidR="009D17F5" w:rsidRPr="00226572">
        <w:t xml:space="preserve"> 201</w:t>
      </w:r>
      <w:r w:rsidR="008F0BAC">
        <w:t>9</w:t>
      </w:r>
      <w:r w:rsidR="00EB2D9B" w:rsidRPr="00226572">
        <w:t>, on file in this office.</w:t>
      </w:r>
    </w:p>
    <w:p w:rsidR="00A77838" w:rsidRPr="00226572" w:rsidRDefault="00A77838" w:rsidP="00802747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p w:rsidR="00806A6D" w:rsidRDefault="00806A6D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Pr="00226572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496B55" w:rsidRPr="00226572" w:rsidRDefault="006A423B" w:rsidP="000259E5">
      <w:pPr>
        <w:tabs>
          <w:tab w:val="left" w:pos="-1440"/>
        </w:tabs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</w:t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="000259E5">
        <w:rPr>
          <w:rFonts w:ascii="Times New Roman" w:hAnsi="Times New Roman"/>
          <w:sz w:val="24"/>
        </w:rPr>
        <w:t xml:space="preserve">     </w:t>
      </w:r>
      <w:r w:rsidR="004C178F">
        <w:rPr>
          <w:rFonts w:ascii="Times New Roman" w:hAnsi="Times New Roman"/>
          <w:sz w:val="24"/>
        </w:rPr>
        <w:t xml:space="preserve"> </w:t>
      </w:r>
      <w:r w:rsidR="000259E5">
        <w:rPr>
          <w:rFonts w:ascii="Times New Roman" w:hAnsi="Times New Roman"/>
          <w:sz w:val="24"/>
        </w:rPr>
        <w:t xml:space="preserve">   </w:t>
      </w:r>
      <w:r w:rsidR="00B10020" w:rsidRPr="00226572">
        <w:rPr>
          <w:rFonts w:ascii="Times New Roman" w:hAnsi="Times New Roman"/>
          <w:sz w:val="24"/>
        </w:rPr>
        <w:t>..</w:t>
      </w:r>
      <w:r w:rsidRPr="00226572">
        <w:rPr>
          <w:rFonts w:ascii="Times New Roman" w:hAnsi="Times New Roman"/>
          <w:sz w:val="24"/>
        </w:rPr>
        <w:t>...…….........................................</w:t>
      </w:r>
      <w:r w:rsidR="000259E5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  </w:t>
      </w:r>
      <w:r w:rsidRPr="00226572">
        <w:rPr>
          <w:rFonts w:ascii="Times New Roman" w:hAnsi="Times New Roman"/>
          <w:sz w:val="24"/>
        </w:rPr>
        <w:tab/>
        <w:t xml:space="preserve">     </w:t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Pr="00226572">
        <w:rPr>
          <w:rFonts w:ascii="Times New Roman" w:hAnsi="Times New Roman"/>
          <w:sz w:val="24"/>
        </w:rPr>
        <w:tab/>
      </w:r>
      <w:r w:rsidR="000259E5">
        <w:rPr>
          <w:rFonts w:ascii="Times New Roman" w:hAnsi="Times New Roman"/>
          <w:sz w:val="24"/>
        </w:rPr>
        <w:t xml:space="preserve">          </w:t>
      </w:r>
      <w:r w:rsidRPr="00226572">
        <w:rPr>
          <w:rFonts w:ascii="Times New Roman" w:hAnsi="Times New Roman"/>
          <w:sz w:val="24"/>
        </w:rPr>
        <w:t xml:space="preserve">City Clerk, Clerk of </w:t>
      </w:r>
      <w:proofErr w:type="gramStart"/>
      <w:r w:rsidRPr="00226572">
        <w:rPr>
          <w:rFonts w:ascii="Times New Roman" w:hAnsi="Times New Roman"/>
          <w:sz w:val="24"/>
        </w:rPr>
        <w:t>The</w:t>
      </w:r>
      <w:proofErr w:type="gramEnd"/>
      <w:r w:rsidRPr="00226572">
        <w:rPr>
          <w:rFonts w:ascii="Times New Roman" w:hAnsi="Times New Roman"/>
          <w:sz w:val="24"/>
        </w:rPr>
        <w:t xml:space="preserve"> Council</w:t>
      </w:r>
      <w:r w:rsidR="00594447" w:rsidRPr="00226572">
        <w:rPr>
          <w:rFonts w:ascii="Times New Roman" w:hAnsi="Times New Roman"/>
          <w:sz w:val="24"/>
        </w:rPr>
        <w:t xml:space="preserve"> </w:t>
      </w:r>
    </w:p>
    <w:p w:rsidR="00B0178C" w:rsidRPr="00226572" w:rsidRDefault="00B0178C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sectPr w:rsidR="00B0178C" w:rsidRPr="00226572" w:rsidSect="00E125FE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0E" w:rsidRDefault="00D8490E">
      <w:r>
        <w:separator/>
      </w:r>
    </w:p>
  </w:endnote>
  <w:endnote w:type="continuationSeparator" w:id="0">
    <w:p w:rsidR="00D8490E" w:rsidRDefault="00D8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0E" w:rsidRDefault="00D8490E">
      <w:r>
        <w:separator/>
      </w:r>
    </w:p>
  </w:footnote>
  <w:footnote w:type="continuationSeparator" w:id="0">
    <w:p w:rsidR="00D8490E" w:rsidRDefault="00D8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5F439E">
      <w:rPr>
        <w:rFonts w:ascii="Times New Roman" w:hAnsi="Times New Roman"/>
        <w:b/>
        <w:noProof/>
      </w:rPr>
      <w:t>9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A53D5B">
      <w:rPr>
        <w:rFonts w:ascii="Times New Roman" w:hAnsi="Times New Roman"/>
        <w:b/>
      </w:rPr>
      <w:t>9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4C178F">
      <w:rPr>
        <w:rFonts w:ascii="Times New Roman" w:hAnsi="Times New Roman"/>
        <w:b/>
      </w:rPr>
      <w:t>190230 ZRY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370EF6">
      <w:rPr>
        <w:rFonts w:ascii="Times New Roman" w:hAnsi="Times New Roman"/>
        <w:b/>
      </w:rPr>
      <w:t>916</w:t>
    </w:r>
    <w:r>
      <w:rPr>
        <w:rFonts w:ascii="Times New Roman" w:hAnsi="Times New Roman"/>
        <w:b/>
      </w:rPr>
      <w:t xml:space="preserve"> (</w:t>
    </w:r>
    <w:r w:rsidR="004C178F">
      <w:rPr>
        <w:rFonts w:ascii="Times New Roman" w:hAnsi="Times New Roman"/>
        <w:b/>
      </w:rPr>
      <w:t xml:space="preserve">Pre. </w:t>
    </w:r>
    <w:r>
      <w:rPr>
        <w:rFonts w:ascii="Times New Roman" w:hAnsi="Times New Roman"/>
        <w:b/>
      </w:rPr>
      <w:t xml:space="preserve">L.U. No. </w:t>
    </w:r>
    <w:r w:rsidR="004C178F">
      <w:rPr>
        <w:rFonts w:ascii="Times New Roman" w:hAnsi="Times New Roman"/>
        <w:b/>
      </w:rPr>
      <w:t>397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E751A2"/>
    <w:multiLevelType w:val="hybridMultilevel"/>
    <w:tmpl w:val="C28614EA"/>
    <w:lvl w:ilvl="0" w:tplc="60227CB6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C40D6C"/>
    <w:multiLevelType w:val="hybridMultilevel"/>
    <w:tmpl w:val="64FC7454"/>
    <w:lvl w:ilvl="0" w:tplc="56FA3088">
      <w:start w:val="1"/>
      <w:numFmt w:val="lowerRoman"/>
      <w:lvlText w:val="(%1)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6F77387"/>
    <w:multiLevelType w:val="hybridMultilevel"/>
    <w:tmpl w:val="88F6E7A8"/>
    <w:lvl w:ilvl="0" w:tplc="60227CB6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0367B8"/>
    <w:multiLevelType w:val="hybridMultilevel"/>
    <w:tmpl w:val="D1E284C6"/>
    <w:lvl w:ilvl="0" w:tplc="486CA33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5822BD"/>
    <w:multiLevelType w:val="hybridMultilevel"/>
    <w:tmpl w:val="75BE8C64"/>
    <w:lvl w:ilvl="0" w:tplc="60227CB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9E5CDB"/>
    <w:multiLevelType w:val="hybridMultilevel"/>
    <w:tmpl w:val="174403C0"/>
    <w:lvl w:ilvl="0" w:tplc="14E88C5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2767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7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2409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6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FF2527"/>
    <w:multiLevelType w:val="hybridMultilevel"/>
    <w:tmpl w:val="1C1E2FE6"/>
    <w:lvl w:ilvl="0" w:tplc="E0523A90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23"/>
  </w:num>
  <w:num w:numId="5">
    <w:abstractNumId w:val="1"/>
  </w:num>
  <w:num w:numId="6">
    <w:abstractNumId w:val="5"/>
  </w:num>
  <w:num w:numId="7">
    <w:abstractNumId w:val="28"/>
  </w:num>
  <w:num w:numId="8">
    <w:abstractNumId w:val="22"/>
  </w:num>
  <w:num w:numId="9">
    <w:abstractNumId w:val="24"/>
  </w:num>
  <w:num w:numId="10">
    <w:abstractNumId w:val="16"/>
  </w:num>
  <w:num w:numId="11">
    <w:abstractNumId w:val="8"/>
  </w:num>
  <w:num w:numId="12">
    <w:abstractNumId w:val="10"/>
  </w:num>
  <w:num w:numId="13">
    <w:abstractNumId w:val="9"/>
  </w:num>
  <w:num w:numId="14">
    <w:abstractNumId w:val="29"/>
  </w:num>
  <w:num w:numId="1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3674"/>
    <w:rsid w:val="00004AFE"/>
    <w:rsid w:val="00005DA5"/>
    <w:rsid w:val="00005E80"/>
    <w:rsid w:val="00006A00"/>
    <w:rsid w:val="00015495"/>
    <w:rsid w:val="00016A07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6065E"/>
    <w:rsid w:val="0006295E"/>
    <w:rsid w:val="00071439"/>
    <w:rsid w:val="00071BEF"/>
    <w:rsid w:val="00073F8E"/>
    <w:rsid w:val="00073FF8"/>
    <w:rsid w:val="00074FC5"/>
    <w:rsid w:val="00075C40"/>
    <w:rsid w:val="000779AB"/>
    <w:rsid w:val="0008437F"/>
    <w:rsid w:val="00091129"/>
    <w:rsid w:val="00091183"/>
    <w:rsid w:val="000933F4"/>
    <w:rsid w:val="00093ED9"/>
    <w:rsid w:val="00096E54"/>
    <w:rsid w:val="000A15D6"/>
    <w:rsid w:val="000A2259"/>
    <w:rsid w:val="000A2583"/>
    <w:rsid w:val="000A57BC"/>
    <w:rsid w:val="000A7732"/>
    <w:rsid w:val="000B318A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6B76"/>
    <w:rsid w:val="000F761F"/>
    <w:rsid w:val="0010241C"/>
    <w:rsid w:val="00102810"/>
    <w:rsid w:val="00105303"/>
    <w:rsid w:val="00113922"/>
    <w:rsid w:val="00114B46"/>
    <w:rsid w:val="001174B9"/>
    <w:rsid w:val="00117FCF"/>
    <w:rsid w:val="0012689E"/>
    <w:rsid w:val="0013015D"/>
    <w:rsid w:val="001337D0"/>
    <w:rsid w:val="0013667B"/>
    <w:rsid w:val="001453E1"/>
    <w:rsid w:val="00146289"/>
    <w:rsid w:val="00147DE1"/>
    <w:rsid w:val="0015065E"/>
    <w:rsid w:val="001516AF"/>
    <w:rsid w:val="00156188"/>
    <w:rsid w:val="00165484"/>
    <w:rsid w:val="00165BFA"/>
    <w:rsid w:val="00166927"/>
    <w:rsid w:val="001717DB"/>
    <w:rsid w:val="00172B54"/>
    <w:rsid w:val="001770DC"/>
    <w:rsid w:val="001773F7"/>
    <w:rsid w:val="00177B7F"/>
    <w:rsid w:val="00184B32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333A"/>
    <w:rsid w:val="001B577B"/>
    <w:rsid w:val="001B6C36"/>
    <w:rsid w:val="001C1BCE"/>
    <w:rsid w:val="001C2004"/>
    <w:rsid w:val="001C3249"/>
    <w:rsid w:val="001C54AE"/>
    <w:rsid w:val="001C6F15"/>
    <w:rsid w:val="001C7356"/>
    <w:rsid w:val="001D05C8"/>
    <w:rsid w:val="001D2DC3"/>
    <w:rsid w:val="001D4970"/>
    <w:rsid w:val="001D56CE"/>
    <w:rsid w:val="001D59F8"/>
    <w:rsid w:val="001D689A"/>
    <w:rsid w:val="001E12B7"/>
    <w:rsid w:val="001E21C7"/>
    <w:rsid w:val="001E3115"/>
    <w:rsid w:val="001E36DD"/>
    <w:rsid w:val="001E3DB2"/>
    <w:rsid w:val="001E5E06"/>
    <w:rsid w:val="001E6355"/>
    <w:rsid w:val="001F048C"/>
    <w:rsid w:val="001F5E8D"/>
    <w:rsid w:val="001F6F70"/>
    <w:rsid w:val="00200342"/>
    <w:rsid w:val="0020054B"/>
    <w:rsid w:val="00201B15"/>
    <w:rsid w:val="002038B2"/>
    <w:rsid w:val="00203FE7"/>
    <w:rsid w:val="002042F7"/>
    <w:rsid w:val="0020523C"/>
    <w:rsid w:val="00205410"/>
    <w:rsid w:val="00206B81"/>
    <w:rsid w:val="002076BA"/>
    <w:rsid w:val="00207E5E"/>
    <w:rsid w:val="0021138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71A"/>
    <w:rsid w:val="00235109"/>
    <w:rsid w:val="002410A9"/>
    <w:rsid w:val="0024165B"/>
    <w:rsid w:val="002429F4"/>
    <w:rsid w:val="002479F9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0F5A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5223"/>
    <w:rsid w:val="00295370"/>
    <w:rsid w:val="00297C5F"/>
    <w:rsid w:val="00297D83"/>
    <w:rsid w:val="002A169F"/>
    <w:rsid w:val="002A296C"/>
    <w:rsid w:val="002A2985"/>
    <w:rsid w:val="002A69FC"/>
    <w:rsid w:val="002B2127"/>
    <w:rsid w:val="002B41FF"/>
    <w:rsid w:val="002B4E74"/>
    <w:rsid w:val="002C146B"/>
    <w:rsid w:val="002C1592"/>
    <w:rsid w:val="002C3B6F"/>
    <w:rsid w:val="002C42CD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13A8"/>
    <w:rsid w:val="003020F3"/>
    <w:rsid w:val="00304669"/>
    <w:rsid w:val="00305EC8"/>
    <w:rsid w:val="00306DF3"/>
    <w:rsid w:val="00307BB1"/>
    <w:rsid w:val="00310407"/>
    <w:rsid w:val="003106A9"/>
    <w:rsid w:val="00310AC6"/>
    <w:rsid w:val="00320999"/>
    <w:rsid w:val="00322477"/>
    <w:rsid w:val="00322A76"/>
    <w:rsid w:val="0032401D"/>
    <w:rsid w:val="00324759"/>
    <w:rsid w:val="00325808"/>
    <w:rsid w:val="003321D7"/>
    <w:rsid w:val="003337A4"/>
    <w:rsid w:val="0033426B"/>
    <w:rsid w:val="00336AF5"/>
    <w:rsid w:val="00341F2A"/>
    <w:rsid w:val="00350BC0"/>
    <w:rsid w:val="003519A2"/>
    <w:rsid w:val="00352177"/>
    <w:rsid w:val="003529B4"/>
    <w:rsid w:val="00354BBC"/>
    <w:rsid w:val="0036074F"/>
    <w:rsid w:val="00366850"/>
    <w:rsid w:val="00370EF6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A44"/>
    <w:rsid w:val="00390B66"/>
    <w:rsid w:val="00390EB3"/>
    <w:rsid w:val="003928E9"/>
    <w:rsid w:val="00393288"/>
    <w:rsid w:val="003A034E"/>
    <w:rsid w:val="003A0874"/>
    <w:rsid w:val="003A0A0A"/>
    <w:rsid w:val="003A26F9"/>
    <w:rsid w:val="003A6D27"/>
    <w:rsid w:val="003B06D4"/>
    <w:rsid w:val="003B3074"/>
    <w:rsid w:val="003B3751"/>
    <w:rsid w:val="003B53EF"/>
    <w:rsid w:val="003B6FAE"/>
    <w:rsid w:val="003C12F4"/>
    <w:rsid w:val="003C33EE"/>
    <w:rsid w:val="003C35A1"/>
    <w:rsid w:val="003C6490"/>
    <w:rsid w:val="003D02C8"/>
    <w:rsid w:val="003D11B9"/>
    <w:rsid w:val="003D1842"/>
    <w:rsid w:val="003D2C44"/>
    <w:rsid w:val="003D3476"/>
    <w:rsid w:val="003D6078"/>
    <w:rsid w:val="003E01A3"/>
    <w:rsid w:val="003E03E5"/>
    <w:rsid w:val="003E0B66"/>
    <w:rsid w:val="003E5600"/>
    <w:rsid w:val="003E6FC4"/>
    <w:rsid w:val="003E72BD"/>
    <w:rsid w:val="003E757E"/>
    <w:rsid w:val="003F360E"/>
    <w:rsid w:val="003F429B"/>
    <w:rsid w:val="003F4DE8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41EE2"/>
    <w:rsid w:val="0044733E"/>
    <w:rsid w:val="00450A19"/>
    <w:rsid w:val="00450C74"/>
    <w:rsid w:val="00450EB1"/>
    <w:rsid w:val="00451E97"/>
    <w:rsid w:val="00452394"/>
    <w:rsid w:val="00453443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81708"/>
    <w:rsid w:val="00481B81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9F3"/>
    <w:rsid w:val="004B4FB6"/>
    <w:rsid w:val="004C0160"/>
    <w:rsid w:val="004C03B7"/>
    <w:rsid w:val="004C178F"/>
    <w:rsid w:val="004C210D"/>
    <w:rsid w:val="004C2560"/>
    <w:rsid w:val="004C34DF"/>
    <w:rsid w:val="004C41B4"/>
    <w:rsid w:val="004D1226"/>
    <w:rsid w:val="004D1A41"/>
    <w:rsid w:val="004D2EB5"/>
    <w:rsid w:val="004D7D45"/>
    <w:rsid w:val="004E007F"/>
    <w:rsid w:val="004E7F8F"/>
    <w:rsid w:val="004F48E7"/>
    <w:rsid w:val="005000F2"/>
    <w:rsid w:val="00503D65"/>
    <w:rsid w:val="005055E5"/>
    <w:rsid w:val="00506B9A"/>
    <w:rsid w:val="0051080F"/>
    <w:rsid w:val="0051480A"/>
    <w:rsid w:val="005156A5"/>
    <w:rsid w:val="00520C57"/>
    <w:rsid w:val="0052169F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4016D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41DA"/>
    <w:rsid w:val="00555174"/>
    <w:rsid w:val="0056140B"/>
    <w:rsid w:val="00561BF0"/>
    <w:rsid w:val="0056288D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855"/>
    <w:rsid w:val="005B34AB"/>
    <w:rsid w:val="005B5D93"/>
    <w:rsid w:val="005C05B7"/>
    <w:rsid w:val="005C1C40"/>
    <w:rsid w:val="005C3BB0"/>
    <w:rsid w:val="005C4A77"/>
    <w:rsid w:val="005C6E10"/>
    <w:rsid w:val="005D15F9"/>
    <w:rsid w:val="005D2573"/>
    <w:rsid w:val="005D2987"/>
    <w:rsid w:val="005D5A37"/>
    <w:rsid w:val="005D797B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439E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4609C"/>
    <w:rsid w:val="00650C23"/>
    <w:rsid w:val="00655D12"/>
    <w:rsid w:val="00656BE6"/>
    <w:rsid w:val="00660A5F"/>
    <w:rsid w:val="00662C63"/>
    <w:rsid w:val="00666F46"/>
    <w:rsid w:val="006679C0"/>
    <w:rsid w:val="00671C98"/>
    <w:rsid w:val="006724B2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6680"/>
    <w:rsid w:val="006C0690"/>
    <w:rsid w:val="006C0E00"/>
    <w:rsid w:val="006C3F1D"/>
    <w:rsid w:val="006D5277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07DFC"/>
    <w:rsid w:val="00710E4C"/>
    <w:rsid w:val="00711573"/>
    <w:rsid w:val="00712274"/>
    <w:rsid w:val="00713A28"/>
    <w:rsid w:val="0071507C"/>
    <w:rsid w:val="00717EAE"/>
    <w:rsid w:val="00722E1E"/>
    <w:rsid w:val="0072601D"/>
    <w:rsid w:val="007268CF"/>
    <w:rsid w:val="00727D97"/>
    <w:rsid w:val="00736588"/>
    <w:rsid w:val="00736CCD"/>
    <w:rsid w:val="00737009"/>
    <w:rsid w:val="00737E39"/>
    <w:rsid w:val="00741AA3"/>
    <w:rsid w:val="0074470B"/>
    <w:rsid w:val="00745D80"/>
    <w:rsid w:val="00751131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73A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4346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0731B"/>
    <w:rsid w:val="0081264D"/>
    <w:rsid w:val="00814E23"/>
    <w:rsid w:val="00821292"/>
    <w:rsid w:val="00821D3C"/>
    <w:rsid w:val="00823133"/>
    <w:rsid w:val="008231A2"/>
    <w:rsid w:val="0082399D"/>
    <w:rsid w:val="008246F5"/>
    <w:rsid w:val="0083365B"/>
    <w:rsid w:val="00836357"/>
    <w:rsid w:val="008367CE"/>
    <w:rsid w:val="00837385"/>
    <w:rsid w:val="00840A9A"/>
    <w:rsid w:val="00842D77"/>
    <w:rsid w:val="00843907"/>
    <w:rsid w:val="00843AD0"/>
    <w:rsid w:val="00843BEA"/>
    <w:rsid w:val="008442C3"/>
    <w:rsid w:val="00844A5F"/>
    <w:rsid w:val="00844FB4"/>
    <w:rsid w:val="00847546"/>
    <w:rsid w:val="00850DB2"/>
    <w:rsid w:val="00852E71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5964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16C4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46CF3"/>
    <w:rsid w:val="009517D4"/>
    <w:rsid w:val="009519B9"/>
    <w:rsid w:val="00952C0D"/>
    <w:rsid w:val="00954CEB"/>
    <w:rsid w:val="009578E0"/>
    <w:rsid w:val="009600CD"/>
    <w:rsid w:val="009611A5"/>
    <w:rsid w:val="00961791"/>
    <w:rsid w:val="0096183C"/>
    <w:rsid w:val="00961F9D"/>
    <w:rsid w:val="0096318C"/>
    <w:rsid w:val="009640EA"/>
    <w:rsid w:val="00965D4F"/>
    <w:rsid w:val="009662D5"/>
    <w:rsid w:val="009725ED"/>
    <w:rsid w:val="009767A5"/>
    <w:rsid w:val="00980DDB"/>
    <w:rsid w:val="00981D36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A6684"/>
    <w:rsid w:val="009B0374"/>
    <w:rsid w:val="009B2537"/>
    <w:rsid w:val="009B4C2B"/>
    <w:rsid w:val="009B77C3"/>
    <w:rsid w:val="009C2DCA"/>
    <w:rsid w:val="009C636A"/>
    <w:rsid w:val="009D1159"/>
    <w:rsid w:val="009D17F5"/>
    <w:rsid w:val="009D4791"/>
    <w:rsid w:val="009D512C"/>
    <w:rsid w:val="009D60C6"/>
    <w:rsid w:val="009D661B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782C"/>
    <w:rsid w:val="00A009BD"/>
    <w:rsid w:val="00A00AD4"/>
    <w:rsid w:val="00A01549"/>
    <w:rsid w:val="00A05B22"/>
    <w:rsid w:val="00A06272"/>
    <w:rsid w:val="00A06C8E"/>
    <w:rsid w:val="00A12457"/>
    <w:rsid w:val="00A1590E"/>
    <w:rsid w:val="00A1624D"/>
    <w:rsid w:val="00A1633C"/>
    <w:rsid w:val="00A16C9D"/>
    <w:rsid w:val="00A16D53"/>
    <w:rsid w:val="00A20B9A"/>
    <w:rsid w:val="00A21FCD"/>
    <w:rsid w:val="00A22739"/>
    <w:rsid w:val="00A2393E"/>
    <w:rsid w:val="00A24159"/>
    <w:rsid w:val="00A25B5A"/>
    <w:rsid w:val="00A3394E"/>
    <w:rsid w:val="00A33A11"/>
    <w:rsid w:val="00A4150D"/>
    <w:rsid w:val="00A433E9"/>
    <w:rsid w:val="00A43BB2"/>
    <w:rsid w:val="00A43D9C"/>
    <w:rsid w:val="00A45E37"/>
    <w:rsid w:val="00A50B9D"/>
    <w:rsid w:val="00A53D47"/>
    <w:rsid w:val="00A53D5B"/>
    <w:rsid w:val="00A53DBE"/>
    <w:rsid w:val="00A556CC"/>
    <w:rsid w:val="00A575F5"/>
    <w:rsid w:val="00A60543"/>
    <w:rsid w:val="00A61C86"/>
    <w:rsid w:val="00A62B38"/>
    <w:rsid w:val="00A655D0"/>
    <w:rsid w:val="00A67260"/>
    <w:rsid w:val="00A6726D"/>
    <w:rsid w:val="00A67617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0A42"/>
    <w:rsid w:val="00AA1117"/>
    <w:rsid w:val="00AA1CA8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D192A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750B"/>
    <w:rsid w:val="00AF7F19"/>
    <w:rsid w:val="00B014FC"/>
    <w:rsid w:val="00B0178C"/>
    <w:rsid w:val="00B01A89"/>
    <w:rsid w:val="00B05678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956"/>
    <w:rsid w:val="00B40D49"/>
    <w:rsid w:val="00B43BA4"/>
    <w:rsid w:val="00B47CFA"/>
    <w:rsid w:val="00B50A15"/>
    <w:rsid w:val="00B54283"/>
    <w:rsid w:val="00B566FB"/>
    <w:rsid w:val="00B56AC2"/>
    <w:rsid w:val="00B56B9E"/>
    <w:rsid w:val="00B5732F"/>
    <w:rsid w:val="00B61564"/>
    <w:rsid w:val="00B62E7F"/>
    <w:rsid w:val="00B63376"/>
    <w:rsid w:val="00B70187"/>
    <w:rsid w:val="00B717A9"/>
    <w:rsid w:val="00B71B3D"/>
    <w:rsid w:val="00B75419"/>
    <w:rsid w:val="00B768D4"/>
    <w:rsid w:val="00B80220"/>
    <w:rsid w:val="00B8086F"/>
    <w:rsid w:val="00B80F64"/>
    <w:rsid w:val="00B81A89"/>
    <w:rsid w:val="00B81FFB"/>
    <w:rsid w:val="00B82B48"/>
    <w:rsid w:val="00B8549D"/>
    <w:rsid w:val="00B91733"/>
    <w:rsid w:val="00B92861"/>
    <w:rsid w:val="00B93616"/>
    <w:rsid w:val="00B959D9"/>
    <w:rsid w:val="00B96839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28F0"/>
    <w:rsid w:val="00BF6499"/>
    <w:rsid w:val="00BF676F"/>
    <w:rsid w:val="00C011BA"/>
    <w:rsid w:val="00C01EAA"/>
    <w:rsid w:val="00C02FF3"/>
    <w:rsid w:val="00C03255"/>
    <w:rsid w:val="00C05A7A"/>
    <w:rsid w:val="00C10F5B"/>
    <w:rsid w:val="00C117E2"/>
    <w:rsid w:val="00C129FD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1E17"/>
    <w:rsid w:val="00C35761"/>
    <w:rsid w:val="00C35AB2"/>
    <w:rsid w:val="00C45695"/>
    <w:rsid w:val="00C457D1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1C2"/>
    <w:rsid w:val="00CF5EAD"/>
    <w:rsid w:val="00D01CFE"/>
    <w:rsid w:val="00D029C9"/>
    <w:rsid w:val="00D04286"/>
    <w:rsid w:val="00D048CA"/>
    <w:rsid w:val="00D07C1A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7985"/>
    <w:rsid w:val="00D32462"/>
    <w:rsid w:val="00D34251"/>
    <w:rsid w:val="00D3738D"/>
    <w:rsid w:val="00D43E59"/>
    <w:rsid w:val="00D45278"/>
    <w:rsid w:val="00D45485"/>
    <w:rsid w:val="00D45681"/>
    <w:rsid w:val="00D51970"/>
    <w:rsid w:val="00D51A94"/>
    <w:rsid w:val="00D536DD"/>
    <w:rsid w:val="00D555F9"/>
    <w:rsid w:val="00D56BB1"/>
    <w:rsid w:val="00D608D0"/>
    <w:rsid w:val="00D61629"/>
    <w:rsid w:val="00D63F22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490E"/>
    <w:rsid w:val="00D856A2"/>
    <w:rsid w:val="00D85A28"/>
    <w:rsid w:val="00D927BD"/>
    <w:rsid w:val="00D92C9A"/>
    <w:rsid w:val="00D9491D"/>
    <w:rsid w:val="00D95902"/>
    <w:rsid w:val="00D97833"/>
    <w:rsid w:val="00DA2A7B"/>
    <w:rsid w:val="00DB0F83"/>
    <w:rsid w:val="00DB1D82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D25B4"/>
    <w:rsid w:val="00DD3C8F"/>
    <w:rsid w:val="00DD46FF"/>
    <w:rsid w:val="00DD5791"/>
    <w:rsid w:val="00DD79BB"/>
    <w:rsid w:val="00DE003A"/>
    <w:rsid w:val="00DE1118"/>
    <w:rsid w:val="00DE152F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8EC"/>
    <w:rsid w:val="00E34AA2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7CD3"/>
    <w:rsid w:val="00E60BCF"/>
    <w:rsid w:val="00E60C6C"/>
    <w:rsid w:val="00E61CAA"/>
    <w:rsid w:val="00E65394"/>
    <w:rsid w:val="00E6735E"/>
    <w:rsid w:val="00E713AC"/>
    <w:rsid w:val="00E71EFC"/>
    <w:rsid w:val="00E76B1C"/>
    <w:rsid w:val="00E8044B"/>
    <w:rsid w:val="00E81ADA"/>
    <w:rsid w:val="00E83A0A"/>
    <w:rsid w:val="00E8431E"/>
    <w:rsid w:val="00E903DF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B694A"/>
    <w:rsid w:val="00EC0AB1"/>
    <w:rsid w:val="00EC0ABB"/>
    <w:rsid w:val="00EC29F0"/>
    <w:rsid w:val="00EC36E7"/>
    <w:rsid w:val="00EC42CC"/>
    <w:rsid w:val="00EC4BB9"/>
    <w:rsid w:val="00EC546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2F7F"/>
    <w:rsid w:val="00EE4018"/>
    <w:rsid w:val="00EE529C"/>
    <w:rsid w:val="00EE5FD1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1EEB"/>
    <w:rsid w:val="00F52123"/>
    <w:rsid w:val="00F53B8C"/>
    <w:rsid w:val="00F54384"/>
    <w:rsid w:val="00F55BE4"/>
    <w:rsid w:val="00F566D1"/>
    <w:rsid w:val="00F65C32"/>
    <w:rsid w:val="00F745E4"/>
    <w:rsid w:val="00F75255"/>
    <w:rsid w:val="00F7683A"/>
    <w:rsid w:val="00F76F60"/>
    <w:rsid w:val="00F80715"/>
    <w:rsid w:val="00F815FC"/>
    <w:rsid w:val="00F817D4"/>
    <w:rsid w:val="00F8515A"/>
    <w:rsid w:val="00F860C0"/>
    <w:rsid w:val="00F914BF"/>
    <w:rsid w:val="00F96C84"/>
    <w:rsid w:val="00FA1D47"/>
    <w:rsid w:val="00FA3BF3"/>
    <w:rsid w:val="00FA49C7"/>
    <w:rsid w:val="00FB1230"/>
    <w:rsid w:val="00FB1859"/>
    <w:rsid w:val="00FB3E3E"/>
    <w:rsid w:val="00FB41A2"/>
    <w:rsid w:val="00FB67F1"/>
    <w:rsid w:val="00FC1915"/>
    <w:rsid w:val="00FC43AF"/>
    <w:rsid w:val="00FD3DBC"/>
    <w:rsid w:val="00FD6948"/>
    <w:rsid w:val="00FD7504"/>
    <w:rsid w:val="00FE08AF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B9FC12A"/>
  <w15:chartTrackingRefBased/>
  <w15:docId w15:val="{6637B59D-4331-4D9B-9B26-C0B6FB61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0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5436-6BE1-4A76-9564-1A56A2F8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1735</Words>
  <Characters>9892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2019-05-29T20:47:00Z</dcterms:created>
  <dcterms:modified xsi:type="dcterms:W3CDTF">2019-05-29T20:47:00Z</dcterms:modified>
</cp:coreProperties>
</file>