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A0F1" w14:textId="06807B6D" w:rsidR="00F81290" w:rsidRPr="003E4257" w:rsidRDefault="00D553CF" w:rsidP="00432397">
      <w:pPr>
        <w:ind w:firstLine="720"/>
        <w:jc w:val="right"/>
      </w:pPr>
      <w:bookmarkStart w:id="0" w:name="_GoBack"/>
      <w:bookmarkEnd w:id="0"/>
      <w:r w:rsidRPr="003E4257">
        <w:t>May 29</w:t>
      </w:r>
      <w:r w:rsidR="00CF45AC" w:rsidRPr="003E4257">
        <w:t>, 2019</w:t>
      </w:r>
    </w:p>
    <w:p w14:paraId="77A91032" w14:textId="77777777" w:rsidR="00F81290" w:rsidRPr="003E4257" w:rsidRDefault="00F81290" w:rsidP="00432397">
      <w:r w:rsidRPr="003E4257">
        <w:t>TO:</w:t>
      </w:r>
      <w:r w:rsidRPr="003E4257">
        <w:tab/>
      </w:r>
      <w:r w:rsidRPr="003E4257">
        <w:tab/>
        <w:t xml:space="preserve">Hon. </w:t>
      </w:r>
      <w:r w:rsidR="00B66967" w:rsidRPr="003E4257">
        <w:t>Daniel Dromm</w:t>
      </w:r>
    </w:p>
    <w:p w14:paraId="2BDF356B" w14:textId="77777777" w:rsidR="00F81290" w:rsidRPr="003E4257" w:rsidRDefault="00F81290" w:rsidP="00432397">
      <w:r w:rsidRPr="003E4257">
        <w:tab/>
      </w:r>
      <w:r w:rsidRPr="003E4257">
        <w:tab/>
        <w:t>Chair, Finance Committee</w:t>
      </w:r>
    </w:p>
    <w:p w14:paraId="2D11090A" w14:textId="77777777" w:rsidR="00F81290" w:rsidRPr="003E4257" w:rsidRDefault="00F81290" w:rsidP="00432397">
      <w:pPr>
        <w:ind w:left="720" w:firstLine="720"/>
      </w:pPr>
      <w:r w:rsidRPr="003E4257">
        <w:t>Members of the Finance Committee</w:t>
      </w:r>
    </w:p>
    <w:p w14:paraId="01947CD5" w14:textId="77777777" w:rsidR="00F81290" w:rsidRPr="003E4257" w:rsidRDefault="00F81290" w:rsidP="00432397"/>
    <w:p w14:paraId="3885B3B2" w14:textId="77777777" w:rsidR="00740D8C" w:rsidRPr="003E4257" w:rsidRDefault="00F81290" w:rsidP="00432397">
      <w:r w:rsidRPr="003E4257">
        <w:t>FROM:</w:t>
      </w:r>
      <w:r w:rsidRPr="003E4257">
        <w:tab/>
      </w:r>
      <w:r w:rsidR="00740D8C" w:rsidRPr="003E4257">
        <w:t xml:space="preserve">Rebecca Chasan, </w:t>
      </w:r>
      <w:r w:rsidR="00F572C6" w:rsidRPr="003E4257">
        <w:t xml:space="preserve">Senior </w:t>
      </w:r>
      <w:r w:rsidR="00740D8C" w:rsidRPr="003E4257">
        <w:t>Counsel, Finance Division</w:t>
      </w:r>
    </w:p>
    <w:p w14:paraId="0521F5F4" w14:textId="77777777" w:rsidR="00D553CF" w:rsidRPr="003E4257" w:rsidRDefault="00F572C6" w:rsidP="00201876">
      <w:r w:rsidRPr="003E4257">
        <w:tab/>
      </w:r>
      <w:r w:rsidRPr="003E4257">
        <w:tab/>
      </w:r>
      <w:r w:rsidR="00AC4B5A" w:rsidRPr="003E4257">
        <w:t>Noah Brick, Assistant Counsel, Finance Division</w:t>
      </w:r>
    </w:p>
    <w:p w14:paraId="7C4B95F8" w14:textId="738B7AAC" w:rsidR="00F572C6" w:rsidRPr="003E4257" w:rsidRDefault="00D553CF" w:rsidP="00D553CF">
      <w:pPr>
        <w:ind w:left="720" w:firstLine="720"/>
      </w:pPr>
      <w:r w:rsidRPr="003E4257">
        <w:t>Stephanie Ruiz, Assistant Counsel, Finance Division</w:t>
      </w:r>
      <w:r w:rsidR="00AC4B5A" w:rsidRPr="003E4257">
        <w:t xml:space="preserve"> </w:t>
      </w:r>
    </w:p>
    <w:p w14:paraId="7AC53C62" w14:textId="77777777" w:rsidR="00F81290" w:rsidRPr="003E4257" w:rsidRDefault="00BF0D4D" w:rsidP="00432397">
      <w:r w:rsidRPr="003E4257">
        <w:tab/>
      </w:r>
      <w:r w:rsidRPr="003E4257">
        <w:tab/>
      </w:r>
    </w:p>
    <w:p w14:paraId="7BAA6E04" w14:textId="48818583" w:rsidR="004E4A63" w:rsidRPr="003E4257" w:rsidRDefault="00F572C6" w:rsidP="00130863">
      <w:pPr>
        <w:ind w:left="1440" w:hanging="1440"/>
      </w:pPr>
      <w:r w:rsidRPr="003E4257">
        <w:t>RE:</w:t>
      </w:r>
      <w:r w:rsidRPr="003E4257">
        <w:tab/>
        <w:t xml:space="preserve">Finance Committee Agenda of </w:t>
      </w:r>
      <w:r w:rsidR="00D553CF" w:rsidRPr="003E4257">
        <w:t>May 29</w:t>
      </w:r>
      <w:r w:rsidR="00C50C47" w:rsidRPr="003E4257">
        <w:t>, 201</w:t>
      </w:r>
      <w:r w:rsidR="00AC4B5A" w:rsidRPr="003E4257">
        <w:t>9</w:t>
      </w:r>
      <w:r w:rsidR="003D7562">
        <w:t xml:space="preserve"> – </w:t>
      </w:r>
      <w:r w:rsidR="00F81290" w:rsidRPr="003E4257">
        <w:t>Resolution</w:t>
      </w:r>
      <w:r w:rsidR="003D1B8E" w:rsidRPr="003E4257">
        <w:t xml:space="preserve"> </w:t>
      </w:r>
      <w:r w:rsidR="00E27CE1" w:rsidRPr="003E4257">
        <w:t>approving a</w:t>
      </w:r>
      <w:r w:rsidR="007B1402" w:rsidRPr="003E4257">
        <w:t xml:space="preserve"> </w:t>
      </w:r>
      <w:r w:rsidR="00C02020" w:rsidRPr="003E4257">
        <w:t xml:space="preserve">tax exemption for </w:t>
      </w:r>
      <w:r w:rsidR="00E51727">
        <w:t>eight</w:t>
      </w:r>
      <w:r w:rsidR="00E53927" w:rsidRPr="003E4257">
        <w:t xml:space="preserve"> </w:t>
      </w:r>
      <w:r w:rsidR="00C02020" w:rsidRPr="003E4257">
        <w:t>Land Use item</w:t>
      </w:r>
      <w:r w:rsidR="00E53927" w:rsidRPr="003E4257">
        <w:t>s</w:t>
      </w:r>
      <w:r w:rsidR="00C02020" w:rsidRPr="003E4257">
        <w:t xml:space="preserve"> (C</w:t>
      </w:r>
      <w:r w:rsidR="00AC4B5A" w:rsidRPr="003E4257">
        <w:t>ouncil District</w:t>
      </w:r>
      <w:r w:rsidR="00E53927" w:rsidRPr="003E4257">
        <w:t>s 3, 7, 8, 9, 10, 16, and 17</w:t>
      </w:r>
      <w:r w:rsidR="00D10820" w:rsidRPr="003E4257">
        <w:t>)</w:t>
      </w:r>
    </w:p>
    <w:p w14:paraId="544B7761" w14:textId="6D2F05AD" w:rsidR="00110202" w:rsidRPr="003E4257" w:rsidRDefault="00110202" w:rsidP="00432397">
      <w:pPr>
        <w:rPr>
          <w:b/>
          <w:u w:val="single"/>
        </w:rPr>
      </w:pPr>
    </w:p>
    <w:p w14:paraId="168711DE" w14:textId="77777777" w:rsidR="00E51727" w:rsidRPr="00522777" w:rsidRDefault="00E51727" w:rsidP="00E51727">
      <w:pPr>
        <w:rPr>
          <w:b/>
          <w:u w:val="single"/>
        </w:rPr>
      </w:pPr>
      <w:r w:rsidRPr="00522777">
        <w:rPr>
          <w:b/>
          <w:u w:val="single"/>
        </w:rPr>
        <w:t>Item 1: Fairstead-48th Street</w:t>
      </w:r>
    </w:p>
    <w:p w14:paraId="56C54112" w14:textId="77777777" w:rsidR="00E51727" w:rsidRPr="00522777" w:rsidRDefault="00E51727" w:rsidP="00E51727">
      <w:pPr>
        <w:jc w:val="both"/>
      </w:pPr>
    </w:p>
    <w:p w14:paraId="685E3E0E" w14:textId="6DB68B96" w:rsidR="00E51727" w:rsidRPr="00522777" w:rsidRDefault="00E51727" w:rsidP="00E51727">
      <w:pPr>
        <w:jc w:val="both"/>
      </w:pPr>
      <w:r w:rsidRPr="00522777">
        <w:t xml:space="preserve">The Fairstead-48th Street project is comprised of 54 units in seven buildings on a single tax lot at 414-424 West 48th Street in Manhattan. It consists of </w:t>
      </w:r>
      <w:r>
        <w:t xml:space="preserve">19 </w:t>
      </w:r>
      <w:r w:rsidRPr="00522777">
        <w:t>one-bedroom apartments</w:t>
      </w:r>
      <w:r>
        <w:t xml:space="preserve"> (inclusive of one </w:t>
      </w:r>
      <w:r w:rsidRPr="00522777">
        <w:t xml:space="preserve">superintendent </w:t>
      </w:r>
      <w:r>
        <w:t>unit</w:t>
      </w:r>
      <w:r w:rsidRPr="00522777">
        <w:t>, 20 two-bedroom apartme</w:t>
      </w:r>
      <w:r>
        <w:t xml:space="preserve">nts, 14 three-bedroom apartments and </w:t>
      </w:r>
      <w:r w:rsidRPr="00522777">
        <w:t>one four-bedroom apartment</w:t>
      </w:r>
      <w:r w:rsidR="00946C3C">
        <w:t>)</w:t>
      </w:r>
      <w:r>
        <w:t>.</w:t>
      </w:r>
    </w:p>
    <w:p w14:paraId="027F9C38" w14:textId="77777777" w:rsidR="00E51727" w:rsidRPr="00522777" w:rsidRDefault="00E51727" w:rsidP="00E51727">
      <w:pPr>
        <w:jc w:val="both"/>
      </w:pPr>
    </w:p>
    <w:p w14:paraId="7498D0DB" w14:textId="77777777" w:rsidR="00E51727" w:rsidRPr="00522777" w:rsidRDefault="00E51727" w:rsidP="00E51727">
      <w:pPr>
        <w:jc w:val="both"/>
      </w:pPr>
      <w:r w:rsidRPr="00522777">
        <w:t>In 1978, the City conveyed the property to 414-24 West 48th Street Redevelopment Company, L.P. (Owner), an Article V redevelopment company, and approved a Shelter Rent tax exemption that will expire in 2020. The property is also under a Housing Assistance Payments (HAP) Section 8 contract, under which tenants pay only 30% of their income in rent and the U.S. Department of Housing and Urban Development (HUD) makes payments to the landlord.</w:t>
      </w:r>
    </w:p>
    <w:p w14:paraId="25914A76" w14:textId="77777777" w:rsidR="00E51727" w:rsidRPr="00522777" w:rsidRDefault="00E51727" w:rsidP="00E51727">
      <w:pPr>
        <w:jc w:val="both"/>
      </w:pPr>
    </w:p>
    <w:p w14:paraId="51E266CF" w14:textId="6025DA16" w:rsidR="00E51727" w:rsidRPr="00522777" w:rsidRDefault="00E51727" w:rsidP="00E51727">
      <w:pPr>
        <w:jc w:val="both"/>
      </w:pPr>
      <w:r w:rsidRPr="00522777">
        <w:t>The Department of Housing Preservation and Development (HPD) is requesting that the Council approve</w:t>
      </w:r>
      <w:r w:rsidR="004F3A5F">
        <w:t xml:space="preserve"> the dissolution of the Article V, the termination of the Article V property tax exemption, and the grant of </w:t>
      </w:r>
      <w:r w:rsidRPr="00522777">
        <w:t xml:space="preserve">a 40-year partial Article XI property tax exemption, with annual taxes of $290,838 plus 25% of any appreciation in the HUD-authorized rent roll. HP W48 Housing Development Fund Company, Inc. (HDFC) would acquire the exemption area and 414 West 48th Owner LLC (LLC) would be the beneficial owner and operate the exemption area. HPD, HDFC and LLC would enter into a 40-year regulatory agreement that </w:t>
      </w:r>
      <w:r w:rsidR="004F3A5F">
        <w:t>would</w:t>
      </w:r>
      <w:r w:rsidR="004F3A5F" w:rsidRPr="00522777">
        <w:t xml:space="preserve"> </w:t>
      </w:r>
      <w:r w:rsidRPr="00522777">
        <w:t xml:space="preserve">require that the units be leased only to households with incomes of 50% of the Area Median Income (AMI). </w:t>
      </w:r>
    </w:p>
    <w:p w14:paraId="758EFA26" w14:textId="77777777" w:rsidR="00E51727" w:rsidRPr="00522777" w:rsidRDefault="00E51727" w:rsidP="00E51727">
      <w:pPr>
        <w:jc w:val="both"/>
      </w:pPr>
    </w:p>
    <w:p w14:paraId="091F73AD" w14:textId="77777777" w:rsidR="00E51727" w:rsidRPr="00522777" w:rsidRDefault="00E51727" w:rsidP="00E51727">
      <w:pPr>
        <w:rPr>
          <w:u w:val="single"/>
        </w:rPr>
      </w:pPr>
      <w:r w:rsidRPr="00522777">
        <w:rPr>
          <w:u w:val="single"/>
        </w:rPr>
        <w:t>Summary:</w:t>
      </w:r>
    </w:p>
    <w:p w14:paraId="16A56EAB" w14:textId="77777777" w:rsidR="00E51727" w:rsidRPr="00522777" w:rsidRDefault="00E51727" w:rsidP="00E51727">
      <w:pPr>
        <w:pStyle w:val="MediumGrid1-Accent21"/>
        <w:numPr>
          <w:ilvl w:val="0"/>
          <w:numId w:val="29"/>
        </w:numPr>
      </w:pPr>
      <w:r w:rsidRPr="00522777">
        <w:t>Borough – Manhattan</w:t>
      </w:r>
    </w:p>
    <w:p w14:paraId="63936026" w14:textId="77777777" w:rsidR="00E51727" w:rsidRPr="00522777" w:rsidRDefault="00E51727" w:rsidP="00E51727">
      <w:pPr>
        <w:pStyle w:val="MediumGrid1-Accent21"/>
        <w:numPr>
          <w:ilvl w:val="0"/>
          <w:numId w:val="29"/>
        </w:numPr>
      </w:pPr>
      <w:r w:rsidRPr="00522777">
        <w:t>Block 1057, Lot 141</w:t>
      </w:r>
    </w:p>
    <w:p w14:paraId="27DC7D54" w14:textId="77777777" w:rsidR="00E51727" w:rsidRPr="00522777" w:rsidRDefault="00E51727" w:rsidP="00E51727">
      <w:pPr>
        <w:pStyle w:val="MediumGrid1-Accent21"/>
        <w:numPr>
          <w:ilvl w:val="0"/>
          <w:numId w:val="29"/>
        </w:numPr>
      </w:pPr>
      <w:r w:rsidRPr="00522777">
        <w:t>Council District – 3</w:t>
      </w:r>
    </w:p>
    <w:p w14:paraId="50C0CC17" w14:textId="77777777" w:rsidR="00E51727" w:rsidRPr="00522777" w:rsidRDefault="00E51727" w:rsidP="00E51727">
      <w:pPr>
        <w:pStyle w:val="MediumGrid1-Accent21"/>
        <w:numPr>
          <w:ilvl w:val="0"/>
          <w:numId w:val="29"/>
        </w:numPr>
      </w:pPr>
      <w:r w:rsidRPr="00522777">
        <w:t>Council Member – Speaker</w:t>
      </w:r>
    </w:p>
    <w:p w14:paraId="0F6280A0" w14:textId="77777777" w:rsidR="00E51727" w:rsidRPr="00522777" w:rsidRDefault="00E51727" w:rsidP="00E51727">
      <w:pPr>
        <w:pStyle w:val="MediumGrid1-Accent21"/>
        <w:numPr>
          <w:ilvl w:val="0"/>
          <w:numId w:val="29"/>
        </w:numPr>
      </w:pPr>
      <w:r w:rsidRPr="00522777">
        <w:t>Council Member approval – Yes</w:t>
      </w:r>
    </w:p>
    <w:p w14:paraId="50ED2DAD" w14:textId="77777777" w:rsidR="00E51727" w:rsidRPr="00522777" w:rsidRDefault="00E51727" w:rsidP="00E51727">
      <w:pPr>
        <w:pStyle w:val="MediumGrid1-Accent21"/>
        <w:numPr>
          <w:ilvl w:val="0"/>
          <w:numId w:val="29"/>
        </w:numPr>
      </w:pPr>
      <w:r w:rsidRPr="00522777">
        <w:t>Number of buildings – 7</w:t>
      </w:r>
    </w:p>
    <w:p w14:paraId="35FE1E7D" w14:textId="77777777" w:rsidR="00E51727" w:rsidRPr="00522777" w:rsidRDefault="00E51727" w:rsidP="00E51727">
      <w:pPr>
        <w:pStyle w:val="MediumGrid1-Accent21"/>
        <w:numPr>
          <w:ilvl w:val="0"/>
          <w:numId w:val="29"/>
        </w:numPr>
      </w:pPr>
      <w:r w:rsidRPr="00522777">
        <w:t>Number of units –54</w:t>
      </w:r>
    </w:p>
    <w:p w14:paraId="70E476AD" w14:textId="77777777" w:rsidR="00E51727" w:rsidRPr="00522777" w:rsidRDefault="00E51727" w:rsidP="00E51727">
      <w:pPr>
        <w:pStyle w:val="MediumGrid1-Accent21"/>
        <w:numPr>
          <w:ilvl w:val="0"/>
          <w:numId w:val="29"/>
        </w:numPr>
      </w:pPr>
      <w:r w:rsidRPr="00522777">
        <w:t>Type of exemption – Article XI, partial, 40 years</w:t>
      </w:r>
    </w:p>
    <w:p w14:paraId="07A9BFD1" w14:textId="77777777" w:rsidR="00E51727" w:rsidRPr="00522777" w:rsidRDefault="00E51727" w:rsidP="00E51727">
      <w:pPr>
        <w:pStyle w:val="MediumGrid1-Accent21"/>
        <w:numPr>
          <w:ilvl w:val="0"/>
          <w:numId w:val="29"/>
        </w:numPr>
      </w:pPr>
      <w:r w:rsidRPr="00522777">
        <w:t>Population – affordable Section 8 rental housing</w:t>
      </w:r>
    </w:p>
    <w:p w14:paraId="163056DF" w14:textId="77777777" w:rsidR="00E51727" w:rsidRPr="00522777" w:rsidRDefault="00E51727" w:rsidP="00E51727">
      <w:pPr>
        <w:pStyle w:val="MediumGrid1-Accent21"/>
        <w:numPr>
          <w:ilvl w:val="0"/>
          <w:numId w:val="29"/>
        </w:numPr>
      </w:pPr>
      <w:r w:rsidRPr="00522777">
        <w:t>Sponsor – 414 West 48th Owner LLC, HP W48 HDFC</w:t>
      </w:r>
      <w:r>
        <w:t xml:space="preserve">, </w:t>
      </w:r>
      <w:r w:rsidRPr="00522777">
        <w:t>Fairstead</w:t>
      </w:r>
    </w:p>
    <w:p w14:paraId="5781675A" w14:textId="77777777" w:rsidR="00E51727" w:rsidRPr="00522777" w:rsidRDefault="00E51727" w:rsidP="00E51727">
      <w:pPr>
        <w:pStyle w:val="MediumGrid1-Accent21"/>
        <w:numPr>
          <w:ilvl w:val="0"/>
          <w:numId w:val="29"/>
        </w:numPr>
      </w:pPr>
      <w:r w:rsidRPr="00522777">
        <w:t>Purpose – preservation</w:t>
      </w:r>
    </w:p>
    <w:p w14:paraId="1A66C655" w14:textId="745152AD" w:rsidR="00E51727" w:rsidRPr="00522777" w:rsidRDefault="00E51727" w:rsidP="00E51727">
      <w:pPr>
        <w:pStyle w:val="MediumGrid1-Accent21"/>
        <w:numPr>
          <w:ilvl w:val="0"/>
          <w:numId w:val="29"/>
        </w:numPr>
      </w:pPr>
      <w:r w:rsidRPr="00522777">
        <w:lastRenderedPageBreak/>
        <w:t>Cost to the City</w:t>
      </w:r>
      <w:r w:rsidR="003D7562">
        <w:t xml:space="preserve"> – </w:t>
      </w:r>
      <w:r w:rsidRPr="00522777">
        <w:t>$3</w:t>
      </w:r>
      <w:r w:rsidR="00D547D8">
        <w:t>.2 million</w:t>
      </w:r>
    </w:p>
    <w:p w14:paraId="73D36E29" w14:textId="77777777" w:rsidR="00E51727" w:rsidRPr="00522777" w:rsidRDefault="00E51727" w:rsidP="00E51727">
      <w:pPr>
        <w:pStyle w:val="MediumGrid1-Accent21"/>
        <w:numPr>
          <w:ilvl w:val="0"/>
          <w:numId w:val="29"/>
        </w:numPr>
      </w:pPr>
      <w:r w:rsidRPr="00522777">
        <w:t>Housing Code Violations</w:t>
      </w:r>
    </w:p>
    <w:p w14:paraId="11361F72" w14:textId="77777777" w:rsidR="00E51727" w:rsidRPr="00522777" w:rsidRDefault="00E51727" w:rsidP="00E51727">
      <w:pPr>
        <w:pStyle w:val="MediumGrid1-Accent21"/>
        <w:numPr>
          <w:ilvl w:val="1"/>
          <w:numId w:val="29"/>
        </w:numPr>
      </w:pPr>
      <w:r w:rsidRPr="00522777">
        <w:t>Class A – 7</w:t>
      </w:r>
    </w:p>
    <w:p w14:paraId="64611853" w14:textId="77777777" w:rsidR="00E51727" w:rsidRPr="00522777" w:rsidRDefault="00E51727" w:rsidP="00E51727">
      <w:pPr>
        <w:pStyle w:val="MediumGrid1-Accent21"/>
        <w:numPr>
          <w:ilvl w:val="1"/>
          <w:numId w:val="29"/>
        </w:numPr>
      </w:pPr>
      <w:r w:rsidRPr="00522777">
        <w:t>Class B – 26</w:t>
      </w:r>
    </w:p>
    <w:p w14:paraId="2092E0BE" w14:textId="467D10D1" w:rsidR="00E51727" w:rsidRPr="00522777" w:rsidRDefault="00E51727" w:rsidP="00110ADB">
      <w:pPr>
        <w:pStyle w:val="MediumGrid1-Accent21"/>
        <w:numPr>
          <w:ilvl w:val="0"/>
          <w:numId w:val="29"/>
        </w:numPr>
      </w:pPr>
      <w:r w:rsidRPr="00522777">
        <w:t>AMI targets – 50% of AMI</w:t>
      </w:r>
    </w:p>
    <w:p w14:paraId="3DC498CA" w14:textId="77777777" w:rsidR="00E51727" w:rsidRPr="00522777" w:rsidRDefault="00E51727" w:rsidP="00E51727">
      <w:pPr>
        <w:pStyle w:val="MediumGrid1-Accent21"/>
      </w:pPr>
    </w:p>
    <w:p w14:paraId="3A2646F7" w14:textId="77777777" w:rsidR="00E51727" w:rsidRPr="00522777" w:rsidRDefault="00E51727" w:rsidP="00E51727">
      <w:pPr>
        <w:rPr>
          <w:b/>
          <w:u w:val="single"/>
        </w:rPr>
      </w:pPr>
      <w:r w:rsidRPr="00522777">
        <w:rPr>
          <w:b/>
          <w:u w:val="single"/>
        </w:rPr>
        <w:t>Item 2: Fairstead-53rd Street</w:t>
      </w:r>
    </w:p>
    <w:p w14:paraId="697D3371" w14:textId="77777777" w:rsidR="00E51727" w:rsidRPr="00522777" w:rsidRDefault="00E51727" w:rsidP="00E51727">
      <w:pPr>
        <w:jc w:val="both"/>
      </w:pPr>
    </w:p>
    <w:p w14:paraId="032B5B5C" w14:textId="5223F25B" w:rsidR="00E51727" w:rsidRPr="00522777" w:rsidRDefault="00E51727" w:rsidP="00E51727">
      <w:pPr>
        <w:jc w:val="both"/>
      </w:pPr>
      <w:r w:rsidRPr="00522777">
        <w:t xml:space="preserve">The Fairstead-53rd Street project is comprised of 51 units in two buildings on a single tax lot at 238-336 West 53rd Street in Manhattan. It consists of eight one-bedroom apartments, </w:t>
      </w:r>
      <w:r>
        <w:t xml:space="preserve">21 </w:t>
      </w:r>
      <w:r w:rsidRPr="00522777">
        <w:t>two-bedroom apartments</w:t>
      </w:r>
      <w:r>
        <w:t xml:space="preserve"> (inclusive of one superintendent unit) and </w:t>
      </w:r>
      <w:r w:rsidRPr="00522777">
        <w:t>12 three-bedroom apartments.</w:t>
      </w:r>
    </w:p>
    <w:p w14:paraId="315C7BB7" w14:textId="77777777" w:rsidR="00E51727" w:rsidRPr="00522777" w:rsidRDefault="00E51727" w:rsidP="00E51727">
      <w:pPr>
        <w:jc w:val="both"/>
      </w:pPr>
    </w:p>
    <w:p w14:paraId="4402E42A" w14:textId="77777777" w:rsidR="00E51727" w:rsidRPr="00522777" w:rsidRDefault="00E51727" w:rsidP="00E51727">
      <w:pPr>
        <w:jc w:val="both"/>
      </w:pPr>
      <w:r w:rsidRPr="00522777">
        <w:t>In 1978, the City conveyed the property to 328-36 West 53rd Street Redevelopment Company, L.P. (Owner), an Article V redevelopment company, and approved a Shelter Rent tax exemption that will expire in 2020. The property is also under a HAP Section 8 contract, under which tenants pay only 30% of their income in rent and HUD makes payments to the landlord.</w:t>
      </w:r>
    </w:p>
    <w:p w14:paraId="3DF7F114" w14:textId="77777777" w:rsidR="00E51727" w:rsidRPr="00522777" w:rsidRDefault="00E51727" w:rsidP="00E51727">
      <w:pPr>
        <w:jc w:val="both"/>
      </w:pPr>
    </w:p>
    <w:p w14:paraId="6BE87397" w14:textId="0B809FB2" w:rsidR="00E51727" w:rsidRPr="00522777" w:rsidRDefault="00E51727" w:rsidP="00E51727">
      <w:pPr>
        <w:jc w:val="both"/>
      </w:pPr>
      <w:r>
        <w:t xml:space="preserve">HPD </w:t>
      </w:r>
      <w:r w:rsidRPr="00522777">
        <w:t>is requesting that the Council approve</w:t>
      </w:r>
      <w:r w:rsidR="004F3A5F" w:rsidRPr="004F3A5F">
        <w:t xml:space="preserve"> </w:t>
      </w:r>
      <w:r w:rsidR="004F3A5F">
        <w:t xml:space="preserve">the dissolution of the Article V, the termination of the Article V property tax exemption, and </w:t>
      </w:r>
      <w:r w:rsidR="00D547D8">
        <w:t xml:space="preserve">the grant of </w:t>
      </w:r>
      <w:r w:rsidRPr="00522777">
        <w:t>a 40-year partial Article XI property tax exemption, with annual taxes of $219,960 plus 25% of any appreciation in the HUD-authorized rent roll. HP W53 HDFC would acquire the exemption area and 382 West 53</w:t>
      </w:r>
      <w:r w:rsidRPr="00522777">
        <w:rPr>
          <w:vertAlign w:val="superscript"/>
        </w:rPr>
        <w:t>rd</w:t>
      </w:r>
      <w:r w:rsidRPr="00522777">
        <w:t xml:space="preserve"> Owner LLC (LLC) will be the beneficial owner and operate the exemption area. HPD, HDFC and LLC would enter into a 40-year regulatory agreement that will require that the units be leased only to households with incomes of 50% of the AMI. </w:t>
      </w:r>
    </w:p>
    <w:p w14:paraId="4FA75433" w14:textId="77777777" w:rsidR="00E51727" w:rsidRPr="00522777" w:rsidRDefault="00E51727" w:rsidP="00E51727">
      <w:pPr>
        <w:jc w:val="both"/>
      </w:pPr>
    </w:p>
    <w:p w14:paraId="61561B8A" w14:textId="77777777" w:rsidR="00E51727" w:rsidRPr="00522777" w:rsidRDefault="00E51727" w:rsidP="00E51727">
      <w:pPr>
        <w:rPr>
          <w:u w:val="single"/>
        </w:rPr>
      </w:pPr>
      <w:r w:rsidRPr="00522777">
        <w:rPr>
          <w:u w:val="single"/>
        </w:rPr>
        <w:t>Summary:</w:t>
      </w:r>
    </w:p>
    <w:p w14:paraId="3F6B765E" w14:textId="77777777" w:rsidR="00E51727" w:rsidRPr="00522777" w:rsidRDefault="00E51727" w:rsidP="00E51727">
      <w:pPr>
        <w:pStyle w:val="MediumGrid1-Accent21"/>
        <w:numPr>
          <w:ilvl w:val="0"/>
          <w:numId w:val="29"/>
        </w:numPr>
      </w:pPr>
      <w:r w:rsidRPr="00522777">
        <w:t>Borough – Manhattan</w:t>
      </w:r>
    </w:p>
    <w:p w14:paraId="18A8C9F2" w14:textId="77777777" w:rsidR="00E51727" w:rsidRPr="00522777" w:rsidRDefault="00E51727" w:rsidP="00E51727">
      <w:pPr>
        <w:pStyle w:val="MediumGrid1-Accent21"/>
        <w:numPr>
          <w:ilvl w:val="0"/>
          <w:numId w:val="29"/>
        </w:numPr>
      </w:pPr>
      <w:r w:rsidRPr="00522777">
        <w:t>Block 1043, Lot 46</w:t>
      </w:r>
    </w:p>
    <w:p w14:paraId="1E57FB91" w14:textId="77777777" w:rsidR="00E51727" w:rsidRPr="00522777" w:rsidRDefault="00E51727" w:rsidP="00E51727">
      <w:pPr>
        <w:pStyle w:val="MediumGrid1-Accent21"/>
        <w:numPr>
          <w:ilvl w:val="0"/>
          <w:numId w:val="29"/>
        </w:numPr>
      </w:pPr>
      <w:r w:rsidRPr="00522777">
        <w:t>Council District – 3</w:t>
      </w:r>
    </w:p>
    <w:p w14:paraId="305ABB6D" w14:textId="77777777" w:rsidR="00E51727" w:rsidRPr="00522777" w:rsidRDefault="00E51727" w:rsidP="00E51727">
      <w:pPr>
        <w:pStyle w:val="MediumGrid1-Accent21"/>
        <w:numPr>
          <w:ilvl w:val="0"/>
          <w:numId w:val="29"/>
        </w:numPr>
      </w:pPr>
      <w:r w:rsidRPr="00522777">
        <w:t>Council Member – Speaker</w:t>
      </w:r>
    </w:p>
    <w:p w14:paraId="23D4FE98" w14:textId="77777777" w:rsidR="00E51727" w:rsidRPr="00522777" w:rsidRDefault="00E51727" w:rsidP="00E51727">
      <w:pPr>
        <w:pStyle w:val="MediumGrid1-Accent21"/>
        <w:numPr>
          <w:ilvl w:val="0"/>
          <w:numId w:val="29"/>
        </w:numPr>
      </w:pPr>
      <w:r w:rsidRPr="00522777">
        <w:t>Council Member approval – Yes</w:t>
      </w:r>
    </w:p>
    <w:p w14:paraId="3D37D753" w14:textId="77777777" w:rsidR="00E51727" w:rsidRPr="00522777" w:rsidRDefault="00E51727" w:rsidP="00E51727">
      <w:pPr>
        <w:pStyle w:val="MediumGrid1-Accent21"/>
        <w:numPr>
          <w:ilvl w:val="0"/>
          <w:numId w:val="29"/>
        </w:numPr>
      </w:pPr>
      <w:r w:rsidRPr="00522777">
        <w:t>Number of buildings – 2</w:t>
      </w:r>
    </w:p>
    <w:p w14:paraId="224C5748" w14:textId="77777777" w:rsidR="00E51727" w:rsidRPr="00522777" w:rsidRDefault="00E51727" w:rsidP="00E51727">
      <w:pPr>
        <w:pStyle w:val="MediumGrid1-Accent21"/>
        <w:numPr>
          <w:ilvl w:val="0"/>
          <w:numId w:val="29"/>
        </w:numPr>
      </w:pPr>
      <w:r w:rsidRPr="00522777">
        <w:t>Number of units –51</w:t>
      </w:r>
    </w:p>
    <w:p w14:paraId="65BD2D9C" w14:textId="77777777" w:rsidR="00E51727" w:rsidRPr="00522777" w:rsidRDefault="00E51727" w:rsidP="00E51727">
      <w:pPr>
        <w:pStyle w:val="MediumGrid1-Accent21"/>
        <w:numPr>
          <w:ilvl w:val="0"/>
          <w:numId w:val="29"/>
        </w:numPr>
      </w:pPr>
      <w:r w:rsidRPr="00522777">
        <w:t>Type of exemption – Article XI, partial, 40 years</w:t>
      </w:r>
    </w:p>
    <w:p w14:paraId="258BAC50" w14:textId="77777777" w:rsidR="00E51727" w:rsidRPr="00522777" w:rsidRDefault="00E51727" w:rsidP="00E51727">
      <w:pPr>
        <w:pStyle w:val="MediumGrid1-Accent21"/>
        <w:numPr>
          <w:ilvl w:val="0"/>
          <w:numId w:val="29"/>
        </w:numPr>
      </w:pPr>
      <w:r w:rsidRPr="00522777">
        <w:t>Population – affordable Section 8 rental housing</w:t>
      </w:r>
    </w:p>
    <w:p w14:paraId="7A5E4F74" w14:textId="77777777" w:rsidR="00E51727" w:rsidRPr="00522777" w:rsidRDefault="00E51727" w:rsidP="00E51727">
      <w:pPr>
        <w:pStyle w:val="MediumGrid1-Accent21"/>
        <w:numPr>
          <w:ilvl w:val="0"/>
          <w:numId w:val="29"/>
        </w:numPr>
      </w:pPr>
      <w:r w:rsidRPr="00522777">
        <w:t xml:space="preserve">Sponsor – 328 West 53rd Owner LLC, HP </w:t>
      </w:r>
      <w:r>
        <w:t>W53</w:t>
      </w:r>
      <w:r w:rsidRPr="00522777">
        <w:t xml:space="preserve"> HDFC</w:t>
      </w:r>
      <w:r>
        <w:t xml:space="preserve">, </w:t>
      </w:r>
      <w:r w:rsidRPr="00522777">
        <w:t>Fairstead</w:t>
      </w:r>
    </w:p>
    <w:p w14:paraId="0F1AFF8B" w14:textId="77777777" w:rsidR="00E51727" w:rsidRPr="00522777" w:rsidRDefault="00E51727" w:rsidP="00E51727">
      <w:pPr>
        <w:pStyle w:val="MediumGrid1-Accent21"/>
        <w:numPr>
          <w:ilvl w:val="0"/>
          <w:numId w:val="29"/>
        </w:numPr>
      </w:pPr>
      <w:r w:rsidRPr="00522777">
        <w:t>Purpose – preservation</w:t>
      </w:r>
    </w:p>
    <w:p w14:paraId="19CA2847" w14:textId="607B3977" w:rsidR="00E51727" w:rsidRPr="00522777" w:rsidRDefault="00E51727" w:rsidP="00E51727">
      <w:pPr>
        <w:pStyle w:val="MediumGrid1-Accent21"/>
        <w:numPr>
          <w:ilvl w:val="0"/>
          <w:numId w:val="29"/>
        </w:numPr>
      </w:pPr>
      <w:r w:rsidRPr="00522777">
        <w:t>Cost to the City</w:t>
      </w:r>
      <w:r w:rsidR="003D7562">
        <w:t xml:space="preserve"> – </w:t>
      </w:r>
      <w:r w:rsidRPr="00522777">
        <w:t>$</w:t>
      </w:r>
      <w:r>
        <w:t>2</w:t>
      </w:r>
      <w:r w:rsidR="00D547D8">
        <w:t>.5 million</w:t>
      </w:r>
    </w:p>
    <w:p w14:paraId="7B77E8C8" w14:textId="77777777" w:rsidR="00E51727" w:rsidRPr="00522777" w:rsidRDefault="00E51727" w:rsidP="00E51727">
      <w:pPr>
        <w:pStyle w:val="MediumGrid1-Accent21"/>
        <w:numPr>
          <w:ilvl w:val="0"/>
          <w:numId w:val="29"/>
        </w:numPr>
      </w:pPr>
      <w:r w:rsidRPr="00522777">
        <w:t>Housing Code Violations</w:t>
      </w:r>
    </w:p>
    <w:p w14:paraId="422A3B50" w14:textId="77777777" w:rsidR="00E51727" w:rsidRPr="00522777" w:rsidRDefault="00E51727" w:rsidP="00E51727">
      <w:pPr>
        <w:pStyle w:val="MediumGrid1-Accent21"/>
        <w:numPr>
          <w:ilvl w:val="1"/>
          <w:numId w:val="29"/>
        </w:numPr>
      </w:pPr>
      <w:r w:rsidRPr="00522777">
        <w:t xml:space="preserve">Class A – </w:t>
      </w:r>
      <w:r>
        <w:t>4</w:t>
      </w:r>
    </w:p>
    <w:p w14:paraId="6932533D" w14:textId="77777777" w:rsidR="00E51727" w:rsidRDefault="00E51727" w:rsidP="00E51727">
      <w:pPr>
        <w:pStyle w:val="MediumGrid1-Accent21"/>
        <w:numPr>
          <w:ilvl w:val="1"/>
          <w:numId w:val="29"/>
        </w:numPr>
      </w:pPr>
      <w:r w:rsidRPr="00522777">
        <w:t>Class B – 2</w:t>
      </w:r>
    </w:p>
    <w:p w14:paraId="4AB02992" w14:textId="77777777" w:rsidR="00E51727" w:rsidRPr="00522777" w:rsidRDefault="00E51727" w:rsidP="00E51727">
      <w:pPr>
        <w:pStyle w:val="MediumGrid1-Accent21"/>
        <w:numPr>
          <w:ilvl w:val="1"/>
          <w:numId w:val="29"/>
        </w:numPr>
      </w:pPr>
      <w:r>
        <w:t>Class C – 2</w:t>
      </w:r>
    </w:p>
    <w:p w14:paraId="6739D534" w14:textId="698A67CD" w:rsidR="00E51727" w:rsidRDefault="00E51727" w:rsidP="00110ADB">
      <w:pPr>
        <w:pStyle w:val="MediumGrid1-Accent21"/>
        <w:numPr>
          <w:ilvl w:val="0"/>
          <w:numId w:val="29"/>
        </w:numPr>
      </w:pPr>
      <w:r w:rsidRPr="00522777">
        <w:t>AMI targets – 50% of AMI</w:t>
      </w:r>
    </w:p>
    <w:p w14:paraId="40A2D40C" w14:textId="30A0DEF7" w:rsidR="00D547D8" w:rsidRDefault="00D547D8" w:rsidP="00110ADB">
      <w:pPr>
        <w:pStyle w:val="MediumGrid1-Accent21"/>
      </w:pPr>
    </w:p>
    <w:p w14:paraId="26966C58" w14:textId="77777777" w:rsidR="00D547D8" w:rsidRPr="00522777" w:rsidRDefault="00D547D8" w:rsidP="00110ADB">
      <w:pPr>
        <w:pStyle w:val="MediumGrid1-Accent21"/>
      </w:pPr>
    </w:p>
    <w:p w14:paraId="2D58D535" w14:textId="77777777" w:rsidR="00E51727" w:rsidRPr="00522777" w:rsidRDefault="00E51727" w:rsidP="00E51727">
      <w:pPr>
        <w:rPr>
          <w:b/>
          <w:u w:val="single"/>
        </w:rPr>
      </w:pPr>
      <w:r w:rsidRPr="00522777">
        <w:rPr>
          <w:b/>
          <w:u w:val="single"/>
        </w:rPr>
        <w:lastRenderedPageBreak/>
        <w:t xml:space="preserve">Item </w:t>
      </w:r>
      <w:r>
        <w:rPr>
          <w:b/>
          <w:u w:val="single"/>
        </w:rPr>
        <w:t>3</w:t>
      </w:r>
      <w:r w:rsidRPr="00522777">
        <w:rPr>
          <w:b/>
          <w:u w:val="single"/>
        </w:rPr>
        <w:t xml:space="preserve">: </w:t>
      </w:r>
      <w:r>
        <w:rPr>
          <w:b/>
          <w:u w:val="single"/>
        </w:rPr>
        <w:t>Jennings Terrace Gardens</w:t>
      </w:r>
    </w:p>
    <w:p w14:paraId="43F8274C" w14:textId="77777777" w:rsidR="00E51727" w:rsidRDefault="00E51727" w:rsidP="00E51727">
      <w:pPr>
        <w:jc w:val="both"/>
      </w:pPr>
    </w:p>
    <w:p w14:paraId="22086EAB" w14:textId="4A3D9ABA" w:rsidR="00E51727" w:rsidRDefault="00E51727" w:rsidP="00E51727">
      <w:pPr>
        <w:jc w:val="both"/>
      </w:pPr>
      <w:r>
        <w:t xml:space="preserve">The Jennings Terrace Gardens project is </w:t>
      </w:r>
      <w:r w:rsidRPr="00522777">
        <w:t xml:space="preserve">comprised of </w:t>
      </w:r>
      <w:r>
        <w:t xml:space="preserve">41 </w:t>
      </w:r>
      <w:r w:rsidR="00D547D8">
        <w:t xml:space="preserve">cooperative </w:t>
      </w:r>
      <w:r w:rsidRPr="00522777">
        <w:t xml:space="preserve">units in </w:t>
      </w:r>
      <w:r>
        <w:t xml:space="preserve">three </w:t>
      </w:r>
      <w:r w:rsidRPr="00522777">
        <w:t xml:space="preserve">buildings </w:t>
      </w:r>
      <w:r>
        <w:t xml:space="preserve">at 749, 759, and 763 Jennings Street in the Bronx. It consists of five one-bedroom apartments, </w:t>
      </w:r>
      <w:r w:rsidRPr="0056688F">
        <w:t xml:space="preserve">24 two-bedroom </w:t>
      </w:r>
      <w:r>
        <w:t>apartments</w:t>
      </w:r>
      <w:r w:rsidRPr="0056688F">
        <w:t xml:space="preserve">, 12 three-bedroom </w:t>
      </w:r>
      <w:r>
        <w:t xml:space="preserve">apartments, and one </w:t>
      </w:r>
      <w:r w:rsidRPr="0056688F">
        <w:t>community room</w:t>
      </w:r>
      <w:r>
        <w:t>.</w:t>
      </w:r>
    </w:p>
    <w:p w14:paraId="388A6AB7" w14:textId="77777777" w:rsidR="00E51727" w:rsidRDefault="00E51727" w:rsidP="00E51727">
      <w:pPr>
        <w:jc w:val="both"/>
      </w:pPr>
    </w:p>
    <w:p w14:paraId="312CCB18" w14:textId="13EAECCD" w:rsidR="00E51727" w:rsidRDefault="00E51727" w:rsidP="00E51727">
      <w:pPr>
        <w:jc w:val="both"/>
      </w:pPr>
      <w:r>
        <w:t>The buildings were built in 1904. From 1993 to 2008 they were owned by the New York City Housing Authority (NYCHA) and were operated as scatted-site public housing. Since 2008 they</w:t>
      </w:r>
      <w:r w:rsidR="00D547D8">
        <w:t xml:space="preserve"> ha</w:t>
      </w:r>
      <w:r>
        <w:t xml:space="preserve">ve been owned by </w:t>
      </w:r>
      <w:r w:rsidRPr="0056688F">
        <w:t>Jennings Terrace Gardens</w:t>
      </w:r>
      <w:r>
        <w:t xml:space="preserve"> HDFC and have been operated under a regulatory agreement between the HDFC and NYCHA that expires in 2028. </w:t>
      </w:r>
      <w:r w:rsidR="00D547D8">
        <w:t>T</w:t>
      </w:r>
      <w:r>
        <w:t xml:space="preserve">wo of the three buildings benefit from </w:t>
      </w:r>
      <w:r w:rsidRPr="002B52CF">
        <w:t xml:space="preserve">Division of Alternative Management </w:t>
      </w:r>
      <w:r>
        <w:t xml:space="preserve">(DAMP) property tax exemptions that began in 1989 and which are set to expire in 2029. </w:t>
      </w:r>
      <w:r w:rsidRPr="0056688F">
        <w:t xml:space="preserve">The HDFC is </w:t>
      </w:r>
      <w:r>
        <w:t xml:space="preserve">now </w:t>
      </w:r>
      <w:r w:rsidRPr="0056688F">
        <w:t>seeking to finance moderate rehabilitation to the three buildings</w:t>
      </w:r>
      <w:r>
        <w:t xml:space="preserve">, including </w:t>
      </w:r>
      <w:r w:rsidRPr="002B52CF">
        <w:t xml:space="preserve">roof replacement, window replacement, façade improvements, and energy and water efficiency measures, </w:t>
      </w:r>
      <w:r w:rsidRPr="0056688F">
        <w:t xml:space="preserve">through </w:t>
      </w:r>
      <w:r>
        <w:t xml:space="preserve">HPD’s </w:t>
      </w:r>
      <w:r w:rsidRPr="0056688F">
        <w:t>Green Housing Preservation Program (GHPP)</w:t>
      </w:r>
      <w:r>
        <w:t xml:space="preserve">. </w:t>
      </w:r>
    </w:p>
    <w:p w14:paraId="1E781EAE" w14:textId="77777777" w:rsidR="00E51727" w:rsidRDefault="00E51727" w:rsidP="00E51727">
      <w:pPr>
        <w:jc w:val="both"/>
      </w:pPr>
    </w:p>
    <w:p w14:paraId="013DAD37" w14:textId="77777777" w:rsidR="00E51727" w:rsidRDefault="00E51727" w:rsidP="00E51727">
      <w:pPr>
        <w:jc w:val="both"/>
      </w:pPr>
      <w:r>
        <w:t xml:space="preserve">HPD </w:t>
      </w:r>
      <w:r w:rsidRPr="00522777">
        <w:t xml:space="preserve">is requesting that the Council approve a </w:t>
      </w:r>
      <w:r>
        <w:t>32</w:t>
      </w:r>
      <w:r w:rsidRPr="00522777">
        <w:t xml:space="preserve">-year </w:t>
      </w:r>
      <w:r>
        <w:t xml:space="preserve">full </w:t>
      </w:r>
      <w:r w:rsidRPr="00522777">
        <w:t>Article XI property tax exemption.</w:t>
      </w:r>
      <w:r>
        <w:t xml:space="preserve"> The DAMP exemptions would expire. Incomes would continue to be capped at 80% AMI, and upon conversion maximum resale prices would be set at </w:t>
      </w:r>
      <w:r w:rsidRPr="0004094B">
        <w:t>$21,296</w:t>
      </w:r>
      <w:r>
        <w:t xml:space="preserve"> for one-bedroom apartments. </w:t>
      </w:r>
      <w:r w:rsidRPr="0004094B">
        <w:t>$27,478</w:t>
      </w:r>
      <w:r>
        <w:t xml:space="preserve"> for two-bedroom apartments, and $32,974 for two-bedroom apartments.</w:t>
      </w:r>
    </w:p>
    <w:p w14:paraId="362ACCB4" w14:textId="77777777" w:rsidR="00E51727" w:rsidRDefault="00E51727" w:rsidP="00E51727">
      <w:pPr>
        <w:jc w:val="both"/>
      </w:pPr>
      <w:r>
        <w:t xml:space="preserve">  </w:t>
      </w:r>
    </w:p>
    <w:p w14:paraId="22FBF84D" w14:textId="77777777" w:rsidR="00E51727" w:rsidRPr="00522777" w:rsidRDefault="00E51727" w:rsidP="00E51727">
      <w:pPr>
        <w:rPr>
          <w:u w:val="single"/>
        </w:rPr>
      </w:pPr>
      <w:r w:rsidRPr="00522777">
        <w:rPr>
          <w:u w:val="single"/>
        </w:rPr>
        <w:t>Summary:</w:t>
      </w:r>
    </w:p>
    <w:p w14:paraId="377157EC" w14:textId="77777777" w:rsidR="00E51727" w:rsidRPr="00522777" w:rsidRDefault="00E51727" w:rsidP="00E51727">
      <w:pPr>
        <w:pStyle w:val="MediumGrid1-Accent21"/>
        <w:numPr>
          <w:ilvl w:val="0"/>
          <w:numId w:val="29"/>
        </w:numPr>
      </w:pPr>
      <w:r w:rsidRPr="00522777">
        <w:t xml:space="preserve">Borough – </w:t>
      </w:r>
      <w:r>
        <w:t>Bronx</w:t>
      </w:r>
    </w:p>
    <w:p w14:paraId="1246CA2F" w14:textId="77777777" w:rsidR="00E51727" w:rsidRPr="00522777" w:rsidRDefault="00E51727" w:rsidP="00E51727">
      <w:pPr>
        <w:pStyle w:val="MediumGrid1-Accent21"/>
        <w:numPr>
          <w:ilvl w:val="0"/>
          <w:numId w:val="29"/>
        </w:numPr>
      </w:pPr>
      <w:r w:rsidRPr="00522777">
        <w:t xml:space="preserve">Block </w:t>
      </w:r>
      <w:r w:rsidRPr="0004094B">
        <w:t>2962</w:t>
      </w:r>
      <w:r w:rsidRPr="00522777">
        <w:t>, Lot</w:t>
      </w:r>
      <w:r>
        <w:t>s</w:t>
      </w:r>
      <w:r w:rsidRPr="00522777">
        <w:t xml:space="preserve"> </w:t>
      </w:r>
      <w:r>
        <w:t>52, 54, and 60</w:t>
      </w:r>
    </w:p>
    <w:p w14:paraId="40C7318F" w14:textId="77777777" w:rsidR="00E51727" w:rsidRPr="00522777" w:rsidRDefault="00E51727" w:rsidP="00E51727">
      <w:pPr>
        <w:pStyle w:val="MediumGrid1-Accent21"/>
        <w:numPr>
          <w:ilvl w:val="0"/>
          <w:numId w:val="29"/>
        </w:numPr>
      </w:pPr>
      <w:r w:rsidRPr="00522777">
        <w:t xml:space="preserve">Council District – </w:t>
      </w:r>
      <w:r>
        <w:t>16</w:t>
      </w:r>
    </w:p>
    <w:p w14:paraId="34C5158A" w14:textId="77777777" w:rsidR="00E51727" w:rsidRPr="00522777" w:rsidRDefault="00E51727" w:rsidP="00E51727">
      <w:pPr>
        <w:pStyle w:val="MediumGrid1-Accent21"/>
        <w:numPr>
          <w:ilvl w:val="0"/>
          <w:numId w:val="29"/>
        </w:numPr>
      </w:pPr>
      <w:r w:rsidRPr="00522777">
        <w:t xml:space="preserve">Council Member – </w:t>
      </w:r>
      <w:r>
        <w:t>Gibson</w:t>
      </w:r>
    </w:p>
    <w:p w14:paraId="07D819C4" w14:textId="77777777" w:rsidR="00E51727" w:rsidRPr="00714CBF" w:rsidRDefault="00E51727" w:rsidP="00E51727">
      <w:pPr>
        <w:pStyle w:val="MediumGrid1-Accent21"/>
        <w:numPr>
          <w:ilvl w:val="0"/>
          <w:numId w:val="29"/>
        </w:numPr>
      </w:pPr>
      <w:r w:rsidRPr="00522777">
        <w:t>Council Member approval – Yes</w:t>
      </w:r>
    </w:p>
    <w:p w14:paraId="08612463" w14:textId="77777777" w:rsidR="00E51727" w:rsidRPr="00714CBF" w:rsidRDefault="00E51727" w:rsidP="00E51727">
      <w:pPr>
        <w:pStyle w:val="MediumGrid1-Accent21"/>
        <w:numPr>
          <w:ilvl w:val="0"/>
          <w:numId w:val="29"/>
        </w:numPr>
      </w:pPr>
      <w:r w:rsidRPr="00714CBF">
        <w:t>Number of buildings – 3</w:t>
      </w:r>
    </w:p>
    <w:p w14:paraId="11BD9594" w14:textId="77777777" w:rsidR="00E51727" w:rsidRPr="00714CBF" w:rsidRDefault="00E51727" w:rsidP="00E51727">
      <w:pPr>
        <w:pStyle w:val="MediumGrid1-Accent21"/>
        <w:numPr>
          <w:ilvl w:val="0"/>
          <w:numId w:val="29"/>
        </w:numPr>
      </w:pPr>
      <w:r w:rsidRPr="00714CBF">
        <w:t>Number of units –41</w:t>
      </w:r>
    </w:p>
    <w:p w14:paraId="311FF74E" w14:textId="77777777" w:rsidR="00E51727" w:rsidRPr="00714CBF" w:rsidRDefault="00E51727" w:rsidP="00E51727">
      <w:pPr>
        <w:pStyle w:val="MediumGrid1-Accent21"/>
        <w:numPr>
          <w:ilvl w:val="0"/>
          <w:numId w:val="29"/>
        </w:numPr>
      </w:pPr>
      <w:r w:rsidRPr="00714CBF">
        <w:t>Type of exemption – Article XI, full, 30 years</w:t>
      </w:r>
    </w:p>
    <w:p w14:paraId="325F2914" w14:textId="77777777" w:rsidR="00E51727" w:rsidRPr="00714CBF" w:rsidRDefault="00E51727" w:rsidP="00E51727">
      <w:pPr>
        <w:pStyle w:val="MediumGrid1-Accent21"/>
        <w:numPr>
          <w:ilvl w:val="0"/>
          <w:numId w:val="29"/>
        </w:numPr>
      </w:pPr>
      <w:r w:rsidRPr="00714CBF">
        <w:t>Population – affordably limited-equity cooperative apartments</w:t>
      </w:r>
    </w:p>
    <w:p w14:paraId="07B7B185" w14:textId="17247A18" w:rsidR="00E51727" w:rsidRPr="00714CBF" w:rsidRDefault="00E51727" w:rsidP="00E51727">
      <w:pPr>
        <w:pStyle w:val="MediumGrid1-Accent21"/>
        <w:numPr>
          <w:ilvl w:val="0"/>
          <w:numId w:val="29"/>
        </w:numPr>
      </w:pPr>
      <w:r w:rsidRPr="00714CBF">
        <w:t>Sponsor – Jennings Terrace Gardens HDFC, Midas Management NYC, and the Urban Homesteading Assistance Board (UHAB)</w:t>
      </w:r>
    </w:p>
    <w:p w14:paraId="2D21F935" w14:textId="7217993C" w:rsidR="00E51727" w:rsidRDefault="00E51727" w:rsidP="00E51727">
      <w:pPr>
        <w:pStyle w:val="MediumGrid1-Accent21"/>
        <w:numPr>
          <w:ilvl w:val="0"/>
          <w:numId w:val="29"/>
        </w:numPr>
      </w:pPr>
      <w:r w:rsidRPr="00522777">
        <w:t>Purpose – preservation</w:t>
      </w:r>
    </w:p>
    <w:p w14:paraId="0B624172" w14:textId="2BFE891E" w:rsidR="00E51727" w:rsidRPr="00522777" w:rsidRDefault="00E51727" w:rsidP="00E51727">
      <w:pPr>
        <w:pStyle w:val="MediumGrid1-Accent21"/>
        <w:numPr>
          <w:ilvl w:val="0"/>
          <w:numId w:val="29"/>
        </w:numPr>
      </w:pPr>
      <w:r w:rsidRPr="00522777">
        <w:t>Cost to the City</w:t>
      </w:r>
      <w:r w:rsidR="003D7562">
        <w:t xml:space="preserve"> – </w:t>
      </w:r>
      <w:r w:rsidRPr="00522777">
        <w:t>$</w:t>
      </w:r>
      <w:r w:rsidRPr="00714CBF">
        <w:t>1</w:t>
      </w:r>
      <w:r w:rsidR="00D547D8">
        <w:t>.</w:t>
      </w:r>
      <w:r w:rsidRPr="00714CBF">
        <w:t>8</w:t>
      </w:r>
      <w:r w:rsidR="00D547D8">
        <w:t xml:space="preserve"> million</w:t>
      </w:r>
    </w:p>
    <w:p w14:paraId="1980D3B5" w14:textId="77777777" w:rsidR="00110ADB" w:rsidRDefault="00110ADB" w:rsidP="00110ADB">
      <w:pPr>
        <w:pStyle w:val="MediumGrid1-Accent21"/>
        <w:numPr>
          <w:ilvl w:val="0"/>
          <w:numId w:val="29"/>
        </w:numPr>
      </w:pPr>
      <w:r>
        <w:t>Housing Code Violations – N/A</w:t>
      </w:r>
    </w:p>
    <w:p w14:paraId="5A2609C0" w14:textId="2CF29676" w:rsidR="00E51727" w:rsidRPr="00522777" w:rsidRDefault="00E51727" w:rsidP="00110ADB">
      <w:pPr>
        <w:pStyle w:val="MediumGrid1-Accent21"/>
        <w:numPr>
          <w:ilvl w:val="0"/>
          <w:numId w:val="29"/>
        </w:numPr>
      </w:pPr>
      <w:r w:rsidRPr="00522777">
        <w:t xml:space="preserve">AMI targets – </w:t>
      </w:r>
      <w:r>
        <w:t>80</w:t>
      </w:r>
      <w:r w:rsidRPr="00522777">
        <w:t>% of AMI</w:t>
      </w:r>
    </w:p>
    <w:p w14:paraId="1898E6E4" w14:textId="77777777" w:rsidR="00E51727" w:rsidRDefault="00E51727" w:rsidP="00E51727">
      <w:pPr>
        <w:pStyle w:val="MediumGrid1-Accent21"/>
      </w:pPr>
    </w:p>
    <w:p w14:paraId="3CDE67E2" w14:textId="77777777" w:rsidR="00E51727" w:rsidRPr="00522777" w:rsidRDefault="00E51727" w:rsidP="00E51727">
      <w:pPr>
        <w:rPr>
          <w:b/>
          <w:u w:val="single"/>
        </w:rPr>
      </w:pPr>
      <w:r w:rsidRPr="00522777">
        <w:rPr>
          <w:b/>
          <w:u w:val="single"/>
        </w:rPr>
        <w:t xml:space="preserve">Item </w:t>
      </w:r>
      <w:r>
        <w:rPr>
          <w:b/>
          <w:u w:val="single"/>
        </w:rPr>
        <w:t>4</w:t>
      </w:r>
      <w:r w:rsidRPr="00522777">
        <w:rPr>
          <w:b/>
          <w:u w:val="single"/>
        </w:rPr>
        <w:t xml:space="preserve">: </w:t>
      </w:r>
      <w:r w:rsidRPr="00930A82">
        <w:rPr>
          <w:b/>
          <w:u w:val="single"/>
        </w:rPr>
        <w:t xml:space="preserve">Walton Avenue Senior Housing </w:t>
      </w:r>
      <w:r>
        <w:rPr>
          <w:b/>
          <w:u w:val="single"/>
        </w:rPr>
        <w:t>(</w:t>
      </w:r>
      <w:r w:rsidRPr="00930A82">
        <w:rPr>
          <w:b/>
          <w:u w:val="single"/>
        </w:rPr>
        <w:t xml:space="preserve">Fannie Lou Hammer </w:t>
      </w:r>
      <w:r>
        <w:rPr>
          <w:b/>
          <w:u w:val="single"/>
        </w:rPr>
        <w:t>Apartments)</w:t>
      </w:r>
    </w:p>
    <w:p w14:paraId="3B4425A3" w14:textId="77777777" w:rsidR="00E51727" w:rsidRDefault="00E51727" w:rsidP="00E51727">
      <w:pPr>
        <w:jc w:val="both"/>
      </w:pPr>
    </w:p>
    <w:p w14:paraId="4064C491" w14:textId="77777777" w:rsidR="00E51727" w:rsidRDefault="00E51727" w:rsidP="00E51727">
      <w:pPr>
        <w:jc w:val="both"/>
      </w:pPr>
      <w:r>
        <w:t xml:space="preserve">The Walton Avenue Senior Housing project, also known as Fannie Lou Hammier Apartments, is </w:t>
      </w:r>
      <w:r w:rsidRPr="00522777">
        <w:t xml:space="preserve">comprised of </w:t>
      </w:r>
      <w:r>
        <w:t>75 units of Section 8 housing. It consists of 18 studio apartments, 56 one-bedroom apartments, and one superintendent studio apartment.</w:t>
      </w:r>
    </w:p>
    <w:p w14:paraId="74D5CD28" w14:textId="77777777" w:rsidR="00E51727" w:rsidRPr="00522777" w:rsidRDefault="00E51727" w:rsidP="00E51727">
      <w:pPr>
        <w:jc w:val="both"/>
      </w:pPr>
    </w:p>
    <w:p w14:paraId="492C799B" w14:textId="2918F24E" w:rsidR="00E51727" w:rsidRPr="00522777" w:rsidRDefault="00E51727" w:rsidP="00E51727">
      <w:pPr>
        <w:jc w:val="both"/>
      </w:pPr>
      <w:r w:rsidRPr="00522777">
        <w:t xml:space="preserve">In </w:t>
      </w:r>
      <w:r>
        <w:t>1991</w:t>
      </w:r>
      <w:r w:rsidRPr="00522777">
        <w:t xml:space="preserve">, the City conveyed the property to </w:t>
      </w:r>
      <w:r>
        <w:t xml:space="preserve">Walton Ave Senior HDFC and approved a partial tax exemption for </w:t>
      </w:r>
      <w:r w:rsidR="009B500F">
        <w:t xml:space="preserve">40 </w:t>
      </w:r>
      <w:r>
        <w:t xml:space="preserve">years which will expire when the mortgage is refinanced. </w:t>
      </w:r>
      <w:r w:rsidRPr="00522777">
        <w:t xml:space="preserve">The property is also </w:t>
      </w:r>
      <w:r w:rsidRPr="00522777">
        <w:lastRenderedPageBreak/>
        <w:t>under a HAP Section 8 contract, under which tenants pay only 30% of their income in rent and HUD makes payments to the landlord.</w:t>
      </w:r>
    </w:p>
    <w:p w14:paraId="4A4215BC" w14:textId="77777777" w:rsidR="00E51727" w:rsidRPr="00522777" w:rsidRDefault="00E51727" w:rsidP="00E51727">
      <w:pPr>
        <w:jc w:val="both"/>
      </w:pPr>
    </w:p>
    <w:p w14:paraId="6448B2BF" w14:textId="77777777" w:rsidR="00E51727" w:rsidRPr="00522777" w:rsidRDefault="00E51727" w:rsidP="00E51727">
      <w:pPr>
        <w:jc w:val="both"/>
      </w:pPr>
      <w:r>
        <w:t xml:space="preserve">So that the HDFC may refinance its mortgage with a HUD </w:t>
      </w:r>
      <w:r w:rsidRPr="00C95CAF">
        <w:t>223f loan</w:t>
      </w:r>
      <w:r>
        <w:t xml:space="preserve"> without losing its property tax benefits, HPD </w:t>
      </w:r>
      <w:r w:rsidRPr="00522777">
        <w:t>is requesting that the Council approve a 40-year partial Article XI property tax exemption</w:t>
      </w:r>
      <w:r>
        <w:t xml:space="preserve"> with taxes due equaling 10% of the gross rent. HPD and HDFC </w:t>
      </w:r>
      <w:r w:rsidRPr="00522777">
        <w:t xml:space="preserve">would enter into a 40-year regulatory agreement that will require that the units </w:t>
      </w:r>
      <w:r>
        <w:t>continue to be</w:t>
      </w:r>
      <w:r w:rsidRPr="00522777">
        <w:t xml:space="preserve"> leased only to households with incomes of 50% of the AMI</w:t>
      </w:r>
      <w:r>
        <w:t>, and the HDFC would be required to renew the</w:t>
      </w:r>
      <w:r w:rsidRPr="00522777">
        <w:t xml:space="preserve"> HAP</w:t>
      </w:r>
      <w:r>
        <w:t>.</w:t>
      </w:r>
    </w:p>
    <w:p w14:paraId="53FE4757" w14:textId="77777777" w:rsidR="00E51727" w:rsidRPr="00522777" w:rsidRDefault="00E51727" w:rsidP="00E51727">
      <w:pPr>
        <w:jc w:val="both"/>
      </w:pPr>
    </w:p>
    <w:p w14:paraId="5D03BB68" w14:textId="77777777" w:rsidR="00E51727" w:rsidRPr="00522777" w:rsidRDefault="00E51727" w:rsidP="00E51727">
      <w:pPr>
        <w:rPr>
          <w:u w:val="single"/>
        </w:rPr>
      </w:pPr>
      <w:r w:rsidRPr="00522777">
        <w:rPr>
          <w:u w:val="single"/>
        </w:rPr>
        <w:t>Summary:</w:t>
      </w:r>
    </w:p>
    <w:p w14:paraId="733966B6" w14:textId="77777777" w:rsidR="00E51727" w:rsidRPr="00522777" w:rsidRDefault="00E51727" w:rsidP="00E51727">
      <w:pPr>
        <w:pStyle w:val="MediumGrid1-Accent21"/>
        <w:numPr>
          <w:ilvl w:val="0"/>
          <w:numId w:val="29"/>
        </w:numPr>
      </w:pPr>
      <w:r w:rsidRPr="00522777">
        <w:t xml:space="preserve">Borough – </w:t>
      </w:r>
      <w:r>
        <w:t>Bronx</w:t>
      </w:r>
    </w:p>
    <w:p w14:paraId="7C263D77" w14:textId="77777777" w:rsidR="00E51727" w:rsidRPr="00522777" w:rsidRDefault="00E51727" w:rsidP="00E51727">
      <w:pPr>
        <w:pStyle w:val="MediumGrid1-Accent21"/>
        <w:numPr>
          <w:ilvl w:val="0"/>
          <w:numId w:val="29"/>
        </w:numPr>
      </w:pPr>
      <w:r w:rsidRPr="00522777">
        <w:t xml:space="preserve">Block </w:t>
      </w:r>
      <w:r>
        <w:t>2479</w:t>
      </w:r>
      <w:r w:rsidRPr="00522777">
        <w:t xml:space="preserve">, Lot </w:t>
      </w:r>
      <w:r>
        <w:t>29</w:t>
      </w:r>
    </w:p>
    <w:p w14:paraId="6210E70E" w14:textId="77777777" w:rsidR="00E51727" w:rsidRPr="00522777" w:rsidRDefault="00E51727" w:rsidP="00E51727">
      <w:pPr>
        <w:pStyle w:val="MediumGrid1-Accent21"/>
        <w:numPr>
          <w:ilvl w:val="0"/>
          <w:numId w:val="29"/>
        </w:numPr>
      </w:pPr>
      <w:r w:rsidRPr="00522777">
        <w:t xml:space="preserve">Council District – </w:t>
      </w:r>
      <w:r>
        <w:t>16</w:t>
      </w:r>
    </w:p>
    <w:p w14:paraId="3D7CE26C" w14:textId="77777777" w:rsidR="00E51727" w:rsidRPr="00522777" w:rsidRDefault="00E51727" w:rsidP="00E51727">
      <w:pPr>
        <w:pStyle w:val="MediumGrid1-Accent21"/>
        <w:numPr>
          <w:ilvl w:val="0"/>
          <w:numId w:val="29"/>
        </w:numPr>
      </w:pPr>
      <w:r w:rsidRPr="00522777">
        <w:t xml:space="preserve">Council Member – </w:t>
      </w:r>
      <w:r>
        <w:t>Gibson</w:t>
      </w:r>
    </w:p>
    <w:p w14:paraId="7B071702" w14:textId="77777777" w:rsidR="00E51727" w:rsidRPr="00522777" w:rsidRDefault="00E51727" w:rsidP="00E51727">
      <w:pPr>
        <w:pStyle w:val="MediumGrid1-Accent21"/>
        <w:numPr>
          <w:ilvl w:val="0"/>
          <w:numId w:val="29"/>
        </w:numPr>
      </w:pPr>
      <w:r w:rsidRPr="00522777">
        <w:t>Council Member approval – Yes</w:t>
      </w:r>
    </w:p>
    <w:p w14:paraId="5A0A9665" w14:textId="77777777" w:rsidR="00E51727" w:rsidRPr="00522777" w:rsidRDefault="00E51727" w:rsidP="00E51727">
      <w:pPr>
        <w:pStyle w:val="MediumGrid1-Accent21"/>
        <w:numPr>
          <w:ilvl w:val="0"/>
          <w:numId w:val="29"/>
        </w:numPr>
      </w:pPr>
      <w:r w:rsidRPr="00522777">
        <w:t xml:space="preserve">Number of buildings – </w:t>
      </w:r>
      <w:r>
        <w:t>1</w:t>
      </w:r>
    </w:p>
    <w:p w14:paraId="63388578" w14:textId="77777777" w:rsidR="00E51727" w:rsidRPr="00522777" w:rsidRDefault="00E51727" w:rsidP="00E51727">
      <w:pPr>
        <w:pStyle w:val="MediumGrid1-Accent21"/>
        <w:numPr>
          <w:ilvl w:val="0"/>
          <w:numId w:val="29"/>
        </w:numPr>
      </w:pPr>
      <w:r w:rsidRPr="00522777">
        <w:t>Number of units –</w:t>
      </w:r>
      <w:r>
        <w:t>75</w:t>
      </w:r>
    </w:p>
    <w:p w14:paraId="0A653233" w14:textId="77777777" w:rsidR="00E51727" w:rsidRPr="00522777" w:rsidRDefault="00E51727" w:rsidP="00E51727">
      <w:pPr>
        <w:pStyle w:val="MediumGrid1-Accent21"/>
        <w:numPr>
          <w:ilvl w:val="0"/>
          <w:numId w:val="29"/>
        </w:numPr>
      </w:pPr>
      <w:r w:rsidRPr="00522777">
        <w:t>Type of exemption – Article XI, partial, 40 years</w:t>
      </w:r>
    </w:p>
    <w:p w14:paraId="67438DB1" w14:textId="77777777" w:rsidR="00E51727" w:rsidRPr="00522777" w:rsidRDefault="00E51727" w:rsidP="00E51727">
      <w:pPr>
        <w:pStyle w:val="MediumGrid1-Accent21"/>
        <w:numPr>
          <w:ilvl w:val="0"/>
          <w:numId w:val="29"/>
        </w:numPr>
      </w:pPr>
      <w:r w:rsidRPr="00522777">
        <w:t xml:space="preserve">Population – affordable Section 8 </w:t>
      </w:r>
      <w:r>
        <w:t xml:space="preserve">senior </w:t>
      </w:r>
      <w:r w:rsidRPr="00522777">
        <w:t>rental housing</w:t>
      </w:r>
    </w:p>
    <w:p w14:paraId="259F9DDD" w14:textId="77777777" w:rsidR="00E51727" w:rsidRPr="00C95CAF" w:rsidRDefault="00E51727" w:rsidP="00E51727">
      <w:pPr>
        <w:pStyle w:val="MediumGrid1-Accent21"/>
        <w:numPr>
          <w:ilvl w:val="0"/>
          <w:numId w:val="29"/>
        </w:numPr>
      </w:pPr>
      <w:r w:rsidRPr="00522777">
        <w:t xml:space="preserve">Sponsor – </w:t>
      </w:r>
      <w:r>
        <w:t xml:space="preserve">Walton Ave Senior HDFC, </w:t>
      </w:r>
      <w:r w:rsidRPr="00C95CAF">
        <w:t>Mid-Bronx Senior Citizen Council, Inc.</w:t>
      </w:r>
    </w:p>
    <w:p w14:paraId="7777E399" w14:textId="77777777" w:rsidR="00E51727" w:rsidRPr="00522777" w:rsidRDefault="00E51727" w:rsidP="00E51727">
      <w:pPr>
        <w:pStyle w:val="MediumGrid1-Accent21"/>
        <w:numPr>
          <w:ilvl w:val="0"/>
          <w:numId w:val="29"/>
        </w:numPr>
      </w:pPr>
      <w:r w:rsidRPr="00522777">
        <w:t>Purpose – preservation</w:t>
      </w:r>
    </w:p>
    <w:p w14:paraId="4D636D40" w14:textId="56F61E68" w:rsidR="00E51727" w:rsidRPr="00522777" w:rsidRDefault="00E51727" w:rsidP="00E51727">
      <w:pPr>
        <w:pStyle w:val="MediumGrid1-Accent21"/>
        <w:numPr>
          <w:ilvl w:val="0"/>
          <w:numId w:val="29"/>
        </w:numPr>
      </w:pPr>
      <w:r w:rsidRPr="00522777">
        <w:t>Cost to the City</w:t>
      </w:r>
      <w:r w:rsidR="003D7562">
        <w:t xml:space="preserve"> – </w:t>
      </w:r>
      <w:r w:rsidRPr="00522777">
        <w:t>$</w:t>
      </w:r>
      <w:r w:rsidR="00134AEB">
        <w:t>2.4 million</w:t>
      </w:r>
    </w:p>
    <w:p w14:paraId="7A631613" w14:textId="77777777" w:rsidR="00E51727" w:rsidRPr="00522777" w:rsidRDefault="00E51727" w:rsidP="00E51727">
      <w:pPr>
        <w:pStyle w:val="MediumGrid1-Accent21"/>
        <w:numPr>
          <w:ilvl w:val="0"/>
          <w:numId w:val="29"/>
        </w:numPr>
      </w:pPr>
      <w:r w:rsidRPr="00522777">
        <w:t>Housing Code Violations</w:t>
      </w:r>
    </w:p>
    <w:p w14:paraId="4652D156" w14:textId="77777777" w:rsidR="00E51727" w:rsidRPr="00522777" w:rsidRDefault="00E51727" w:rsidP="00E51727">
      <w:pPr>
        <w:pStyle w:val="MediumGrid1-Accent21"/>
        <w:numPr>
          <w:ilvl w:val="1"/>
          <w:numId w:val="29"/>
        </w:numPr>
      </w:pPr>
      <w:r w:rsidRPr="00522777">
        <w:t xml:space="preserve">Class A – </w:t>
      </w:r>
      <w:r>
        <w:t>1</w:t>
      </w:r>
    </w:p>
    <w:p w14:paraId="7235A296" w14:textId="77777777" w:rsidR="00E51727" w:rsidRDefault="00E51727" w:rsidP="00E51727">
      <w:pPr>
        <w:pStyle w:val="MediumGrid1-Accent21"/>
        <w:numPr>
          <w:ilvl w:val="1"/>
          <w:numId w:val="29"/>
        </w:numPr>
      </w:pPr>
      <w:r w:rsidRPr="00522777">
        <w:t xml:space="preserve">Class B – </w:t>
      </w:r>
      <w:r>
        <w:t>5</w:t>
      </w:r>
    </w:p>
    <w:p w14:paraId="0EAB463D" w14:textId="77777777" w:rsidR="00E51727" w:rsidRPr="00522777" w:rsidRDefault="00E51727" w:rsidP="00E51727">
      <w:pPr>
        <w:pStyle w:val="MediumGrid1-Accent21"/>
        <w:numPr>
          <w:ilvl w:val="1"/>
          <w:numId w:val="29"/>
        </w:numPr>
      </w:pPr>
      <w:r>
        <w:t>Class C – 1</w:t>
      </w:r>
    </w:p>
    <w:p w14:paraId="5F9F6179" w14:textId="3E2E57FC" w:rsidR="00E51727" w:rsidRDefault="00E51727" w:rsidP="00110ADB">
      <w:pPr>
        <w:pStyle w:val="MediumGrid1-Accent21"/>
        <w:numPr>
          <w:ilvl w:val="0"/>
          <w:numId w:val="29"/>
        </w:numPr>
      </w:pPr>
      <w:r w:rsidRPr="00522777">
        <w:t>AMI targets – 50% of AMI</w:t>
      </w:r>
    </w:p>
    <w:p w14:paraId="72092791" w14:textId="12F23BE9" w:rsidR="00B342D4" w:rsidRPr="003E4257" w:rsidRDefault="00B342D4"/>
    <w:p w14:paraId="6F4072D3" w14:textId="2E7FB2CC" w:rsidR="00157A41" w:rsidRPr="003E4257" w:rsidRDefault="00647BB8" w:rsidP="00C2260D">
      <w:pPr>
        <w:rPr>
          <w:b/>
          <w:u w:val="single"/>
        </w:rPr>
      </w:pPr>
      <w:r w:rsidRPr="00647BB8">
        <w:rPr>
          <w:b/>
          <w:u w:val="single"/>
        </w:rPr>
        <w:t>Item 5</w:t>
      </w:r>
      <w:r w:rsidR="00C2260D" w:rsidRPr="00647BB8">
        <w:rPr>
          <w:b/>
          <w:u w:val="single"/>
        </w:rPr>
        <w:t>: Black Spruce – Central Harlem</w:t>
      </w:r>
    </w:p>
    <w:p w14:paraId="5D484610" w14:textId="77777777" w:rsidR="00C2260D" w:rsidRPr="003E4257" w:rsidRDefault="00C2260D" w:rsidP="00C2260D"/>
    <w:p w14:paraId="3FED0079" w14:textId="0AB5A996" w:rsidR="00C2260D" w:rsidRPr="003E4257" w:rsidRDefault="00C2260D" w:rsidP="00C2260D">
      <w:pPr>
        <w:jc w:val="both"/>
      </w:pPr>
      <w:r w:rsidRPr="003E4257">
        <w:t xml:space="preserve">The Black Spruce-Central Harlem portfolio consist of </w:t>
      </w:r>
      <w:r w:rsidR="009B500F">
        <w:t>21</w:t>
      </w:r>
      <w:r w:rsidRPr="003E4257">
        <w:t xml:space="preserve"> mixed-use buildings comprised of 224 residential units and 30 commercial spaces located across seventeen individual lots in Central Harlem. </w:t>
      </w:r>
      <w:r w:rsidR="0041500C" w:rsidRPr="003E4257">
        <w:t xml:space="preserve">The 224 residential units consist of </w:t>
      </w:r>
      <w:r w:rsidR="009B500F">
        <w:t>eight</w:t>
      </w:r>
      <w:r w:rsidR="0041500C" w:rsidRPr="003E4257">
        <w:t xml:space="preserve"> studio units, 52 one-bedroom units, 119 two-bedroom units (inclusive of </w:t>
      </w:r>
      <w:r w:rsidR="009B500F">
        <w:t>three</w:t>
      </w:r>
      <w:r w:rsidR="0041500C" w:rsidRPr="003E4257">
        <w:t xml:space="preserve"> superintendent units), 43 three-bedroom units, and </w:t>
      </w:r>
      <w:r w:rsidR="009B500F">
        <w:t>two</w:t>
      </w:r>
      <w:r w:rsidR="009B500F" w:rsidRPr="003E4257">
        <w:t xml:space="preserve"> </w:t>
      </w:r>
      <w:r w:rsidR="0041500C" w:rsidRPr="003E4257">
        <w:t>four-bedroom units. Of the current 221 non-super units, 61 are market-rate, 158 are rent-stabili</w:t>
      </w:r>
      <w:r w:rsidR="00E51727">
        <w:t xml:space="preserve">zed, and </w:t>
      </w:r>
      <w:r w:rsidR="009B500F">
        <w:t xml:space="preserve">two </w:t>
      </w:r>
      <w:r w:rsidR="00E51727">
        <w:t>are rent-controlled.</w:t>
      </w:r>
    </w:p>
    <w:p w14:paraId="0237F548" w14:textId="77777777" w:rsidR="00C2260D" w:rsidRPr="003E4257" w:rsidRDefault="00C2260D" w:rsidP="00C2260D">
      <w:pPr>
        <w:jc w:val="both"/>
      </w:pPr>
    </w:p>
    <w:p w14:paraId="37C97E09" w14:textId="458173A4" w:rsidR="00C2260D" w:rsidRPr="003E4257" w:rsidRDefault="0041500C" w:rsidP="00C2260D">
      <w:pPr>
        <w:jc w:val="both"/>
      </w:pPr>
      <w:r w:rsidRPr="003E4257">
        <w:t>Built in approximately</w:t>
      </w:r>
      <w:r w:rsidR="00C2260D" w:rsidRPr="003E4257">
        <w:t xml:space="preserve"> 1910, the buildings in the portfolio require varying levels of rehabilitation. The work is already in progress and is expected </w:t>
      </w:r>
      <w:r w:rsidRPr="003E4257">
        <w:t>to be completed in three months</w:t>
      </w:r>
      <w:r w:rsidR="00C2260D" w:rsidRPr="003E4257">
        <w:t xml:space="preserve">.  </w:t>
      </w:r>
    </w:p>
    <w:p w14:paraId="123E2CDA" w14:textId="5AB284B7" w:rsidR="0041500C" w:rsidRPr="003E4257" w:rsidRDefault="0041500C" w:rsidP="00C2260D">
      <w:pPr>
        <w:jc w:val="both"/>
      </w:pPr>
    </w:p>
    <w:p w14:paraId="0724EEF7" w14:textId="37CC4636" w:rsidR="0041500C" w:rsidRPr="003E4257" w:rsidRDefault="0041500C" w:rsidP="0041500C">
      <w:pPr>
        <w:jc w:val="both"/>
      </w:pPr>
      <w:r w:rsidRPr="003E4257">
        <w:t xml:space="preserve">HPD is requesting that the Council approve a 30-year, partial Article XI property tax exemption for the portfolio. </w:t>
      </w:r>
      <w:r w:rsidR="009B500F" w:rsidRPr="003E4257">
        <w:t xml:space="preserve">Currently, seven of the properties have J-51 exemptions. Upon approval of the new exemption, the J-51 exemptions </w:t>
      </w:r>
      <w:r w:rsidR="009B500F">
        <w:t>would</w:t>
      </w:r>
      <w:r w:rsidR="009B500F" w:rsidRPr="003E4257">
        <w:t xml:space="preserve"> continue until they phased out by 2029. </w:t>
      </w:r>
      <w:r w:rsidRPr="003E4257">
        <w:t xml:space="preserve">HPD </w:t>
      </w:r>
      <w:r w:rsidR="009B500F">
        <w:t>and the HDFC would</w:t>
      </w:r>
      <w:r w:rsidRPr="003E4257">
        <w:t xml:space="preserve"> enter into a regulatory agreement for the project that would require that 36 units be made available to households earning up to 50% of AMI, 21 units be made available to households earning up to 60% of AMI, 22 units be made available to households earning up to 70% of AMI, </w:t>
      </w:r>
      <w:r w:rsidRPr="003E4257">
        <w:lastRenderedPageBreak/>
        <w:t>15 units be made available to households earning up to 105% of AMI, 22 units be made available to households earning up to 120% of AMI, 80 units be made available to households earning up to 135% of AMI, and 25 units be made available to households earning up to 160% of AMI.</w:t>
      </w:r>
    </w:p>
    <w:p w14:paraId="5D6A54FC" w14:textId="3E1FF1EF" w:rsidR="0041500C" w:rsidRPr="003E4257" w:rsidRDefault="0041500C" w:rsidP="0041500C">
      <w:pPr>
        <w:jc w:val="both"/>
      </w:pPr>
    </w:p>
    <w:p w14:paraId="5D6E3D43" w14:textId="77777777" w:rsidR="0041500C" w:rsidRPr="003E4257" w:rsidRDefault="0041500C" w:rsidP="0041500C">
      <w:pPr>
        <w:jc w:val="both"/>
        <w:rPr>
          <w:u w:val="single"/>
        </w:rPr>
      </w:pPr>
      <w:r w:rsidRPr="003E4257">
        <w:rPr>
          <w:u w:val="single"/>
        </w:rPr>
        <w:t>Summary:</w:t>
      </w:r>
    </w:p>
    <w:p w14:paraId="69311C76" w14:textId="77777777" w:rsidR="0041500C" w:rsidRPr="003E4257" w:rsidRDefault="0041500C" w:rsidP="0041500C">
      <w:pPr>
        <w:pStyle w:val="ListParagraph"/>
        <w:numPr>
          <w:ilvl w:val="0"/>
          <w:numId w:val="32"/>
        </w:numPr>
        <w:rPr>
          <w:rFonts w:ascii="Times New Roman" w:hAnsi="Times New Roman"/>
          <w:sz w:val="24"/>
          <w:szCs w:val="24"/>
        </w:rPr>
      </w:pPr>
      <w:r w:rsidRPr="003E4257">
        <w:rPr>
          <w:rFonts w:ascii="Times New Roman" w:hAnsi="Times New Roman"/>
          <w:sz w:val="24"/>
          <w:szCs w:val="24"/>
        </w:rPr>
        <w:t xml:space="preserve">Borough – Manhattan </w:t>
      </w:r>
    </w:p>
    <w:p w14:paraId="7BB9DCBC" w14:textId="29A6E954" w:rsidR="006B6AC5" w:rsidRPr="003E4257" w:rsidRDefault="006B6AC5" w:rsidP="006B6AC5">
      <w:pPr>
        <w:pStyle w:val="ListParagraph"/>
        <w:numPr>
          <w:ilvl w:val="0"/>
          <w:numId w:val="32"/>
        </w:numPr>
        <w:rPr>
          <w:rFonts w:ascii="Times New Roman" w:hAnsi="Times New Roman"/>
          <w:sz w:val="24"/>
          <w:szCs w:val="24"/>
        </w:rPr>
      </w:pPr>
      <w:r w:rsidRPr="003E4257">
        <w:rPr>
          <w:rFonts w:ascii="Times New Roman" w:hAnsi="Times New Roman"/>
          <w:sz w:val="24"/>
          <w:szCs w:val="24"/>
        </w:rPr>
        <w:t>Block 1917, Lots 2, 4, and 64, Block 1937, Lot 36, Block 1938, Lots 33, 34, 35, 36, 39, and 41, Block 1941, Lots 29, 30, 31, 32,</w:t>
      </w:r>
      <w:r w:rsidR="0011498C">
        <w:rPr>
          <w:rFonts w:ascii="Times New Roman" w:hAnsi="Times New Roman"/>
          <w:sz w:val="24"/>
          <w:szCs w:val="24"/>
        </w:rPr>
        <w:t xml:space="preserve"> 33, and 34, Block 2030, Lot 31</w:t>
      </w:r>
    </w:p>
    <w:p w14:paraId="3F813DB0" w14:textId="2CD045C5" w:rsidR="0041500C" w:rsidRPr="003E4257" w:rsidRDefault="0041500C" w:rsidP="006B6AC5">
      <w:pPr>
        <w:pStyle w:val="ListParagraph"/>
        <w:numPr>
          <w:ilvl w:val="0"/>
          <w:numId w:val="32"/>
        </w:numPr>
        <w:rPr>
          <w:rFonts w:ascii="Times New Roman" w:hAnsi="Times New Roman"/>
          <w:sz w:val="24"/>
          <w:szCs w:val="24"/>
        </w:rPr>
      </w:pPr>
      <w:r w:rsidRPr="003E4257">
        <w:rPr>
          <w:rFonts w:ascii="Times New Roman" w:hAnsi="Times New Roman"/>
          <w:sz w:val="24"/>
          <w:szCs w:val="24"/>
        </w:rPr>
        <w:t xml:space="preserve">Council District – </w:t>
      </w:r>
      <w:r w:rsidR="006B6AC5" w:rsidRPr="003E4257">
        <w:rPr>
          <w:rFonts w:ascii="Times New Roman" w:hAnsi="Times New Roman"/>
          <w:sz w:val="24"/>
          <w:szCs w:val="24"/>
        </w:rPr>
        <w:t>9</w:t>
      </w:r>
    </w:p>
    <w:p w14:paraId="5C2856DD" w14:textId="5D36B8B8" w:rsidR="0041500C" w:rsidRPr="003E4257" w:rsidRDefault="00C377C2" w:rsidP="0041500C">
      <w:pPr>
        <w:pStyle w:val="ListParagraph"/>
        <w:numPr>
          <w:ilvl w:val="0"/>
          <w:numId w:val="32"/>
        </w:numPr>
        <w:rPr>
          <w:rFonts w:ascii="Times New Roman" w:hAnsi="Times New Roman"/>
          <w:sz w:val="24"/>
          <w:szCs w:val="24"/>
        </w:rPr>
      </w:pPr>
      <w:r w:rsidRPr="003E4257">
        <w:rPr>
          <w:rFonts w:ascii="Times New Roman" w:hAnsi="Times New Roman"/>
          <w:sz w:val="24"/>
          <w:szCs w:val="24"/>
        </w:rPr>
        <w:t>Council Member</w:t>
      </w:r>
      <w:r w:rsidR="00E51727">
        <w:rPr>
          <w:rFonts w:ascii="Times New Roman" w:hAnsi="Times New Roman"/>
          <w:sz w:val="24"/>
          <w:szCs w:val="24"/>
        </w:rPr>
        <w:t xml:space="preserve"> </w:t>
      </w:r>
      <w:r w:rsidR="00E51727" w:rsidRPr="003E4257">
        <w:rPr>
          <w:rFonts w:ascii="Times New Roman" w:hAnsi="Times New Roman"/>
          <w:sz w:val="24"/>
          <w:szCs w:val="24"/>
        </w:rPr>
        <w:t xml:space="preserve">– </w:t>
      </w:r>
      <w:r w:rsidR="0041500C" w:rsidRPr="003E4257">
        <w:rPr>
          <w:rFonts w:ascii="Times New Roman" w:hAnsi="Times New Roman"/>
          <w:sz w:val="24"/>
          <w:szCs w:val="24"/>
        </w:rPr>
        <w:t>Perkins</w:t>
      </w:r>
    </w:p>
    <w:p w14:paraId="12993288" w14:textId="77777777" w:rsidR="0041500C" w:rsidRPr="003E4257" w:rsidRDefault="0041500C" w:rsidP="0041500C">
      <w:pPr>
        <w:pStyle w:val="ListParagraph"/>
        <w:numPr>
          <w:ilvl w:val="0"/>
          <w:numId w:val="32"/>
        </w:numPr>
        <w:rPr>
          <w:rFonts w:ascii="Times New Roman" w:hAnsi="Times New Roman"/>
          <w:sz w:val="24"/>
          <w:szCs w:val="24"/>
        </w:rPr>
      </w:pPr>
      <w:r w:rsidRPr="003E4257">
        <w:rPr>
          <w:rFonts w:ascii="Times New Roman" w:hAnsi="Times New Roman"/>
          <w:sz w:val="24"/>
          <w:szCs w:val="24"/>
        </w:rPr>
        <w:t>Council Member approval – Yes</w:t>
      </w:r>
    </w:p>
    <w:p w14:paraId="1A344182" w14:textId="5C606F4A" w:rsidR="0041500C" w:rsidRPr="003E4257" w:rsidRDefault="006B6AC5" w:rsidP="0041500C">
      <w:pPr>
        <w:pStyle w:val="ListParagraph"/>
        <w:numPr>
          <w:ilvl w:val="0"/>
          <w:numId w:val="32"/>
        </w:numPr>
        <w:rPr>
          <w:rFonts w:ascii="Times New Roman" w:hAnsi="Times New Roman"/>
          <w:sz w:val="24"/>
          <w:szCs w:val="24"/>
        </w:rPr>
      </w:pPr>
      <w:r w:rsidRPr="003E4257">
        <w:rPr>
          <w:rFonts w:ascii="Times New Roman" w:hAnsi="Times New Roman"/>
          <w:sz w:val="24"/>
          <w:szCs w:val="24"/>
        </w:rPr>
        <w:t>Number of buildings – 21</w:t>
      </w:r>
    </w:p>
    <w:p w14:paraId="61C1D13F" w14:textId="4ABC137C" w:rsidR="0041500C" w:rsidRPr="003E4257" w:rsidRDefault="006B6AC5" w:rsidP="0041500C">
      <w:pPr>
        <w:pStyle w:val="ListParagraph"/>
        <w:numPr>
          <w:ilvl w:val="0"/>
          <w:numId w:val="32"/>
        </w:numPr>
        <w:rPr>
          <w:rFonts w:ascii="Times New Roman" w:hAnsi="Times New Roman"/>
          <w:sz w:val="24"/>
          <w:szCs w:val="24"/>
        </w:rPr>
      </w:pPr>
      <w:r w:rsidRPr="003E4257">
        <w:rPr>
          <w:rFonts w:ascii="Times New Roman" w:hAnsi="Times New Roman"/>
          <w:sz w:val="24"/>
          <w:szCs w:val="24"/>
        </w:rPr>
        <w:t>Number of units – 224</w:t>
      </w:r>
    </w:p>
    <w:p w14:paraId="6385407E" w14:textId="77777777" w:rsidR="0041500C" w:rsidRPr="003E4257" w:rsidRDefault="0041500C" w:rsidP="0041500C">
      <w:pPr>
        <w:pStyle w:val="ListParagraph"/>
        <w:numPr>
          <w:ilvl w:val="0"/>
          <w:numId w:val="32"/>
        </w:numPr>
        <w:rPr>
          <w:rFonts w:ascii="Times New Roman" w:hAnsi="Times New Roman"/>
          <w:sz w:val="24"/>
          <w:szCs w:val="24"/>
        </w:rPr>
      </w:pPr>
      <w:r w:rsidRPr="003E4257">
        <w:rPr>
          <w:rFonts w:ascii="Times New Roman" w:hAnsi="Times New Roman"/>
          <w:sz w:val="24"/>
          <w:szCs w:val="24"/>
        </w:rPr>
        <w:t>Type of exemption – Article XI, partial, 30 years</w:t>
      </w:r>
    </w:p>
    <w:p w14:paraId="0A07FD1D" w14:textId="77777777" w:rsidR="0041500C" w:rsidRPr="003E4257" w:rsidRDefault="0041500C" w:rsidP="0041500C">
      <w:pPr>
        <w:pStyle w:val="ListParagraph"/>
        <w:numPr>
          <w:ilvl w:val="0"/>
          <w:numId w:val="32"/>
        </w:numPr>
        <w:rPr>
          <w:rFonts w:ascii="Times New Roman" w:hAnsi="Times New Roman"/>
          <w:sz w:val="24"/>
          <w:szCs w:val="24"/>
        </w:rPr>
      </w:pPr>
      <w:r w:rsidRPr="003E4257">
        <w:rPr>
          <w:rFonts w:ascii="Times New Roman" w:hAnsi="Times New Roman"/>
          <w:sz w:val="24"/>
          <w:szCs w:val="24"/>
        </w:rPr>
        <w:t xml:space="preserve">Population – affordable rental housing </w:t>
      </w:r>
    </w:p>
    <w:p w14:paraId="6F86051E" w14:textId="176898F8" w:rsidR="0041500C" w:rsidRPr="003E4257" w:rsidRDefault="0041500C" w:rsidP="006B6AC5">
      <w:pPr>
        <w:pStyle w:val="ListParagraph"/>
        <w:numPr>
          <w:ilvl w:val="0"/>
          <w:numId w:val="32"/>
        </w:numPr>
        <w:rPr>
          <w:rFonts w:ascii="Times New Roman" w:hAnsi="Times New Roman"/>
          <w:sz w:val="24"/>
          <w:szCs w:val="24"/>
        </w:rPr>
      </w:pPr>
      <w:r w:rsidRPr="003E4257">
        <w:rPr>
          <w:rFonts w:ascii="Times New Roman" w:hAnsi="Times New Roman"/>
          <w:sz w:val="24"/>
          <w:szCs w:val="24"/>
        </w:rPr>
        <w:t>Sponsor</w:t>
      </w:r>
      <w:r w:rsidR="003D7562">
        <w:rPr>
          <w:rFonts w:ascii="Times New Roman" w:hAnsi="Times New Roman"/>
          <w:sz w:val="24"/>
          <w:szCs w:val="24"/>
        </w:rPr>
        <w:t xml:space="preserve"> – </w:t>
      </w:r>
      <w:r w:rsidR="006B6AC5" w:rsidRPr="003E4257">
        <w:rPr>
          <w:rFonts w:ascii="Times New Roman" w:hAnsi="Times New Roman"/>
          <w:sz w:val="24"/>
          <w:szCs w:val="24"/>
        </w:rPr>
        <w:t xml:space="preserve">HP ACP </w:t>
      </w:r>
      <w:r w:rsidR="00E51727">
        <w:rPr>
          <w:rFonts w:ascii="Times New Roman" w:hAnsi="Times New Roman"/>
          <w:sz w:val="24"/>
          <w:szCs w:val="24"/>
        </w:rPr>
        <w:t>HDFC</w:t>
      </w:r>
    </w:p>
    <w:p w14:paraId="037F49F6" w14:textId="19DD7720" w:rsidR="0041500C" w:rsidRDefault="0041500C" w:rsidP="0041500C">
      <w:pPr>
        <w:pStyle w:val="ListParagraph"/>
        <w:numPr>
          <w:ilvl w:val="0"/>
          <w:numId w:val="32"/>
        </w:numPr>
        <w:rPr>
          <w:rFonts w:ascii="Times New Roman" w:hAnsi="Times New Roman"/>
          <w:sz w:val="24"/>
          <w:szCs w:val="24"/>
        </w:rPr>
      </w:pPr>
      <w:r w:rsidRPr="003E4257">
        <w:rPr>
          <w:rFonts w:ascii="Times New Roman" w:hAnsi="Times New Roman"/>
          <w:sz w:val="24"/>
          <w:szCs w:val="24"/>
        </w:rPr>
        <w:t>Purpose – preservation</w:t>
      </w:r>
    </w:p>
    <w:p w14:paraId="05C89821" w14:textId="5606576D" w:rsidR="0041500C" w:rsidRPr="003E4257" w:rsidRDefault="0041500C" w:rsidP="003D7562">
      <w:pPr>
        <w:pStyle w:val="ListParagraph"/>
        <w:numPr>
          <w:ilvl w:val="0"/>
          <w:numId w:val="32"/>
        </w:numPr>
        <w:rPr>
          <w:rFonts w:ascii="Times New Roman" w:hAnsi="Times New Roman"/>
          <w:sz w:val="24"/>
          <w:szCs w:val="24"/>
        </w:rPr>
      </w:pPr>
      <w:r w:rsidRPr="003E4257">
        <w:rPr>
          <w:rFonts w:ascii="Times New Roman" w:hAnsi="Times New Roman"/>
          <w:sz w:val="24"/>
          <w:szCs w:val="24"/>
        </w:rPr>
        <w:t>Cost to the city</w:t>
      </w:r>
      <w:r w:rsidR="003D7562">
        <w:rPr>
          <w:rFonts w:ascii="Times New Roman" w:hAnsi="Times New Roman"/>
          <w:sz w:val="24"/>
          <w:szCs w:val="24"/>
        </w:rPr>
        <w:t xml:space="preserve"> – </w:t>
      </w:r>
      <w:r w:rsidRPr="003E4257">
        <w:rPr>
          <w:rFonts w:ascii="Times New Roman" w:hAnsi="Times New Roman"/>
          <w:sz w:val="24"/>
          <w:szCs w:val="24"/>
        </w:rPr>
        <w:t>$</w:t>
      </w:r>
      <w:r w:rsidR="006B6AC5" w:rsidRPr="003E4257">
        <w:rPr>
          <w:rFonts w:ascii="Times New Roman" w:hAnsi="Times New Roman"/>
          <w:sz w:val="24"/>
          <w:szCs w:val="24"/>
        </w:rPr>
        <w:t>17.6</w:t>
      </w:r>
      <w:r w:rsidRPr="003E4257">
        <w:rPr>
          <w:rFonts w:ascii="Times New Roman" w:hAnsi="Times New Roman"/>
          <w:sz w:val="24"/>
          <w:szCs w:val="24"/>
        </w:rPr>
        <w:t xml:space="preserve"> million</w:t>
      </w:r>
    </w:p>
    <w:p w14:paraId="2010906B" w14:textId="77777777" w:rsidR="00110ADB" w:rsidRDefault="00110ADB" w:rsidP="00110ADB">
      <w:pPr>
        <w:pStyle w:val="MediumGrid1-Accent21"/>
        <w:numPr>
          <w:ilvl w:val="0"/>
          <w:numId w:val="32"/>
        </w:numPr>
      </w:pPr>
      <w:r>
        <w:t>Housing Code Violations – N/A</w:t>
      </w:r>
    </w:p>
    <w:p w14:paraId="7B80D55E" w14:textId="2C39D09C" w:rsidR="0041500C" w:rsidRPr="003E4257" w:rsidRDefault="0041500C" w:rsidP="006B6AC5">
      <w:pPr>
        <w:pStyle w:val="ListParagraph"/>
        <w:numPr>
          <w:ilvl w:val="0"/>
          <w:numId w:val="32"/>
        </w:numPr>
        <w:rPr>
          <w:rFonts w:ascii="Times New Roman" w:hAnsi="Times New Roman"/>
          <w:sz w:val="24"/>
          <w:szCs w:val="24"/>
        </w:rPr>
      </w:pPr>
      <w:r w:rsidRPr="003E4257">
        <w:rPr>
          <w:rFonts w:ascii="Times New Roman" w:hAnsi="Times New Roman"/>
          <w:sz w:val="24"/>
          <w:szCs w:val="24"/>
        </w:rPr>
        <w:t xml:space="preserve">AMI Targets – </w:t>
      </w:r>
      <w:r w:rsidR="006B6AC5" w:rsidRPr="003E4257">
        <w:rPr>
          <w:rFonts w:ascii="Times New Roman" w:hAnsi="Times New Roman"/>
          <w:sz w:val="24"/>
          <w:szCs w:val="24"/>
        </w:rPr>
        <w:t>36 units at 50% of AMI, 21 at 60% of AMI, 22 units at 70% of AMI, 15 units at 105% of AMI, 22 units at 120% of AMI, 80 units at 135% of AMI, and 25 units at 160% of AMI.</w:t>
      </w:r>
    </w:p>
    <w:p w14:paraId="15E076B9" w14:textId="21AA122D" w:rsidR="00E51727" w:rsidRPr="003E4257" w:rsidRDefault="00E51727" w:rsidP="00942248">
      <w:pPr>
        <w:jc w:val="both"/>
      </w:pPr>
    </w:p>
    <w:p w14:paraId="47F4DF8F" w14:textId="2EEF59A7" w:rsidR="00C2260D" w:rsidRPr="003E4257" w:rsidRDefault="00647BB8" w:rsidP="00942248">
      <w:pPr>
        <w:jc w:val="both"/>
        <w:rPr>
          <w:b/>
          <w:u w:val="single"/>
        </w:rPr>
      </w:pPr>
      <w:r w:rsidRPr="00647BB8">
        <w:rPr>
          <w:b/>
          <w:u w:val="single"/>
        </w:rPr>
        <w:t>Item 6</w:t>
      </w:r>
      <w:r w:rsidR="00942248" w:rsidRPr="00647BB8">
        <w:rPr>
          <w:b/>
          <w:u w:val="single"/>
        </w:rPr>
        <w:t>: Black Spruce – Washington Heights</w:t>
      </w:r>
    </w:p>
    <w:p w14:paraId="7BF299BA" w14:textId="77777777" w:rsidR="00942248" w:rsidRPr="003E4257" w:rsidRDefault="00942248" w:rsidP="00942248">
      <w:pPr>
        <w:jc w:val="both"/>
      </w:pPr>
    </w:p>
    <w:p w14:paraId="2EABEE72" w14:textId="2D7F51D1" w:rsidR="00C2260D" w:rsidRPr="003E4257" w:rsidRDefault="00904EC6" w:rsidP="00C377C2">
      <w:pPr>
        <w:jc w:val="both"/>
      </w:pPr>
      <w:r w:rsidRPr="00694160">
        <w:rPr>
          <w:spacing w:val="-2"/>
        </w:rPr>
        <w:t xml:space="preserve">The </w:t>
      </w:r>
      <w:r w:rsidR="00942248" w:rsidRPr="00694160">
        <w:rPr>
          <w:spacing w:val="-2"/>
        </w:rPr>
        <w:t xml:space="preserve">Black Spruce-Washington Heights portfolio </w:t>
      </w:r>
      <w:r w:rsidRPr="00694160">
        <w:rPr>
          <w:spacing w:val="-2"/>
        </w:rPr>
        <w:t>consist of</w:t>
      </w:r>
      <w:r w:rsidR="00942248" w:rsidRPr="00694160">
        <w:rPr>
          <w:spacing w:val="-2"/>
        </w:rPr>
        <w:t xml:space="preserve"> nine mixed-use buildings comprised of 420 residential units and 50 commercial spaces located in the Washington Heights, Hudson Heights, and Fort George neighborhoods of upper Manhattan. </w:t>
      </w:r>
      <w:r w:rsidR="00C304A2">
        <w:t>T</w:t>
      </w:r>
      <w:r w:rsidR="00C377C2" w:rsidRPr="003E4257">
        <w:t>he portfolio was bundled together between 1985 and 1994 by the Iskander family’s Intervest Development Corp. and subsequently sold in 2016. Only one building, 1083 St. Nicholas Ave, has previously been held by the City through In-Rem Tax foreclosure and was sold at public auction in 1993.</w:t>
      </w:r>
    </w:p>
    <w:p w14:paraId="55850C6F" w14:textId="6F4B1A11" w:rsidR="00C377C2" w:rsidRPr="003E4257" w:rsidRDefault="00C377C2" w:rsidP="00C377C2">
      <w:pPr>
        <w:jc w:val="both"/>
      </w:pPr>
    </w:p>
    <w:p w14:paraId="078B02F3" w14:textId="2D4D608B" w:rsidR="00C2260D" w:rsidRPr="003E4257" w:rsidRDefault="00C377C2" w:rsidP="00C377C2">
      <w:pPr>
        <w:jc w:val="both"/>
      </w:pPr>
      <w:r w:rsidRPr="003E4257">
        <w:t xml:space="preserve">HPD is requesting that the Council approve a 40-year, partial Article XI property tax exemption for the portfolio. HPD </w:t>
      </w:r>
      <w:r w:rsidR="00C304A2">
        <w:t>and the HDFC would</w:t>
      </w:r>
      <w:r w:rsidRPr="003E4257">
        <w:t xml:space="preserve"> enter into a regulatory agreement for the project that would require that 124 units be made available to households earning up to 55% of AMI, 61 units be made available to households earning up to 65% of AMI, 69 units be made available to households earning up to 75% of AMI, 63 units be made available to households earning up to 90% of AMI, 60 units be made available to households earning up to 120% of AMI, and 37 units be made available to households earning up to 165% of AMI.</w:t>
      </w:r>
    </w:p>
    <w:p w14:paraId="43920A8F" w14:textId="119F9AAC" w:rsidR="00C2260D" w:rsidRPr="003E4257" w:rsidRDefault="00C2260D" w:rsidP="00C377C2">
      <w:pPr>
        <w:jc w:val="both"/>
      </w:pPr>
    </w:p>
    <w:p w14:paraId="79232438" w14:textId="7964160F" w:rsidR="00C377C2" w:rsidRPr="003E4257" w:rsidRDefault="00C377C2" w:rsidP="00C377C2">
      <w:pPr>
        <w:jc w:val="both"/>
        <w:rPr>
          <w:u w:val="single"/>
        </w:rPr>
      </w:pPr>
      <w:r w:rsidRPr="003E4257">
        <w:rPr>
          <w:u w:val="single"/>
        </w:rPr>
        <w:t>Summary:</w:t>
      </w:r>
    </w:p>
    <w:p w14:paraId="1B9D1D82" w14:textId="276020BA"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Borough – Manhattan</w:t>
      </w:r>
    </w:p>
    <w:p w14:paraId="2DD45A4F" w14:textId="182A8ADD"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Block 2122, Lots 84 and 88; Block 2128, Lot 8; Block 2133, Lot 30; Block 2141, Lot 48; Block 2143, Lot 9; Block 2169, Lots 29 and 34; Block 2176, Lot 54</w:t>
      </w:r>
    </w:p>
    <w:p w14:paraId="331DECCB" w14:textId="7C15F45D"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 xml:space="preserve">Council District – </w:t>
      </w:r>
      <w:r w:rsidR="00C304A2">
        <w:rPr>
          <w:rFonts w:ascii="Times New Roman" w:hAnsi="Times New Roman"/>
          <w:sz w:val="24"/>
          <w:szCs w:val="24"/>
        </w:rPr>
        <w:t>7 and 10</w:t>
      </w:r>
    </w:p>
    <w:p w14:paraId="6E24A1C3" w14:textId="2BA7D423" w:rsidR="00C377C2" w:rsidRPr="003E4257" w:rsidRDefault="000463A1" w:rsidP="00C377C2">
      <w:pPr>
        <w:pStyle w:val="ListParagraph"/>
        <w:numPr>
          <w:ilvl w:val="0"/>
          <w:numId w:val="33"/>
        </w:numPr>
        <w:jc w:val="both"/>
        <w:rPr>
          <w:rFonts w:ascii="Times New Roman" w:hAnsi="Times New Roman"/>
          <w:sz w:val="24"/>
          <w:szCs w:val="24"/>
        </w:rPr>
      </w:pPr>
      <w:r>
        <w:rPr>
          <w:rFonts w:ascii="Times New Roman" w:hAnsi="Times New Roman"/>
          <w:sz w:val="24"/>
          <w:szCs w:val="24"/>
        </w:rPr>
        <w:lastRenderedPageBreak/>
        <w:t>Council Members</w:t>
      </w:r>
      <w:r w:rsidR="00C377C2" w:rsidRPr="003E4257">
        <w:rPr>
          <w:rFonts w:ascii="Times New Roman" w:hAnsi="Times New Roman"/>
          <w:sz w:val="24"/>
          <w:szCs w:val="24"/>
        </w:rPr>
        <w:t xml:space="preserve"> –</w:t>
      </w:r>
      <w:r w:rsidR="00C304A2">
        <w:rPr>
          <w:rFonts w:ascii="Times New Roman" w:hAnsi="Times New Roman"/>
          <w:sz w:val="24"/>
          <w:szCs w:val="24"/>
        </w:rPr>
        <w:t xml:space="preserve"> </w:t>
      </w:r>
      <w:r w:rsidR="00C377C2" w:rsidRPr="003E4257">
        <w:rPr>
          <w:rFonts w:ascii="Times New Roman" w:hAnsi="Times New Roman"/>
          <w:sz w:val="24"/>
          <w:szCs w:val="24"/>
        </w:rPr>
        <w:t>Levine and Rodriguez</w:t>
      </w:r>
    </w:p>
    <w:p w14:paraId="39B96952" w14:textId="4E36A94D"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Council Member approval – Yes</w:t>
      </w:r>
    </w:p>
    <w:p w14:paraId="173050AE" w14:textId="77777777"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Number of buildings – 9</w:t>
      </w:r>
    </w:p>
    <w:p w14:paraId="503C9B00" w14:textId="77777777"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Number of units – 420</w:t>
      </w:r>
    </w:p>
    <w:p w14:paraId="4D18D514" w14:textId="77777777"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Type of exemption – Article XI, partial, 40 years</w:t>
      </w:r>
    </w:p>
    <w:p w14:paraId="715CD40C" w14:textId="28AA03FC"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Population – affordable rental</w:t>
      </w:r>
      <w:r w:rsidR="008C6C03">
        <w:rPr>
          <w:rFonts w:ascii="Times New Roman" w:hAnsi="Times New Roman"/>
          <w:sz w:val="24"/>
          <w:szCs w:val="24"/>
        </w:rPr>
        <w:t xml:space="preserve"> housing </w:t>
      </w:r>
    </w:p>
    <w:p w14:paraId="02FCC8E8" w14:textId="6C34AFDE"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Sponsor</w:t>
      </w:r>
      <w:r w:rsidR="003D7562">
        <w:rPr>
          <w:rFonts w:ascii="Times New Roman" w:hAnsi="Times New Roman"/>
          <w:sz w:val="24"/>
          <w:szCs w:val="24"/>
        </w:rPr>
        <w:t xml:space="preserve"> – </w:t>
      </w:r>
      <w:r w:rsidRPr="003E4257">
        <w:rPr>
          <w:rFonts w:ascii="Times New Roman" w:hAnsi="Times New Roman"/>
          <w:sz w:val="24"/>
          <w:szCs w:val="24"/>
        </w:rPr>
        <w:t xml:space="preserve">HP Washington Heights Portfolio </w:t>
      </w:r>
      <w:r w:rsidR="00E51727">
        <w:rPr>
          <w:rFonts w:ascii="Times New Roman" w:hAnsi="Times New Roman"/>
          <w:sz w:val="24"/>
          <w:szCs w:val="24"/>
        </w:rPr>
        <w:t>HDFC</w:t>
      </w:r>
    </w:p>
    <w:p w14:paraId="22E5A11F" w14:textId="77777777"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Purpose – preservation</w:t>
      </w:r>
    </w:p>
    <w:p w14:paraId="1A3F9677" w14:textId="4E1D51B6"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Cost to the city</w:t>
      </w:r>
      <w:r w:rsidR="003D7562">
        <w:rPr>
          <w:rFonts w:ascii="Times New Roman" w:hAnsi="Times New Roman"/>
          <w:sz w:val="24"/>
          <w:szCs w:val="24"/>
        </w:rPr>
        <w:t xml:space="preserve"> – </w:t>
      </w:r>
      <w:r w:rsidRPr="003E4257">
        <w:rPr>
          <w:rFonts w:ascii="Times New Roman" w:hAnsi="Times New Roman"/>
          <w:sz w:val="24"/>
          <w:szCs w:val="24"/>
        </w:rPr>
        <w:t>$41 million</w:t>
      </w:r>
    </w:p>
    <w:p w14:paraId="43583538" w14:textId="74DD0A3C" w:rsidR="00C377C2"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 xml:space="preserve">Housing Code Violations – </w:t>
      </w:r>
    </w:p>
    <w:p w14:paraId="1EC5887E" w14:textId="18CA941E" w:rsidR="00C377C2" w:rsidRPr="003E4257" w:rsidRDefault="00C377C2" w:rsidP="00C377C2">
      <w:pPr>
        <w:pStyle w:val="ListParagraph"/>
        <w:numPr>
          <w:ilvl w:val="1"/>
          <w:numId w:val="33"/>
        </w:numPr>
        <w:jc w:val="both"/>
        <w:rPr>
          <w:rFonts w:ascii="Times New Roman" w:hAnsi="Times New Roman"/>
          <w:sz w:val="24"/>
          <w:szCs w:val="24"/>
        </w:rPr>
      </w:pPr>
      <w:r w:rsidRPr="003E4257">
        <w:rPr>
          <w:rFonts w:ascii="Times New Roman" w:hAnsi="Times New Roman"/>
          <w:sz w:val="24"/>
          <w:szCs w:val="24"/>
        </w:rPr>
        <w:t>Class A – 339</w:t>
      </w:r>
    </w:p>
    <w:p w14:paraId="6AC8C9F8" w14:textId="0C79722B" w:rsidR="00C377C2" w:rsidRPr="003E4257" w:rsidRDefault="00C377C2" w:rsidP="00C377C2">
      <w:pPr>
        <w:pStyle w:val="ListParagraph"/>
        <w:numPr>
          <w:ilvl w:val="1"/>
          <w:numId w:val="33"/>
        </w:numPr>
        <w:jc w:val="both"/>
        <w:rPr>
          <w:rFonts w:ascii="Times New Roman" w:hAnsi="Times New Roman"/>
          <w:sz w:val="24"/>
          <w:szCs w:val="24"/>
        </w:rPr>
      </w:pPr>
      <w:r w:rsidRPr="003E4257">
        <w:rPr>
          <w:rFonts w:ascii="Times New Roman" w:hAnsi="Times New Roman"/>
          <w:sz w:val="24"/>
          <w:szCs w:val="24"/>
        </w:rPr>
        <w:t>Class B – 979</w:t>
      </w:r>
    </w:p>
    <w:p w14:paraId="1CC18B51" w14:textId="3BB3C24B" w:rsidR="00C377C2" w:rsidRPr="003E4257" w:rsidRDefault="00C377C2" w:rsidP="00C377C2">
      <w:pPr>
        <w:pStyle w:val="ListParagraph"/>
        <w:numPr>
          <w:ilvl w:val="1"/>
          <w:numId w:val="33"/>
        </w:numPr>
        <w:jc w:val="both"/>
        <w:rPr>
          <w:rFonts w:ascii="Times New Roman" w:hAnsi="Times New Roman"/>
          <w:sz w:val="24"/>
          <w:szCs w:val="24"/>
        </w:rPr>
      </w:pPr>
      <w:r w:rsidRPr="003E4257">
        <w:rPr>
          <w:rFonts w:ascii="Times New Roman" w:hAnsi="Times New Roman"/>
          <w:sz w:val="24"/>
          <w:szCs w:val="24"/>
        </w:rPr>
        <w:t xml:space="preserve">Class C – 185 </w:t>
      </w:r>
    </w:p>
    <w:p w14:paraId="38FCA233" w14:textId="1EC22CDB" w:rsidR="00C2260D" w:rsidRPr="003E4257" w:rsidRDefault="00C377C2" w:rsidP="00C377C2">
      <w:pPr>
        <w:pStyle w:val="ListParagraph"/>
        <w:numPr>
          <w:ilvl w:val="0"/>
          <w:numId w:val="33"/>
        </w:numPr>
        <w:jc w:val="both"/>
        <w:rPr>
          <w:rFonts w:ascii="Times New Roman" w:hAnsi="Times New Roman"/>
          <w:sz w:val="24"/>
          <w:szCs w:val="24"/>
        </w:rPr>
      </w:pPr>
      <w:r w:rsidRPr="003E4257">
        <w:rPr>
          <w:rFonts w:ascii="Times New Roman" w:hAnsi="Times New Roman"/>
          <w:sz w:val="24"/>
          <w:szCs w:val="24"/>
        </w:rPr>
        <w:t>AMI targets – 124 units at 55% AMI, 61 units at 65% AMI, 69 units at 75% AMI, 63 units at 90% AMI, 60 units at 120% AMI, 37 units at 165% AMI</w:t>
      </w:r>
    </w:p>
    <w:p w14:paraId="335DF2B7" w14:textId="1B9B2CF9" w:rsidR="00C2260D" w:rsidRPr="003E4257" w:rsidRDefault="00C2260D" w:rsidP="00C377C2">
      <w:pPr>
        <w:jc w:val="both"/>
      </w:pPr>
    </w:p>
    <w:p w14:paraId="5D36B0AE" w14:textId="42B28335" w:rsidR="003E4257" w:rsidRPr="003E4257" w:rsidRDefault="00647BB8" w:rsidP="003E4257">
      <w:pPr>
        <w:jc w:val="both"/>
        <w:rPr>
          <w:b/>
          <w:highlight w:val="yellow"/>
          <w:u w:val="single"/>
        </w:rPr>
      </w:pPr>
      <w:r w:rsidRPr="00647BB8">
        <w:rPr>
          <w:b/>
          <w:u w:val="single"/>
        </w:rPr>
        <w:t>Item 7</w:t>
      </w:r>
      <w:r w:rsidR="003E4257" w:rsidRPr="00647BB8">
        <w:rPr>
          <w:b/>
          <w:u w:val="single"/>
        </w:rPr>
        <w:t>: 5 Tellers HDFC</w:t>
      </w:r>
    </w:p>
    <w:p w14:paraId="1D4745C3" w14:textId="389EAB99" w:rsidR="00C377C2" w:rsidRPr="003E4257" w:rsidRDefault="00C377C2" w:rsidP="00C377C2">
      <w:pPr>
        <w:rPr>
          <w:highlight w:val="yellow"/>
        </w:rPr>
      </w:pPr>
    </w:p>
    <w:p w14:paraId="6A61492D" w14:textId="780B976D" w:rsidR="00402D91" w:rsidRPr="00DD19D3" w:rsidRDefault="00402D91" w:rsidP="00574FEE">
      <w:pPr>
        <w:jc w:val="both"/>
      </w:pPr>
      <w:r w:rsidRPr="00DD19D3">
        <w:t>The 5 Tellers HDFC portfolio comprise</w:t>
      </w:r>
      <w:r w:rsidR="00574FEE">
        <w:t>s</w:t>
      </w:r>
      <w:r w:rsidRPr="00DD19D3">
        <w:t xml:space="preserve"> of two adjacent and contiguous five-story walk-up rental buildings with 42 residential units located in the Concourse Village neighborhood of the South Bronx. The project </w:t>
      </w:r>
      <w:r w:rsidR="00DD19D3">
        <w:t>contains two</w:t>
      </w:r>
      <w:r w:rsidRPr="00DD19D3">
        <w:t xml:space="preserve"> one-bedroom units (inclusive of one </w:t>
      </w:r>
      <w:r w:rsidR="00694160" w:rsidRPr="00DD19D3">
        <w:t>super</w:t>
      </w:r>
      <w:r w:rsidR="00694160">
        <w:t>intendent</w:t>
      </w:r>
      <w:r w:rsidRPr="00DD19D3">
        <w:t xml:space="preserve"> unit), 22 two-bedroom units, and 18 three-bedroom units. </w:t>
      </w:r>
    </w:p>
    <w:p w14:paraId="298B4339" w14:textId="692B48FE" w:rsidR="00DD19D3" w:rsidRDefault="00DD19D3" w:rsidP="00402D91"/>
    <w:p w14:paraId="4703AF9E" w14:textId="563B8803" w:rsidR="00DD19D3" w:rsidRPr="00DD19D3" w:rsidRDefault="00DD19D3" w:rsidP="00DD19D3">
      <w:pPr>
        <w:jc w:val="both"/>
      </w:pPr>
      <w:r>
        <w:t xml:space="preserve">Under the proposed project, 5 Tellers HDFC </w:t>
      </w:r>
      <w:r w:rsidR="0010393E">
        <w:t xml:space="preserve">would </w:t>
      </w:r>
      <w:r>
        <w:t xml:space="preserve">acquire the </w:t>
      </w:r>
      <w:r w:rsidR="0010393E">
        <w:t>property</w:t>
      </w:r>
      <w:r>
        <w:t xml:space="preserve"> and 5 Tellers Associates, L.P. (</w:t>
      </w:r>
      <w:r w:rsidR="00694160">
        <w:t>Partnership</w:t>
      </w:r>
      <w:r>
        <w:t xml:space="preserve">) </w:t>
      </w:r>
      <w:r w:rsidR="0010393E">
        <w:t xml:space="preserve">would </w:t>
      </w:r>
      <w:r>
        <w:t xml:space="preserve">be the beneficial owner and </w:t>
      </w:r>
      <w:r w:rsidR="0010393E">
        <w:t xml:space="preserve">would </w:t>
      </w:r>
      <w:r>
        <w:t xml:space="preserve">operate the </w:t>
      </w:r>
      <w:r w:rsidR="0010393E">
        <w:t>project</w:t>
      </w:r>
      <w:r>
        <w:t>. The HDFC and the Partner</w:t>
      </w:r>
      <w:r w:rsidR="00694160">
        <w:t xml:space="preserve">ship (collectively, </w:t>
      </w:r>
      <w:r>
        <w:t xml:space="preserve">Owner) will finance the rehabilitation of the Exemption Area with loans from HPD and Community Preservation Corporation.  </w:t>
      </w:r>
      <w:r w:rsidRPr="00DD19D3">
        <w:t xml:space="preserve">The </w:t>
      </w:r>
      <w:r w:rsidR="0010393E">
        <w:t>purpose</w:t>
      </w:r>
      <w:r w:rsidR="0010393E" w:rsidRPr="00DD19D3">
        <w:t xml:space="preserve"> </w:t>
      </w:r>
      <w:r w:rsidRPr="00DD19D3">
        <w:t xml:space="preserve">of the </w:t>
      </w:r>
      <w:r>
        <w:t xml:space="preserve">proposed </w:t>
      </w:r>
      <w:r w:rsidRPr="00DD19D3">
        <w:t xml:space="preserve">project </w:t>
      </w:r>
      <w:r w:rsidR="0010393E">
        <w:t>is</w:t>
      </w:r>
      <w:r w:rsidR="0010393E" w:rsidRPr="00DD19D3">
        <w:t xml:space="preserve"> </w:t>
      </w:r>
      <w:r w:rsidRPr="00DD19D3">
        <w:t xml:space="preserve">to finance the moderate rehabilitation and energy and water efficiency needs of the properties, including the renovation and legalization of two basement units. </w:t>
      </w:r>
    </w:p>
    <w:p w14:paraId="2A84395B" w14:textId="6366DAFB" w:rsidR="00DD19D3" w:rsidRDefault="00DD19D3" w:rsidP="00DD19D3"/>
    <w:p w14:paraId="563511CD" w14:textId="6EDF9CB4" w:rsidR="00402D91" w:rsidRPr="00DD19D3" w:rsidRDefault="00574FEE" w:rsidP="00402D91">
      <w:pPr>
        <w:jc w:val="both"/>
      </w:pPr>
      <w:r>
        <w:t>Currently, t</w:t>
      </w:r>
      <w:r w:rsidR="00DD19D3">
        <w:t xml:space="preserve">he </w:t>
      </w:r>
      <w:r w:rsidR="0010393E">
        <w:t>property</w:t>
      </w:r>
      <w:r w:rsidR="00DD19D3">
        <w:t xml:space="preserve"> receives</w:t>
      </w:r>
      <w:r w:rsidR="0010393E">
        <w:t xml:space="preserve"> J-51 tax benefits</w:t>
      </w:r>
      <w:r w:rsidR="00DD19D3">
        <w:t xml:space="preserve">. In order to ensure the continued affordability of the </w:t>
      </w:r>
      <w:r w:rsidR="0010393E">
        <w:t>property</w:t>
      </w:r>
      <w:r w:rsidR="00DD19D3">
        <w:t xml:space="preserve">, HPD is requesting an Article XI exemption that </w:t>
      </w:r>
      <w:r w:rsidR="0010393E">
        <w:t xml:space="preserve">would </w:t>
      </w:r>
      <w:r w:rsidR="00DD19D3">
        <w:t xml:space="preserve">be reduced by an amount equal to any concurrent J-51 </w:t>
      </w:r>
      <w:r w:rsidR="0010393E">
        <w:t>b</w:t>
      </w:r>
      <w:r w:rsidR="00DD19D3">
        <w:t>enefits.</w:t>
      </w:r>
      <w:r w:rsidRPr="00574FEE">
        <w:t xml:space="preserve"> </w:t>
      </w:r>
      <w:r>
        <w:t xml:space="preserve">The J-51 </w:t>
      </w:r>
      <w:r w:rsidR="0010393E">
        <w:t>b</w:t>
      </w:r>
      <w:r>
        <w:t>enefits</w:t>
      </w:r>
      <w:r w:rsidRPr="00574FEE">
        <w:t xml:space="preserve"> </w:t>
      </w:r>
      <w:r>
        <w:t>are</w:t>
      </w:r>
      <w:r w:rsidRPr="00574FEE">
        <w:t xml:space="preserve"> set to expire in 2030.</w:t>
      </w:r>
      <w:r w:rsidR="0010393E">
        <w:t xml:space="preserve"> </w:t>
      </w:r>
      <w:r w:rsidR="00402D91" w:rsidRPr="00DD19D3">
        <w:t>HPD is requesting that the Council approve a 40-year, partial Article XI property tax exemption for the portfolio. HPD</w:t>
      </w:r>
      <w:r w:rsidR="0010393E">
        <w:t xml:space="preserve"> and the HDFC would</w:t>
      </w:r>
      <w:r w:rsidR="00402D91" w:rsidRPr="00DD19D3">
        <w:t xml:space="preserve"> enter into a regulatory agreement for the project that would require that </w:t>
      </w:r>
      <w:r w:rsidR="00110ADB">
        <w:t>all</w:t>
      </w:r>
      <w:r w:rsidR="00DB4CAA">
        <w:t xml:space="preserve"> </w:t>
      </w:r>
      <w:r w:rsidR="00402D91" w:rsidRPr="00DD19D3">
        <w:t xml:space="preserve">units </w:t>
      </w:r>
      <w:r w:rsidR="00110ADB">
        <w:t xml:space="preserve">shall </w:t>
      </w:r>
      <w:r w:rsidR="00DB4CAA">
        <w:t xml:space="preserve">be made available to households earning </w:t>
      </w:r>
      <w:r w:rsidR="00402D91" w:rsidRPr="00DD19D3">
        <w:t xml:space="preserve">up </w:t>
      </w:r>
      <w:r w:rsidR="00110ADB">
        <w:t>60% AMI.</w:t>
      </w:r>
    </w:p>
    <w:p w14:paraId="661B2A7A" w14:textId="452B58A1" w:rsidR="00402D91" w:rsidRPr="00DD19D3" w:rsidRDefault="00402D91" w:rsidP="00C377C2">
      <w:pPr>
        <w:rPr>
          <w:b/>
          <w:u w:val="single"/>
        </w:rPr>
      </w:pPr>
    </w:p>
    <w:p w14:paraId="524C14D8" w14:textId="43992B33" w:rsidR="00C377C2" w:rsidRPr="00DD19D3" w:rsidRDefault="003E4257" w:rsidP="00C377C2">
      <w:pPr>
        <w:rPr>
          <w:b/>
          <w:u w:val="single"/>
        </w:rPr>
      </w:pPr>
      <w:r w:rsidRPr="00DD19D3">
        <w:rPr>
          <w:b/>
          <w:u w:val="single"/>
        </w:rPr>
        <w:t>Summary:</w:t>
      </w:r>
    </w:p>
    <w:p w14:paraId="4A8A7B27" w14:textId="471A4A25" w:rsidR="003E4257" w:rsidRPr="00DD19D3" w:rsidRDefault="00C377C2"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Borough – Bronx</w:t>
      </w:r>
    </w:p>
    <w:p w14:paraId="569B4AE0" w14:textId="1531D319" w:rsidR="003E4257" w:rsidRPr="00DD19D3" w:rsidRDefault="003E4257"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Block 2421, Lots 22 and 24</w:t>
      </w:r>
    </w:p>
    <w:p w14:paraId="337C31B0" w14:textId="2A87F376" w:rsidR="003E4257" w:rsidRPr="00DD19D3" w:rsidRDefault="003E4257"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Council District – 17</w:t>
      </w:r>
    </w:p>
    <w:p w14:paraId="3C93B867" w14:textId="593881C2" w:rsidR="003E4257" w:rsidRPr="00DD19D3" w:rsidRDefault="003E4257"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Council Member</w:t>
      </w:r>
      <w:r w:rsidR="003D7562">
        <w:rPr>
          <w:rFonts w:ascii="Times New Roman" w:hAnsi="Times New Roman"/>
          <w:sz w:val="24"/>
          <w:szCs w:val="24"/>
        </w:rPr>
        <w:t xml:space="preserve"> – </w:t>
      </w:r>
      <w:r w:rsidRPr="00DD19D3">
        <w:rPr>
          <w:rFonts w:ascii="Times New Roman" w:hAnsi="Times New Roman"/>
          <w:sz w:val="24"/>
          <w:szCs w:val="24"/>
        </w:rPr>
        <w:t>Salamanca</w:t>
      </w:r>
    </w:p>
    <w:p w14:paraId="44BA1F2F" w14:textId="6361A46E" w:rsidR="003E4257" w:rsidRPr="00DD19D3" w:rsidRDefault="00C377C2"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 xml:space="preserve">Council Member approval – </w:t>
      </w:r>
      <w:r w:rsidR="003E4257" w:rsidRPr="00DD19D3">
        <w:rPr>
          <w:rFonts w:ascii="Times New Roman" w:hAnsi="Times New Roman"/>
          <w:sz w:val="24"/>
          <w:szCs w:val="24"/>
        </w:rPr>
        <w:t>Yes</w:t>
      </w:r>
    </w:p>
    <w:p w14:paraId="6798BDFE" w14:textId="77777777" w:rsidR="003E4257" w:rsidRPr="00DD19D3" w:rsidRDefault="00C377C2"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Number of buildings – 2</w:t>
      </w:r>
    </w:p>
    <w:p w14:paraId="2F8CA6F9" w14:textId="77777777" w:rsidR="003E4257" w:rsidRPr="00DD19D3" w:rsidRDefault="00C377C2"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Number of units – 42</w:t>
      </w:r>
    </w:p>
    <w:p w14:paraId="4C255078" w14:textId="77777777" w:rsidR="003E4257" w:rsidRPr="00DD19D3" w:rsidRDefault="00C377C2"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lastRenderedPageBreak/>
        <w:t>Type of exemption – Article XI, partial, 40 years</w:t>
      </w:r>
    </w:p>
    <w:p w14:paraId="5C996FE4" w14:textId="43122F29" w:rsidR="003E4257" w:rsidRPr="00DD19D3" w:rsidRDefault="00C377C2"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Population – affordable rental</w:t>
      </w:r>
      <w:r w:rsidR="00421854">
        <w:rPr>
          <w:rFonts w:ascii="Times New Roman" w:hAnsi="Times New Roman"/>
          <w:sz w:val="24"/>
          <w:szCs w:val="24"/>
        </w:rPr>
        <w:t xml:space="preserve"> housing </w:t>
      </w:r>
    </w:p>
    <w:p w14:paraId="09EA5569" w14:textId="10A908C2" w:rsidR="003E4257" w:rsidRPr="00DD19D3" w:rsidRDefault="003E4257"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Sponsor</w:t>
      </w:r>
      <w:r w:rsidR="003D7562">
        <w:rPr>
          <w:rFonts w:ascii="Times New Roman" w:hAnsi="Times New Roman"/>
          <w:sz w:val="24"/>
          <w:szCs w:val="24"/>
        </w:rPr>
        <w:t xml:space="preserve"> – </w:t>
      </w:r>
      <w:r w:rsidRPr="00DD19D3">
        <w:rPr>
          <w:rFonts w:ascii="Times New Roman" w:hAnsi="Times New Roman"/>
          <w:sz w:val="24"/>
          <w:szCs w:val="24"/>
        </w:rPr>
        <w:t xml:space="preserve">5 Tellers </w:t>
      </w:r>
      <w:r w:rsidR="0010393E">
        <w:rPr>
          <w:rFonts w:ascii="Times New Roman" w:hAnsi="Times New Roman"/>
          <w:sz w:val="24"/>
          <w:szCs w:val="24"/>
        </w:rPr>
        <w:t>HDFC</w:t>
      </w:r>
    </w:p>
    <w:p w14:paraId="444B8A4E" w14:textId="77777777" w:rsidR="003E4257" w:rsidRPr="00DD19D3" w:rsidRDefault="00C377C2"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Purpose – preservation</w:t>
      </w:r>
    </w:p>
    <w:p w14:paraId="20165602" w14:textId="4A06F08F" w:rsidR="003E4257" w:rsidRPr="00DD19D3" w:rsidRDefault="00C377C2"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Cost to the city</w:t>
      </w:r>
      <w:r w:rsidR="003D7562">
        <w:rPr>
          <w:rFonts w:ascii="Times New Roman" w:hAnsi="Times New Roman"/>
          <w:sz w:val="24"/>
          <w:szCs w:val="24"/>
        </w:rPr>
        <w:t xml:space="preserve"> – </w:t>
      </w:r>
      <w:r w:rsidRPr="00DD19D3">
        <w:rPr>
          <w:rFonts w:ascii="Times New Roman" w:hAnsi="Times New Roman"/>
          <w:sz w:val="24"/>
          <w:szCs w:val="24"/>
        </w:rPr>
        <w:t>$2.2 million</w:t>
      </w:r>
    </w:p>
    <w:p w14:paraId="352D7E2A" w14:textId="3D16CA22" w:rsidR="003E4257" w:rsidRPr="00DD19D3" w:rsidRDefault="003E4257" w:rsidP="003E4257">
      <w:pPr>
        <w:pStyle w:val="ListParagraph"/>
        <w:numPr>
          <w:ilvl w:val="0"/>
          <w:numId w:val="35"/>
        </w:numPr>
        <w:rPr>
          <w:rFonts w:ascii="Times New Roman" w:hAnsi="Times New Roman"/>
          <w:sz w:val="24"/>
          <w:szCs w:val="24"/>
        </w:rPr>
      </w:pPr>
      <w:r w:rsidRPr="00DD19D3">
        <w:rPr>
          <w:rFonts w:ascii="Times New Roman" w:hAnsi="Times New Roman"/>
          <w:sz w:val="24"/>
          <w:szCs w:val="24"/>
        </w:rPr>
        <w:t>Housing Code Violations</w:t>
      </w:r>
    </w:p>
    <w:p w14:paraId="2E5541C2" w14:textId="589F2C33" w:rsidR="003E4257" w:rsidRPr="00DD19D3" w:rsidRDefault="003E4257" w:rsidP="003E4257">
      <w:pPr>
        <w:pStyle w:val="ListParagraph"/>
        <w:numPr>
          <w:ilvl w:val="1"/>
          <w:numId w:val="35"/>
        </w:numPr>
        <w:rPr>
          <w:rFonts w:ascii="Times New Roman" w:hAnsi="Times New Roman"/>
          <w:sz w:val="24"/>
          <w:szCs w:val="24"/>
        </w:rPr>
      </w:pPr>
      <w:r w:rsidRPr="00DD19D3">
        <w:rPr>
          <w:rFonts w:ascii="Times New Roman" w:hAnsi="Times New Roman"/>
          <w:sz w:val="24"/>
          <w:szCs w:val="24"/>
        </w:rPr>
        <w:t>Class A – 22</w:t>
      </w:r>
    </w:p>
    <w:p w14:paraId="161D2F6A" w14:textId="4F68A5C5" w:rsidR="003E4257" w:rsidRPr="00DD19D3" w:rsidRDefault="003E4257" w:rsidP="003E4257">
      <w:pPr>
        <w:pStyle w:val="ListParagraph"/>
        <w:numPr>
          <w:ilvl w:val="1"/>
          <w:numId w:val="35"/>
        </w:numPr>
        <w:rPr>
          <w:rFonts w:ascii="Times New Roman" w:hAnsi="Times New Roman"/>
          <w:sz w:val="24"/>
          <w:szCs w:val="24"/>
        </w:rPr>
      </w:pPr>
      <w:r w:rsidRPr="00DD19D3">
        <w:rPr>
          <w:rFonts w:ascii="Times New Roman" w:hAnsi="Times New Roman"/>
          <w:sz w:val="24"/>
          <w:szCs w:val="24"/>
        </w:rPr>
        <w:t>Class B – 44</w:t>
      </w:r>
    </w:p>
    <w:p w14:paraId="53707975" w14:textId="21E0AE72" w:rsidR="003E4257" w:rsidRPr="00DD19D3" w:rsidRDefault="003E4257" w:rsidP="003E4257">
      <w:pPr>
        <w:pStyle w:val="ListParagraph"/>
        <w:numPr>
          <w:ilvl w:val="1"/>
          <w:numId w:val="35"/>
        </w:numPr>
        <w:rPr>
          <w:rFonts w:ascii="Times New Roman" w:hAnsi="Times New Roman"/>
          <w:sz w:val="24"/>
          <w:szCs w:val="24"/>
        </w:rPr>
      </w:pPr>
      <w:r w:rsidRPr="00DD19D3">
        <w:rPr>
          <w:rFonts w:ascii="Times New Roman" w:hAnsi="Times New Roman"/>
          <w:sz w:val="24"/>
          <w:szCs w:val="24"/>
        </w:rPr>
        <w:t>Class C – 11</w:t>
      </w:r>
    </w:p>
    <w:p w14:paraId="21D95D6C" w14:textId="17C02A44" w:rsidR="00B63E32" w:rsidRDefault="00C377C2" w:rsidP="00C27AF2">
      <w:pPr>
        <w:pStyle w:val="ListParagraph"/>
        <w:numPr>
          <w:ilvl w:val="0"/>
          <w:numId w:val="35"/>
        </w:numPr>
        <w:rPr>
          <w:rFonts w:ascii="Times New Roman" w:hAnsi="Times New Roman"/>
          <w:sz w:val="24"/>
          <w:szCs w:val="24"/>
        </w:rPr>
      </w:pPr>
      <w:r w:rsidRPr="00110ADB">
        <w:rPr>
          <w:rFonts w:ascii="Times New Roman" w:hAnsi="Times New Roman"/>
          <w:sz w:val="24"/>
          <w:szCs w:val="24"/>
        </w:rPr>
        <w:t xml:space="preserve">AMI targets – </w:t>
      </w:r>
      <w:r w:rsidR="00110ADB" w:rsidRPr="00110ADB">
        <w:rPr>
          <w:rFonts w:ascii="Times New Roman" w:hAnsi="Times New Roman"/>
          <w:sz w:val="24"/>
          <w:szCs w:val="24"/>
        </w:rPr>
        <w:t>60</w:t>
      </w:r>
      <w:r w:rsidRPr="00110ADB">
        <w:rPr>
          <w:rFonts w:ascii="Times New Roman" w:hAnsi="Times New Roman"/>
          <w:sz w:val="24"/>
          <w:szCs w:val="24"/>
        </w:rPr>
        <w:t>% AMI</w:t>
      </w:r>
    </w:p>
    <w:p w14:paraId="422221FC" w14:textId="77777777" w:rsidR="00110ADB" w:rsidRPr="00110ADB" w:rsidRDefault="00110ADB" w:rsidP="00110ADB">
      <w:pPr>
        <w:pStyle w:val="ListParagraph"/>
        <w:rPr>
          <w:rFonts w:ascii="Times New Roman" w:hAnsi="Times New Roman"/>
          <w:sz w:val="24"/>
          <w:szCs w:val="24"/>
        </w:rPr>
      </w:pPr>
    </w:p>
    <w:p w14:paraId="63A1DCD6" w14:textId="3FC1A7E2" w:rsidR="00B63E32" w:rsidRPr="003E4257" w:rsidRDefault="00B63E32" w:rsidP="00B63E32">
      <w:pPr>
        <w:jc w:val="both"/>
        <w:rPr>
          <w:b/>
          <w:u w:val="single"/>
        </w:rPr>
      </w:pPr>
      <w:r w:rsidRPr="00B63E32">
        <w:rPr>
          <w:b/>
          <w:u w:val="single"/>
        </w:rPr>
        <w:t>Item 8: Lexington Courts</w:t>
      </w:r>
    </w:p>
    <w:p w14:paraId="53A1D914" w14:textId="77777777" w:rsidR="00B63E32" w:rsidRPr="003E4257" w:rsidRDefault="00B63E32" w:rsidP="00B63E32">
      <w:pPr>
        <w:jc w:val="both"/>
        <w:rPr>
          <w:highlight w:val="yellow"/>
        </w:rPr>
      </w:pPr>
    </w:p>
    <w:p w14:paraId="0311BE38" w14:textId="0E0D5D5B" w:rsidR="00B63E32" w:rsidRPr="00694160" w:rsidRDefault="00B63E32" w:rsidP="00B63E32">
      <w:pPr>
        <w:jc w:val="both"/>
      </w:pPr>
      <w:r w:rsidRPr="00694160">
        <w:t>Lexington Courts consists of nine buildings and 229 units in East Harlem. The portfolio consists of one studio apartment, 43 one-bedroom apartments, 114 two-bedroom apartments, 40 three-bedroom apartme</w:t>
      </w:r>
      <w:r w:rsidR="00694160">
        <w:t>nts, 22 four-bedroom apartments</w:t>
      </w:r>
      <w:r w:rsidR="006E6D11">
        <w:t>,</w:t>
      </w:r>
      <w:r w:rsidRPr="00694160">
        <w:t xml:space="preserve"> and nine superintendent units.</w:t>
      </w:r>
    </w:p>
    <w:p w14:paraId="5ABB17AD" w14:textId="77777777" w:rsidR="00B63E32" w:rsidRPr="003E4257" w:rsidRDefault="00B63E32" w:rsidP="00B63E32">
      <w:pPr>
        <w:jc w:val="both"/>
      </w:pPr>
    </w:p>
    <w:p w14:paraId="56881D91" w14:textId="6DE2E1C1" w:rsidR="00B63E32" w:rsidRPr="003E4257" w:rsidRDefault="00B63E32" w:rsidP="00B63E32">
      <w:pPr>
        <w:jc w:val="both"/>
      </w:pPr>
      <w:r w:rsidRPr="003E4257">
        <w:t xml:space="preserve">East Harlem Lexington </w:t>
      </w:r>
      <w:r w:rsidR="003D7562">
        <w:t>HDFC</w:t>
      </w:r>
      <w:r w:rsidRPr="003E4257">
        <w:t xml:space="preserve"> acquired the </w:t>
      </w:r>
      <w:r w:rsidR="006E6D11">
        <w:t>property</w:t>
      </w:r>
      <w:r w:rsidRPr="003E4257">
        <w:t xml:space="preserve"> in 2009. East Ha</w:t>
      </w:r>
      <w:r w:rsidR="003D7562">
        <w:t>rlem Lexington Partners, L.P. (Partnership</w:t>
      </w:r>
      <w:r w:rsidRPr="003E4257">
        <w:t xml:space="preserve">) is the beneficial owner and operates the </w:t>
      </w:r>
      <w:r w:rsidR="006E6D11">
        <w:t>property</w:t>
      </w:r>
      <w:r w:rsidRPr="003E4257">
        <w:t xml:space="preserve">. The HDFC and </w:t>
      </w:r>
      <w:r w:rsidR="003D7562">
        <w:t xml:space="preserve">the Partnership (collectively, </w:t>
      </w:r>
      <w:r w:rsidRPr="003E4257">
        <w:t xml:space="preserve">Owner) entered into a regulatory agreement dated December 17, 2009 with the New York City Housing Development Corporation </w:t>
      </w:r>
      <w:r w:rsidR="003D7562">
        <w:t xml:space="preserve">(HDC) </w:t>
      </w:r>
      <w:r w:rsidRPr="003E4257">
        <w:t>providing that all units must be rented to families who incomes do not exceed 60% of AMI. The Owner and HPD will enter into a</w:t>
      </w:r>
      <w:r w:rsidR="003D7562">
        <w:t xml:space="preserve"> second</w:t>
      </w:r>
      <w:r w:rsidRPr="003E4257">
        <w:t xml:space="preserve"> regulatory agreement </w:t>
      </w:r>
      <w:r w:rsidR="00636928" w:rsidRPr="00636928">
        <w:t xml:space="preserve">for </w:t>
      </w:r>
      <w:r w:rsidR="00116B2A">
        <w:t>a 30-year term</w:t>
      </w:r>
      <w:r w:rsidR="00636928" w:rsidRPr="00636928">
        <w:t xml:space="preserve"> restricting the units in accordance with </w:t>
      </w:r>
      <w:r w:rsidR="00116B2A">
        <w:t>a</w:t>
      </w:r>
      <w:r w:rsidR="006A3387">
        <w:t xml:space="preserve"> HAP contract, </w:t>
      </w:r>
      <w:r w:rsidR="00636928" w:rsidRPr="00636928">
        <w:t xml:space="preserve">and </w:t>
      </w:r>
      <w:r w:rsidR="00116B2A">
        <w:t xml:space="preserve">limiting </w:t>
      </w:r>
      <w:r w:rsidR="00636928" w:rsidRPr="00636928">
        <w:t>legal rents at 200% of the HAP contract</w:t>
      </w:r>
      <w:r w:rsidR="00747F5E">
        <w:t xml:space="preserve"> which is</w:t>
      </w:r>
      <w:r w:rsidR="00116B2A">
        <w:t xml:space="preserve"> to be</w:t>
      </w:r>
      <w:r w:rsidR="00636928" w:rsidRPr="00636928">
        <w:t xml:space="preserve"> effective at closing</w:t>
      </w:r>
      <w:r w:rsidR="00636928">
        <w:t xml:space="preserve">. </w:t>
      </w:r>
    </w:p>
    <w:p w14:paraId="3EE32CBA" w14:textId="77777777" w:rsidR="00B63E32" w:rsidRPr="003E4257" w:rsidRDefault="00B63E32" w:rsidP="00B63E32">
      <w:pPr>
        <w:jc w:val="both"/>
      </w:pPr>
    </w:p>
    <w:p w14:paraId="2C37A860" w14:textId="77777777" w:rsidR="00B63E32" w:rsidRPr="003E4257" w:rsidRDefault="00B63E32" w:rsidP="00B63E32">
      <w:pPr>
        <w:jc w:val="both"/>
      </w:pPr>
      <w:r w:rsidRPr="003E4257">
        <w:t>HPD is requesting that the Council approve a 30-year, partial Article XI property tax exemption for the portfolio. Upon execution of the regulatory agreement, all units will continue to be rented to families who incomes do not exceed 60% of AMI.</w:t>
      </w:r>
    </w:p>
    <w:p w14:paraId="6E432551" w14:textId="77777777" w:rsidR="00B63E32" w:rsidRPr="003E4257" w:rsidRDefault="00B63E32" w:rsidP="00B63E32">
      <w:pPr>
        <w:jc w:val="both"/>
      </w:pPr>
    </w:p>
    <w:p w14:paraId="20FB8858" w14:textId="77777777" w:rsidR="00B63E32" w:rsidRPr="003E4257" w:rsidRDefault="00B63E32" w:rsidP="00B63E32">
      <w:pPr>
        <w:jc w:val="both"/>
        <w:rPr>
          <w:u w:val="single"/>
        </w:rPr>
      </w:pPr>
      <w:r w:rsidRPr="003E4257">
        <w:rPr>
          <w:u w:val="single"/>
        </w:rPr>
        <w:t>Summary:</w:t>
      </w:r>
    </w:p>
    <w:p w14:paraId="6CAA4B71" w14:textId="77777777"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 xml:space="preserve">Borough – Manhattan </w:t>
      </w:r>
    </w:p>
    <w:p w14:paraId="5C1D2616" w14:textId="77777777"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Block 1767, Lots 11, 22, 47, and 52; Block 1768, Lots 9 and 11; Block 1771, Lots 14 and 56; Block 1783, Lot 41</w:t>
      </w:r>
    </w:p>
    <w:p w14:paraId="654AF388" w14:textId="33FBA51F"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Council District</w:t>
      </w:r>
      <w:r w:rsidR="00694160">
        <w:rPr>
          <w:rFonts w:ascii="Times New Roman" w:hAnsi="Times New Roman"/>
          <w:sz w:val="24"/>
          <w:szCs w:val="24"/>
        </w:rPr>
        <w:t>s</w:t>
      </w:r>
      <w:r w:rsidRPr="003E4257">
        <w:rPr>
          <w:rFonts w:ascii="Times New Roman" w:hAnsi="Times New Roman"/>
          <w:sz w:val="24"/>
          <w:szCs w:val="24"/>
        </w:rPr>
        <w:t xml:space="preserve"> – 8</w:t>
      </w:r>
      <w:r w:rsidR="006E6D11">
        <w:rPr>
          <w:rFonts w:ascii="Times New Roman" w:hAnsi="Times New Roman"/>
          <w:sz w:val="24"/>
          <w:szCs w:val="24"/>
        </w:rPr>
        <w:t xml:space="preserve"> and</w:t>
      </w:r>
      <w:r w:rsidRPr="003E4257">
        <w:rPr>
          <w:rFonts w:ascii="Times New Roman" w:hAnsi="Times New Roman"/>
          <w:sz w:val="24"/>
          <w:szCs w:val="24"/>
        </w:rPr>
        <w:t xml:space="preserve"> 9 </w:t>
      </w:r>
    </w:p>
    <w:p w14:paraId="076D8492" w14:textId="00A00D62"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Council Members</w:t>
      </w:r>
      <w:r w:rsidR="003D7562">
        <w:rPr>
          <w:rFonts w:ascii="Times New Roman" w:hAnsi="Times New Roman"/>
          <w:sz w:val="24"/>
          <w:szCs w:val="24"/>
        </w:rPr>
        <w:t xml:space="preserve"> – </w:t>
      </w:r>
      <w:r w:rsidRPr="003E4257">
        <w:rPr>
          <w:rFonts w:ascii="Times New Roman" w:hAnsi="Times New Roman"/>
          <w:sz w:val="24"/>
          <w:szCs w:val="24"/>
        </w:rPr>
        <w:t>Ayala and Perkins</w:t>
      </w:r>
    </w:p>
    <w:p w14:paraId="0F83988E" w14:textId="77777777"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Council Member approval – Yes</w:t>
      </w:r>
    </w:p>
    <w:p w14:paraId="468025F3" w14:textId="77777777"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Number of buildings – 9</w:t>
      </w:r>
    </w:p>
    <w:p w14:paraId="3D3CB51E" w14:textId="77777777"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Number of units – 229</w:t>
      </w:r>
    </w:p>
    <w:p w14:paraId="5CFD1192" w14:textId="77777777"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Type of exemption – Article XI, partial, 30 years</w:t>
      </w:r>
    </w:p>
    <w:p w14:paraId="7397E76D" w14:textId="77777777"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 xml:space="preserve">Population – affordable rental housing </w:t>
      </w:r>
    </w:p>
    <w:p w14:paraId="25963530" w14:textId="4C9E8CAA" w:rsidR="00B63E32" w:rsidRPr="003E4257" w:rsidRDefault="00694160" w:rsidP="00B63E32">
      <w:pPr>
        <w:pStyle w:val="ListParagraph"/>
        <w:numPr>
          <w:ilvl w:val="0"/>
          <w:numId w:val="32"/>
        </w:numPr>
        <w:rPr>
          <w:rFonts w:ascii="Times New Roman" w:hAnsi="Times New Roman"/>
          <w:sz w:val="24"/>
          <w:szCs w:val="24"/>
        </w:rPr>
      </w:pPr>
      <w:r>
        <w:rPr>
          <w:rFonts w:ascii="Times New Roman" w:hAnsi="Times New Roman"/>
          <w:sz w:val="24"/>
          <w:szCs w:val="24"/>
        </w:rPr>
        <w:t>Sponsors</w:t>
      </w:r>
      <w:r w:rsidR="003D7562">
        <w:rPr>
          <w:rFonts w:ascii="Times New Roman" w:hAnsi="Times New Roman"/>
          <w:sz w:val="24"/>
          <w:szCs w:val="24"/>
        </w:rPr>
        <w:t xml:space="preserve"> – </w:t>
      </w:r>
      <w:r w:rsidR="00B63E32" w:rsidRPr="003E4257">
        <w:rPr>
          <w:rFonts w:ascii="Times New Roman" w:hAnsi="Times New Roman"/>
          <w:sz w:val="24"/>
          <w:szCs w:val="24"/>
        </w:rPr>
        <w:t xml:space="preserve">East Harlem Lexington </w:t>
      </w:r>
      <w:r w:rsidR="00C17179">
        <w:rPr>
          <w:rFonts w:ascii="Times New Roman" w:hAnsi="Times New Roman"/>
          <w:sz w:val="24"/>
          <w:szCs w:val="24"/>
        </w:rPr>
        <w:t>HDFC</w:t>
      </w:r>
      <w:r w:rsidR="00B63E32" w:rsidRPr="003E4257">
        <w:rPr>
          <w:rFonts w:ascii="Times New Roman" w:hAnsi="Times New Roman"/>
          <w:sz w:val="24"/>
          <w:szCs w:val="24"/>
        </w:rPr>
        <w:t>; East Harlem Lexington Partners, L.P.</w:t>
      </w:r>
    </w:p>
    <w:p w14:paraId="0E833E31" w14:textId="77777777" w:rsidR="00B63E32" w:rsidRPr="003E4257" w:rsidRDefault="00B63E32" w:rsidP="00B63E32">
      <w:pPr>
        <w:pStyle w:val="ListParagraph"/>
        <w:numPr>
          <w:ilvl w:val="0"/>
          <w:numId w:val="32"/>
        </w:numPr>
        <w:rPr>
          <w:rFonts w:ascii="Times New Roman" w:hAnsi="Times New Roman"/>
          <w:sz w:val="24"/>
          <w:szCs w:val="24"/>
        </w:rPr>
      </w:pPr>
      <w:r w:rsidRPr="003E4257">
        <w:rPr>
          <w:rFonts w:ascii="Times New Roman" w:hAnsi="Times New Roman"/>
          <w:sz w:val="24"/>
          <w:szCs w:val="24"/>
        </w:rPr>
        <w:t>Purpose – preservation</w:t>
      </w:r>
    </w:p>
    <w:p w14:paraId="7A7F182C" w14:textId="79A7F57C" w:rsidR="00B63E32" w:rsidRPr="003E4257" w:rsidRDefault="00B63E32" w:rsidP="00C17179">
      <w:pPr>
        <w:pStyle w:val="ListParagraph"/>
        <w:numPr>
          <w:ilvl w:val="0"/>
          <w:numId w:val="32"/>
        </w:numPr>
        <w:rPr>
          <w:rFonts w:ascii="Times New Roman" w:hAnsi="Times New Roman"/>
          <w:sz w:val="24"/>
          <w:szCs w:val="24"/>
        </w:rPr>
      </w:pPr>
      <w:r w:rsidRPr="003E4257">
        <w:rPr>
          <w:rFonts w:ascii="Times New Roman" w:hAnsi="Times New Roman"/>
          <w:sz w:val="24"/>
          <w:szCs w:val="24"/>
        </w:rPr>
        <w:t>Cost to the city</w:t>
      </w:r>
      <w:r w:rsidR="003D7562">
        <w:rPr>
          <w:rFonts w:ascii="Times New Roman" w:hAnsi="Times New Roman"/>
          <w:sz w:val="24"/>
          <w:szCs w:val="24"/>
        </w:rPr>
        <w:t xml:space="preserve"> – </w:t>
      </w:r>
      <w:r w:rsidRPr="003E4257">
        <w:rPr>
          <w:rFonts w:ascii="Times New Roman" w:hAnsi="Times New Roman"/>
          <w:sz w:val="24"/>
          <w:szCs w:val="24"/>
        </w:rPr>
        <w:t>$14.2 million</w:t>
      </w:r>
    </w:p>
    <w:p w14:paraId="2B190567" w14:textId="636E12EB" w:rsidR="00C2260D" w:rsidRPr="00C17179" w:rsidRDefault="00B63E32" w:rsidP="00C17179">
      <w:pPr>
        <w:pStyle w:val="ListParagraph"/>
        <w:numPr>
          <w:ilvl w:val="0"/>
          <w:numId w:val="32"/>
        </w:numPr>
        <w:rPr>
          <w:rFonts w:ascii="Times New Roman" w:hAnsi="Times New Roman"/>
          <w:sz w:val="24"/>
          <w:szCs w:val="24"/>
        </w:rPr>
      </w:pPr>
      <w:r w:rsidRPr="003E4257">
        <w:rPr>
          <w:rFonts w:ascii="Times New Roman" w:hAnsi="Times New Roman"/>
          <w:sz w:val="24"/>
          <w:szCs w:val="24"/>
        </w:rPr>
        <w:t>AMI Targets – 60% AMI</w:t>
      </w:r>
    </w:p>
    <w:sectPr w:rsidR="00C2260D" w:rsidRPr="00C17179" w:rsidSect="001308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2D75" w14:textId="77777777" w:rsidR="005379DA" w:rsidRDefault="005379DA" w:rsidP="00FA6444">
      <w:r>
        <w:separator/>
      </w:r>
    </w:p>
  </w:endnote>
  <w:endnote w:type="continuationSeparator" w:id="0">
    <w:p w14:paraId="4A5B4597" w14:textId="77777777" w:rsidR="005379DA" w:rsidRDefault="005379DA" w:rsidP="00FA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CDFD" w14:textId="77777777" w:rsidR="00BF3D1C" w:rsidRDefault="00BF3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AD28" w14:textId="50907445" w:rsidR="00D70321" w:rsidRDefault="00D70321">
    <w:pPr>
      <w:pStyle w:val="Footer"/>
      <w:jc w:val="center"/>
    </w:pPr>
    <w:r>
      <w:fldChar w:fldCharType="begin"/>
    </w:r>
    <w:r>
      <w:instrText xml:space="preserve"> PAGE   \* MERGEFORMAT </w:instrText>
    </w:r>
    <w:r>
      <w:fldChar w:fldCharType="separate"/>
    </w:r>
    <w:r w:rsidR="002D65A9">
      <w:rPr>
        <w:noProof/>
      </w:rPr>
      <w:t>7</w:t>
    </w:r>
    <w:r>
      <w:rPr>
        <w:noProof/>
      </w:rPr>
      <w:fldChar w:fldCharType="end"/>
    </w:r>
  </w:p>
  <w:p w14:paraId="0B08AB01" w14:textId="77777777" w:rsidR="000716F7" w:rsidRDefault="00071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E5BB" w14:textId="77777777" w:rsidR="00BF3D1C" w:rsidRDefault="00BF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138AF" w14:textId="77777777" w:rsidR="005379DA" w:rsidRDefault="005379DA" w:rsidP="00FA6444">
      <w:r>
        <w:separator/>
      </w:r>
    </w:p>
  </w:footnote>
  <w:footnote w:type="continuationSeparator" w:id="0">
    <w:p w14:paraId="1CFED6BC" w14:textId="77777777" w:rsidR="005379DA" w:rsidRDefault="005379DA" w:rsidP="00FA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D776" w14:textId="77777777" w:rsidR="00BF3D1C" w:rsidRDefault="00BF3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0209" w14:textId="108D41F9" w:rsidR="00BF3D1C" w:rsidRDefault="00BF3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2865" w14:textId="77777777" w:rsidR="00BF3D1C" w:rsidRDefault="00BF3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0AB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343"/>
    <w:multiLevelType w:val="hybridMultilevel"/>
    <w:tmpl w:val="FE664538"/>
    <w:lvl w:ilvl="0" w:tplc="C06205C4">
      <w:start w:val="1"/>
      <w:numFmt w:val="decimal"/>
      <w:lvlText w:val="%1."/>
      <w:lvlJc w:val="left"/>
      <w:pPr>
        <w:ind w:left="451" w:hanging="361"/>
        <w:jc w:val="right"/>
      </w:pPr>
      <w:rPr>
        <w:rFonts w:ascii="Arial" w:eastAsia="Arial" w:hAnsi="Arial" w:hint="default"/>
        <w:color w:val="auto"/>
        <w:spacing w:val="-1"/>
        <w:w w:val="100"/>
      </w:rPr>
    </w:lvl>
    <w:lvl w:ilvl="1" w:tplc="0C4CF96C">
      <w:start w:val="1"/>
      <w:numFmt w:val="lowerLetter"/>
      <w:lvlText w:val="%2."/>
      <w:lvlJc w:val="left"/>
      <w:pPr>
        <w:ind w:left="1200" w:hanging="360"/>
      </w:pPr>
      <w:rPr>
        <w:rFonts w:ascii="Arial" w:eastAsia="Arial" w:hAnsi="Arial" w:hint="default"/>
        <w:spacing w:val="-1"/>
        <w:w w:val="100"/>
        <w:sz w:val="22"/>
        <w:szCs w:val="22"/>
      </w:rPr>
    </w:lvl>
    <w:lvl w:ilvl="2" w:tplc="5492FC34">
      <w:start w:val="1"/>
      <w:numFmt w:val="bullet"/>
      <w:lvlText w:val="•"/>
      <w:lvlJc w:val="left"/>
      <w:pPr>
        <w:ind w:left="1357" w:hanging="360"/>
      </w:pPr>
      <w:rPr>
        <w:rFonts w:hint="default"/>
      </w:rPr>
    </w:lvl>
    <w:lvl w:ilvl="3" w:tplc="F6FA7B24">
      <w:start w:val="1"/>
      <w:numFmt w:val="bullet"/>
      <w:lvlText w:val="•"/>
      <w:lvlJc w:val="left"/>
      <w:pPr>
        <w:ind w:left="1515" w:hanging="360"/>
      </w:pPr>
      <w:rPr>
        <w:rFonts w:hint="default"/>
      </w:rPr>
    </w:lvl>
    <w:lvl w:ilvl="4" w:tplc="8C44B07C">
      <w:start w:val="1"/>
      <w:numFmt w:val="bullet"/>
      <w:lvlText w:val="•"/>
      <w:lvlJc w:val="left"/>
      <w:pPr>
        <w:ind w:left="1673" w:hanging="360"/>
      </w:pPr>
      <w:rPr>
        <w:rFonts w:hint="default"/>
      </w:rPr>
    </w:lvl>
    <w:lvl w:ilvl="5" w:tplc="041E43B4">
      <w:start w:val="1"/>
      <w:numFmt w:val="bullet"/>
      <w:lvlText w:val="•"/>
      <w:lvlJc w:val="left"/>
      <w:pPr>
        <w:ind w:left="1831" w:hanging="360"/>
      </w:pPr>
      <w:rPr>
        <w:rFonts w:hint="default"/>
      </w:rPr>
    </w:lvl>
    <w:lvl w:ilvl="6" w:tplc="D0968342">
      <w:start w:val="1"/>
      <w:numFmt w:val="bullet"/>
      <w:lvlText w:val="•"/>
      <w:lvlJc w:val="left"/>
      <w:pPr>
        <w:ind w:left="1988" w:hanging="360"/>
      </w:pPr>
      <w:rPr>
        <w:rFonts w:hint="default"/>
      </w:rPr>
    </w:lvl>
    <w:lvl w:ilvl="7" w:tplc="19AC655A">
      <w:start w:val="1"/>
      <w:numFmt w:val="bullet"/>
      <w:lvlText w:val="•"/>
      <w:lvlJc w:val="left"/>
      <w:pPr>
        <w:ind w:left="2146" w:hanging="360"/>
      </w:pPr>
      <w:rPr>
        <w:rFonts w:hint="default"/>
      </w:rPr>
    </w:lvl>
    <w:lvl w:ilvl="8" w:tplc="887A3FDC">
      <w:start w:val="1"/>
      <w:numFmt w:val="bullet"/>
      <w:lvlText w:val="•"/>
      <w:lvlJc w:val="left"/>
      <w:pPr>
        <w:ind w:left="2304" w:hanging="360"/>
      </w:pPr>
      <w:rPr>
        <w:rFonts w:hint="default"/>
      </w:rPr>
    </w:lvl>
  </w:abstractNum>
  <w:abstractNum w:abstractNumId="2" w15:restartNumberingAfterBreak="0">
    <w:nsid w:val="09842B53"/>
    <w:multiLevelType w:val="multilevel"/>
    <w:tmpl w:val="99643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34882"/>
    <w:multiLevelType w:val="hybridMultilevel"/>
    <w:tmpl w:val="47E6D79E"/>
    <w:lvl w:ilvl="0" w:tplc="A3C408AE">
      <w:numFmt w:val="bullet"/>
      <w:lvlText w:val="·"/>
      <w:lvlJc w:val="left"/>
      <w:pPr>
        <w:ind w:left="765" w:hanging="405"/>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24BDD"/>
    <w:multiLevelType w:val="hybridMultilevel"/>
    <w:tmpl w:val="3146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8093A"/>
    <w:multiLevelType w:val="hybridMultilevel"/>
    <w:tmpl w:val="5FDC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1C23"/>
    <w:multiLevelType w:val="hybridMultilevel"/>
    <w:tmpl w:val="29D6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CF07E8"/>
    <w:multiLevelType w:val="multilevel"/>
    <w:tmpl w:val="00D4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47AD7"/>
    <w:multiLevelType w:val="hybridMultilevel"/>
    <w:tmpl w:val="C406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15102"/>
    <w:multiLevelType w:val="hybridMultilevel"/>
    <w:tmpl w:val="EE46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A55E9"/>
    <w:multiLevelType w:val="hybridMultilevel"/>
    <w:tmpl w:val="225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525F1"/>
    <w:multiLevelType w:val="hybridMultilevel"/>
    <w:tmpl w:val="9ECA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B4B82"/>
    <w:multiLevelType w:val="multilevel"/>
    <w:tmpl w:val="D72C3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7297E"/>
    <w:multiLevelType w:val="multilevel"/>
    <w:tmpl w:val="E4147D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40941A4"/>
    <w:multiLevelType w:val="hybridMultilevel"/>
    <w:tmpl w:val="F10888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8A3590B"/>
    <w:multiLevelType w:val="hybridMultilevel"/>
    <w:tmpl w:val="6F7E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BD2C30"/>
    <w:multiLevelType w:val="hybridMultilevel"/>
    <w:tmpl w:val="F65EF758"/>
    <w:lvl w:ilvl="0" w:tplc="03926C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80FB7"/>
    <w:multiLevelType w:val="hybridMultilevel"/>
    <w:tmpl w:val="4C8281FE"/>
    <w:lvl w:ilvl="0" w:tplc="04090001">
      <w:start w:val="1"/>
      <w:numFmt w:val="bullet"/>
      <w:lvlText w:val=""/>
      <w:lvlJc w:val="left"/>
      <w:pPr>
        <w:ind w:left="720" w:hanging="360"/>
      </w:pPr>
      <w:rPr>
        <w:rFonts w:ascii="Symbol" w:hAnsi="Symbol" w:hint="default"/>
      </w:rPr>
    </w:lvl>
    <w:lvl w:ilvl="1" w:tplc="C12EA6F2">
      <w:numFmt w:val="bullet"/>
      <w:lvlText w:val="·"/>
      <w:lvlJc w:val="left"/>
      <w:pPr>
        <w:ind w:left="1575" w:hanging="495"/>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53419"/>
    <w:multiLevelType w:val="hybridMultilevel"/>
    <w:tmpl w:val="B53E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8E5E8B"/>
    <w:multiLevelType w:val="multilevel"/>
    <w:tmpl w:val="AA8A1D8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52B11D92"/>
    <w:multiLevelType w:val="hybridMultilevel"/>
    <w:tmpl w:val="3446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AD15D6"/>
    <w:multiLevelType w:val="multilevel"/>
    <w:tmpl w:val="D33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7F73"/>
    <w:multiLevelType w:val="hybridMultilevel"/>
    <w:tmpl w:val="1430F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3100DD"/>
    <w:multiLevelType w:val="multilevel"/>
    <w:tmpl w:val="BEE03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99166A"/>
    <w:multiLevelType w:val="hybridMultilevel"/>
    <w:tmpl w:val="15C6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3333E"/>
    <w:multiLevelType w:val="hybridMultilevel"/>
    <w:tmpl w:val="1BAE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D2FEA"/>
    <w:multiLevelType w:val="multilevel"/>
    <w:tmpl w:val="9D7413B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190004F"/>
    <w:multiLevelType w:val="multilevel"/>
    <w:tmpl w:val="0330A9B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73B95C4D"/>
    <w:multiLevelType w:val="hybridMultilevel"/>
    <w:tmpl w:val="241E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1936D3"/>
    <w:multiLevelType w:val="hybridMultilevel"/>
    <w:tmpl w:val="A4585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CC730D9"/>
    <w:multiLevelType w:val="multilevel"/>
    <w:tmpl w:val="3E049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5"/>
  </w:num>
  <w:num w:numId="4">
    <w:abstractNumId w:val="26"/>
  </w:num>
  <w:num w:numId="5">
    <w:abstractNumId w:val="17"/>
  </w:num>
  <w:num w:numId="6">
    <w:abstractNumId w:val="12"/>
  </w:num>
  <w:num w:numId="7">
    <w:abstractNumId w:val="29"/>
  </w:num>
  <w:num w:numId="8">
    <w:abstractNumId w:val="15"/>
  </w:num>
  <w:num w:numId="9">
    <w:abstractNumId w:val="30"/>
  </w:num>
  <w:num w:numId="10">
    <w:abstractNumId w:val="14"/>
  </w:num>
  <w:num w:numId="11">
    <w:abstractNumId w:val="13"/>
  </w:num>
  <w:num w:numId="12">
    <w:abstractNumId w:val="19"/>
  </w:num>
  <w:num w:numId="13">
    <w:abstractNumId w:val="7"/>
  </w:num>
  <w:num w:numId="14">
    <w:abstractNumId w:val="27"/>
  </w:num>
  <w:num w:numId="15">
    <w:abstractNumId w:val="28"/>
  </w:num>
  <w:num w:numId="16">
    <w:abstractNumId w:val="31"/>
  </w:num>
  <w:num w:numId="17">
    <w:abstractNumId w:val="24"/>
  </w:num>
  <w:num w:numId="18">
    <w:abstractNumId w:val="6"/>
  </w:num>
  <w:num w:numId="19">
    <w:abstractNumId w:val="2"/>
  </w:num>
  <w:num w:numId="20">
    <w:abstractNumId w:val="0"/>
  </w:num>
  <w:num w:numId="21">
    <w:abstractNumId w:val="11"/>
  </w:num>
  <w:num w:numId="22">
    <w:abstractNumId w:val="4"/>
  </w:num>
  <w:num w:numId="23">
    <w:abstractNumId w:val="21"/>
  </w:num>
  <w:num w:numId="24">
    <w:abstractNumId w:val="18"/>
  </w:num>
  <w:num w:numId="25">
    <w:abstractNumId w:val="23"/>
  </w:num>
  <w:num w:numId="26">
    <w:abstractNumId w:val="1"/>
  </w:num>
  <w:num w:numId="27">
    <w:abstractNumId w:val="10"/>
  </w:num>
  <w:num w:numId="28">
    <w:abstractNumId w:val="16"/>
  </w:num>
  <w:num w:numId="29">
    <w:abstractNumId w:val="22"/>
  </w:num>
  <w:num w:numId="30">
    <w:abstractNumId w:val="23"/>
  </w:num>
  <w:num w:numId="31">
    <w:abstractNumId w:val="3"/>
  </w:num>
  <w:num w:numId="32">
    <w:abstractNumId w:val="25"/>
  </w:num>
  <w:num w:numId="33">
    <w:abstractNumId w:val="8"/>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90"/>
    <w:rsid w:val="00002669"/>
    <w:rsid w:val="000036D5"/>
    <w:rsid w:val="00004E6D"/>
    <w:rsid w:val="00010F0B"/>
    <w:rsid w:val="000127AB"/>
    <w:rsid w:val="00017429"/>
    <w:rsid w:val="000204F4"/>
    <w:rsid w:val="00020553"/>
    <w:rsid w:val="00020E21"/>
    <w:rsid w:val="00021354"/>
    <w:rsid w:val="00021E3D"/>
    <w:rsid w:val="00022542"/>
    <w:rsid w:val="000238A5"/>
    <w:rsid w:val="00026923"/>
    <w:rsid w:val="000322DA"/>
    <w:rsid w:val="00040B3E"/>
    <w:rsid w:val="00045E6C"/>
    <w:rsid w:val="000463A1"/>
    <w:rsid w:val="00052A0B"/>
    <w:rsid w:val="00053AE1"/>
    <w:rsid w:val="0005463B"/>
    <w:rsid w:val="000546A9"/>
    <w:rsid w:val="000548B7"/>
    <w:rsid w:val="00061E94"/>
    <w:rsid w:val="000630B2"/>
    <w:rsid w:val="00063A71"/>
    <w:rsid w:val="000716F7"/>
    <w:rsid w:val="00072EAC"/>
    <w:rsid w:val="00074A46"/>
    <w:rsid w:val="0008288C"/>
    <w:rsid w:val="00082E90"/>
    <w:rsid w:val="00092770"/>
    <w:rsid w:val="00097258"/>
    <w:rsid w:val="000A17C1"/>
    <w:rsid w:val="000A3ACF"/>
    <w:rsid w:val="000A3EAF"/>
    <w:rsid w:val="000B0042"/>
    <w:rsid w:val="000B06B3"/>
    <w:rsid w:val="000B0F0A"/>
    <w:rsid w:val="000B1FCE"/>
    <w:rsid w:val="000B25A3"/>
    <w:rsid w:val="000B3985"/>
    <w:rsid w:val="000B5880"/>
    <w:rsid w:val="000B6324"/>
    <w:rsid w:val="000C2408"/>
    <w:rsid w:val="000C3903"/>
    <w:rsid w:val="000C62C9"/>
    <w:rsid w:val="000D061C"/>
    <w:rsid w:val="000D1352"/>
    <w:rsid w:val="000D2BF0"/>
    <w:rsid w:val="000D5866"/>
    <w:rsid w:val="000D6618"/>
    <w:rsid w:val="000D700A"/>
    <w:rsid w:val="000E1816"/>
    <w:rsid w:val="000E198F"/>
    <w:rsid w:val="000E2066"/>
    <w:rsid w:val="000E2647"/>
    <w:rsid w:val="000E268A"/>
    <w:rsid w:val="000E2EA9"/>
    <w:rsid w:val="000E2F58"/>
    <w:rsid w:val="000E36D6"/>
    <w:rsid w:val="000E7EF8"/>
    <w:rsid w:val="000F021A"/>
    <w:rsid w:val="000F058C"/>
    <w:rsid w:val="000F1569"/>
    <w:rsid w:val="000F25C3"/>
    <w:rsid w:val="000F67FE"/>
    <w:rsid w:val="000F711F"/>
    <w:rsid w:val="001033AF"/>
    <w:rsid w:val="0010393E"/>
    <w:rsid w:val="00110202"/>
    <w:rsid w:val="00110ADB"/>
    <w:rsid w:val="001130CA"/>
    <w:rsid w:val="0011498C"/>
    <w:rsid w:val="00116B2A"/>
    <w:rsid w:val="00121B58"/>
    <w:rsid w:val="00122B7A"/>
    <w:rsid w:val="0012327D"/>
    <w:rsid w:val="001256A5"/>
    <w:rsid w:val="0013032E"/>
    <w:rsid w:val="00130863"/>
    <w:rsid w:val="00134693"/>
    <w:rsid w:val="00134A50"/>
    <w:rsid w:val="00134AEB"/>
    <w:rsid w:val="00134BDB"/>
    <w:rsid w:val="001369B3"/>
    <w:rsid w:val="00143112"/>
    <w:rsid w:val="0014582A"/>
    <w:rsid w:val="00146565"/>
    <w:rsid w:val="0015446D"/>
    <w:rsid w:val="00154BC2"/>
    <w:rsid w:val="00154D73"/>
    <w:rsid w:val="00157A41"/>
    <w:rsid w:val="00160A16"/>
    <w:rsid w:val="00165E19"/>
    <w:rsid w:val="00171F13"/>
    <w:rsid w:val="00172D47"/>
    <w:rsid w:val="0017552D"/>
    <w:rsid w:val="0017650B"/>
    <w:rsid w:val="001830FA"/>
    <w:rsid w:val="001835A0"/>
    <w:rsid w:val="00183D1B"/>
    <w:rsid w:val="001852E5"/>
    <w:rsid w:val="00185853"/>
    <w:rsid w:val="001864D0"/>
    <w:rsid w:val="001870A0"/>
    <w:rsid w:val="00187574"/>
    <w:rsid w:val="001A0E61"/>
    <w:rsid w:val="001A222E"/>
    <w:rsid w:val="001A4DCC"/>
    <w:rsid w:val="001B0FE6"/>
    <w:rsid w:val="001B0FEF"/>
    <w:rsid w:val="001B20AB"/>
    <w:rsid w:val="001B2391"/>
    <w:rsid w:val="001B3996"/>
    <w:rsid w:val="001B4BB0"/>
    <w:rsid w:val="001B5F3B"/>
    <w:rsid w:val="001B7EDF"/>
    <w:rsid w:val="001C5056"/>
    <w:rsid w:val="001C6AE6"/>
    <w:rsid w:val="001D137A"/>
    <w:rsid w:val="001D19E4"/>
    <w:rsid w:val="001D3D00"/>
    <w:rsid w:val="001D592A"/>
    <w:rsid w:val="001E3515"/>
    <w:rsid w:val="001E6291"/>
    <w:rsid w:val="001E7CA7"/>
    <w:rsid w:val="001F0AE2"/>
    <w:rsid w:val="001F1A8D"/>
    <w:rsid w:val="00201876"/>
    <w:rsid w:val="00202AA8"/>
    <w:rsid w:val="00206D01"/>
    <w:rsid w:val="002077B6"/>
    <w:rsid w:val="00207A29"/>
    <w:rsid w:val="00211B21"/>
    <w:rsid w:val="0021276E"/>
    <w:rsid w:val="0021492C"/>
    <w:rsid w:val="002153F3"/>
    <w:rsid w:val="002156C5"/>
    <w:rsid w:val="00215A1F"/>
    <w:rsid w:val="00215AF8"/>
    <w:rsid w:val="002212C1"/>
    <w:rsid w:val="0022162C"/>
    <w:rsid w:val="00222A11"/>
    <w:rsid w:val="00226D45"/>
    <w:rsid w:val="00234791"/>
    <w:rsid w:val="002359FB"/>
    <w:rsid w:val="002364CA"/>
    <w:rsid w:val="002378D1"/>
    <w:rsid w:val="00240D0D"/>
    <w:rsid w:val="00240D89"/>
    <w:rsid w:val="00244997"/>
    <w:rsid w:val="00246061"/>
    <w:rsid w:val="00247BE2"/>
    <w:rsid w:val="002510C9"/>
    <w:rsid w:val="002530FF"/>
    <w:rsid w:val="0025333B"/>
    <w:rsid w:val="00253763"/>
    <w:rsid w:val="00256D76"/>
    <w:rsid w:val="002607C0"/>
    <w:rsid w:val="00263420"/>
    <w:rsid w:val="00266258"/>
    <w:rsid w:val="00267CFD"/>
    <w:rsid w:val="002702B8"/>
    <w:rsid w:val="002705F8"/>
    <w:rsid w:val="002824A5"/>
    <w:rsid w:val="0029571D"/>
    <w:rsid w:val="002A351C"/>
    <w:rsid w:val="002A3A95"/>
    <w:rsid w:val="002A50B1"/>
    <w:rsid w:val="002A6BCE"/>
    <w:rsid w:val="002A7D5A"/>
    <w:rsid w:val="002B52CF"/>
    <w:rsid w:val="002B55FA"/>
    <w:rsid w:val="002B5C44"/>
    <w:rsid w:val="002C4B4C"/>
    <w:rsid w:val="002C4EA8"/>
    <w:rsid w:val="002C5AE9"/>
    <w:rsid w:val="002C7560"/>
    <w:rsid w:val="002D2210"/>
    <w:rsid w:val="002D43BA"/>
    <w:rsid w:val="002D5D82"/>
    <w:rsid w:val="002D65A9"/>
    <w:rsid w:val="002D66FA"/>
    <w:rsid w:val="002D6EF4"/>
    <w:rsid w:val="002E0837"/>
    <w:rsid w:val="002E51A3"/>
    <w:rsid w:val="002E5278"/>
    <w:rsid w:val="002F0736"/>
    <w:rsid w:val="002F34F8"/>
    <w:rsid w:val="002F7088"/>
    <w:rsid w:val="00300083"/>
    <w:rsid w:val="00302AAB"/>
    <w:rsid w:val="00310620"/>
    <w:rsid w:val="00310A7E"/>
    <w:rsid w:val="003223C8"/>
    <w:rsid w:val="003260B4"/>
    <w:rsid w:val="00333B3E"/>
    <w:rsid w:val="00337647"/>
    <w:rsid w:val="00337883"/>
    <w:rsid w:val="00342786"/>
    <w:rsid w:val="0034603B"/>
    <w:rsid w:val="00350E72"/>
    <w:rsid w:val="00352DB9"/>
    <w:rsid w:val="00353945"/>
    <w:rsid w:val="003608CF"/>
    <w:rsid w:val="0036222E"/>
    <w:rsid w:val="00362D82"/>
    <w:rsid w:val="00366E05"/>
    <w:rsid w:val="00374260"/>
    <w:rsid w:val="00375CE8"/>
    <w:rsid w:val="00377521"/>
    <w:rsid w:val="00380971"/>
    <w:rsid w:val="003847C0"/>
    <w:rsid w:val="0038662E"/>
    <w:rsid w:val="003C08F9"/>
    <w:rsid w:val="003C2469"/>
    <w:rsid w:val="003C498C"/>
    <w:rsid w:val="003C7696"/>
    <w:rsid w:val="003C7D24"/>
    <w:rsid w:val="003D17C9"/>
    <w:rsid w:val="003D19D2"/>
    <w:rsid w:val="003D1B8E"/>
    <w:rsid w:val="003D2F52"/>
    <w:rsid w:val="003D3185"/>
    <w:rsid w:val="003D5575"/>
    <w:rsid w:val="003D7562"/>
    <w:rsid w:val="003E3305"/>
    <w:rsid w:val="003E36E3"/>
    <w:rsid w:val="003E3D1A"/>
    <w:rsid w:val="003E4257"/>
    <w:rsid w:val="003E5A69"/>
    <w:rsid w:val="003E6B3A"/>
    <w:rsid w:val="003F123E"/>
    <w:rsid w:val="003F18D0"/>
    <w:rsid w:val="003F23D0"/>
    <w:rsid w:val="003F5EA1"/>
    <w:rsid w:val="003F6CDA"/>
    <w:rsid w:val="00402D91"/>
    <w:rsid w:val="00402E01"/>
    <w:rsid w:val="004070C2"/>
    <w:rsid w:val="004121C9"/>
    <w:rsid w:val="0041308F"/>
    <w:rsid w:val="0041500C"/>
    <w:rsid w:val="0041571E"/>
    <w:rsid w:val="00416A9D"/>
    <w:rsid w:val="00416FE1"/>
    <w:rsid w:val="00421854"/>
    <w:rsid w:val="00422BA6"/>
    <w:rsid w:val="00423148"/>
    <w:rsid w:val="004261DB"/>
    <w:rsid w:val="00431501"/>
    <w:rsid w:val="00432397"/>
    <w:rsid w:val="00437954"/>
    <w:rsid w:val="00437FBA"/>
    <w:rsid w:val="00440477"/>
    <w:rsid w:val="00442B0C"/>
    <w:rsid w:val="00457D0B"/>
    <w:rsid w:val="00461B94"/>
    <w:rsid w:val="004635D8"/>
    <w:rsid w:val="0046554E"/>
    <w:rsid w:val="00465640"/>
    <w:rsid w:val="004667DD"/>
    <w:rsid w:val="00470B65"/>
    <w:rsid w:val="00471837"/>
    <w:rsid w:val="004844A0"/>
    <w:rsid w:val="00484DAE"/>
    <w:rsid w:val="00491265"/>
    <w:rsid w:val="00492D7B"/>
    <w:rsid w:val="00492FA2"/>
    <w:rsid w:val="004A00D2"/>
    <w:rsid w:val="004A045D"/>
    <w:rsid w:val="004A129D"/>
    <w:rsid w:val="004A38C4"/>
    <w:rsid w:val="004B15E2"/>
    <w:rsid w:val="004B37E4"/>
    <w:rsid w:val="004B4B24"/>
    <w:rsid w:val="004B6A48"/>
    <w:rsid w:val="004B75B2"/>
    <w:rsid w:val="004C39C3"/>
    <w:rsid w:val="004C7474"/>
    <w:rsid w:val="004D575A"/>
    <w:rsid w:val="004E1704"/>
    <w:rsid w:val="004E30E5"/>
    <w:rsid w:val="004E4A63"/>
    <w:rsid w:val="004E54AB"/>
    <w:rsid w:val="004E68A7"/>
    <w:rsid w:val="004F15F3"/>
    <w:rsid w:val="004F32C4"/>
    <w:rsid w:val="004F3A5F"/>
    <w:rsid w:val="00500444"/>
    <w:rsid w:val="00500458"/>
    <w:rsid w:val="005015FC"/>
    <w:rsid w:val="005037C6"/>
    <w:rsid w:val="0050408D"/>
    <w:rsid w:val="005049AC"/>
    <w:rsid w:val="00505E29"/>
    <w:rsid w:val="0050693D"/>
    <w:rsid w:val="0051434A"/>
    <w:rsid w:val="00517205"/>
    <w:rsid w:val="00522777"/>
    <w:rsid w:val="00524C22"/>
    <w:rsid w:val="00527FA0"/>
    <w:rsid w:val="005323E6"/>
    <w:rsid w:val="0053456A"/>
    <w:rsid w:val="005379DA"/>
    <w:rsid w:val="005438A2"/>
    <w:rsid w:val="00543F30"/>
    <w:rsid w:val="00544A1C"/>
    <w:rsid w:val="00551204"/>
    <w:rsid w:val="00565B2B"/>
    <w:rsid w:val="0056688F"/>
    <w:rsid w:val="00574682"/>
    <w:rsid w:val="00574FEE"/>
    <w:rsid w:val="00575757"/>
    <w:rsid w:val="00576B66"/>
    <w:rsid w:val="00576E08"/>
    <w:rsid w:val="00580668"/>
    <w:rsid w:val="00580BFD"/>
    <w:rsid w:val="00582703"/>
    <w:rsid w:val="00585E38"/>
    <w:rsid w:val="005912FB"/>
    <w:rsid w:val="005939C1"/>
    <w:rsid w:val="005A16C2"/>
    <w:rsid w:val="005A4224"/>
    <w:rsid w:val="005B2AA8"/>
    <w:rsid w:val="005B380E"/>
    <w:rsid w:val="005B3D4D"/>
    <w:rsid w:val="005B40B4"/>
    <w:rsid w:val="005B67CD"/>
    <w:rsid w:val="005B6CB2"/>
    <w:rsid w:val="005B7C02"/>
    <w:rsid w:val="005C225F"/>
    <w:rsid w:val="005C7896"/>
    <w:rsid w:val="005D2E16"/>
    <w:rsid w:val="005E08BE"/>
    <w:rsid w:val="005E4AE4"/>
    <w:rsid w:val="005F1031"/>
    <w:rsid w:val="005F27E6"/>
    <w:rsid w:val="005F3FF5"/>
    <w:rsid w:val="005F68E6"/>
    <w:rsid w:val="006033CD"/>
    <w:rsid w:val="006052EC"/>
    <w:rsid w:val="0060681A"/>
    <w:rsid w:val="00610C90"/>
    <w:rsid w:val="0061231A"/>
    <w:rsid w:val="006127D9"/>
    <w:rsid w:val="00615945"/>
    <w:rsid w:val="006164D7"/>
    <w:rsid w:val="0061730D"/>
    <w:rsid w:val="00624359"/>
    <w:rsid w:val="0063504F"/>
    <w:rsid w:val="00636928"/>
    <w:rsid w:val="00637780"/>
    <w:rsid w:val="00637C00"/>
    <w:rsid w:val="006438E0"/>
    <w:rsid w:val="0064434E"/>
    <w:rsid w:val="00647BB8"/>
    <w:rsid w:val="00655150"/>
    <w:rsid w:val="00656F49"/>
    <w:rsid w:val="006674D1"/>
    <w:rsid w:val="0067662D"/>
    <w:rsid w:val="006774BC"/>
    <w:rsid w:val="00682891"/>
    <w:rsid w:val="00682D55"/>
    <w:rsid w:val="00694160"/>
    <w:rsid w:val="0069436E"/>
    <w:rsid w:val="006A1C09"/>
    <w:rsid w:val="006A3387"/>
    <w:rsid w:val="006A70E0"/>
    <w:rsid w:val="006B4EA1"/>
    <w:rsid w:val="006B6AC5"/>
    <w:rsid w:val="006C21DD"/>
    <w:rsid w:val="006C4E7A"/>
    <w:rsid w:val="006C5C30"/>
    <w:rsid w:val="006C5D3E"/>
    <w:rsid w:val="006C7019"/>
    <w:rsid w:val="006D27C0"/>
    <w:rsid w:val="006D4969"/>
    <w:rsid w:val="006D5584"/>
    <w:rsid w:val="006D6423"/>
    <w:rsid w:val="006D7310"/>
    <w:rsid w:val="006D76C3"/>
    <w:rsid w:val="006D78CC"/>
    <w:rsid w:val="006E33B0"/>
    <w:rsid w:val="006E443D"/>
    <w:rsid w:val="006E6D11"/>
    <w:rsid w:val="006F0691"/>
    <w:rsid w:val="006F28F1"/>
    <w:rsid w:val="006F36D9"/>
    <w:rsid w:val="006F45FF"/>
    <w:rsid w:val="006F64F5"/>
    <w:rsid w:val="00703E8C"/>
    <w:rsid w:val="00716BA8"/>
    <w:rsid w:val="00730515"/>
    <w:rsid w:val="00736C90"/>
    <w:rsid w:val="00740D8C"/>
    <w:rsid w:val="00741FD7"/>
    <w:rsid w:val="00742D50"/>
    <w:rsid w:val="00744CEA"/>
    <w:rsid w:val="00745777"/>
    <w:rsid w:val="00746EEE"/>
    <w:rsid w:val="00747F5E"/>
    <w:rsid w:val="00751EA5"/>
    <w:rsid w:val="00753BA1"/>
    <w:rsid w:val="0075580C"/>
    <w:rsid w:val="007560F5"/>
    <w:rsid w:val="00760D50"/>
    <w:rsid w:val="00765CAF"/>
    <w:rsid w:val="00767150"/>
    <w:rsid w:val="00770D09"/>
    <w:rsid w:val="00771FAF"/>
    <w:rsid w:val="007742B4"/>
    <w:rsid w:val="00774514"/>
    <w:rsid w:val="0078118B"/>
    <w:rsid w:val="007832EC"/>
    <w:rsid w:val="00784218"/>
    <w:rsid w:val="00784A11"/>
    <w:rsid w:val="007851F7"/>
    <w:rsid w:val="00786B65"/>
    <w:rsid w:val="007908B5"/>
    <w:rsid w:val="0079146E"/>
    <w:rsid w:val="007A14B7"/>
    <w:rsid w:val="007A1ADD"/>
    <w:rsid w:val="007A2DE3"/>
    <w:rsid w:val="007B1402"/>
    <w:rsid w:val="007B2184"/>
    <w:rsid w:val="007B2ACA"/>
    <w:rsid w:val="007B2DB5"/>
    <w:rsid w:val="007B34C9"/>
    <w:rsid w:val="007B3CC8"/>
    <w:rsid w:val="007B5E7E"/>
    <w:rsid w:val="007B76F5"/>
    <w:rsid w:val="007C6A78"/>
    <w:rsid w:val="007C7996"/>
    <w:rsid w:val="007D16A9"/>
    <w:rsid w:val="007D2E8D"/>
    <w:rsid w:val="007E1CD4"/>
    <w:rsid w:val="007E2C12"/>
    <w:rsid w:val="007E63E3"/>
    <w:rsid w:val="007F4424"/>
    <w:rsid w:val="0080483F"/>
    <w:rsid w:val="00810B0F"/>
    <w:rsid w:val="00820ABA"/>
    <w:rsid w:val="00823FF7"/>
    <w:rsid w:val="008263B1"/>
    <w:rsid w:val="00830FA4"/>
    <w:rsid w:val="008339E5"/>
    <w:rsid w:val="00834842"/>
    <w:rsid w:val="00835747"/>
    <w:rsid w:val="00837800"/>
    <w:rsid w:val="00844106"/>
    <w:rsid w:val="00844755"/>
    <w:rsid w:val="0084534C"/>
    <w:rsid w:val="008472C1"/>
    <w:rsid w:val="008503D3"/>
    <w:rsid w:val="008504C0"/>
    <w:rsid w:val="00852860"/>
    <w:rsid w:val="008659B6"/>
    <w:rsid w:val="00870906"/>
    <w:rsid w:val="00870A85"/>
    <w:rsid w:val="008712E9"/>
    <w:rsid w:val="00874898"/>
    <w:rsid w:val="0087533F"/>
    <w:rsid w:val="00876BCA"/>
    <w:rsid w:val="00877DE0"/>
    <w:rsid w:val="00880A79"/>
    <w:rsid w:val="00882F7F"/>
    <w:rsid w:val="00885ACA"/>
    <w:rsid w:val="0088648A"/>
    <w:rsid w:val="00887152"/>
    <w:rsid w:val="00894C2A"/>
    <w:rsid w:val="00895D92"/>
    <w:rsid w:val="00895E2F"/>
    <w:rsid w:val="00896229"/>
    <w:rsid w:val="00897882"/>
    <w:rsid w:val="00897DA4"/>
    <w:rsid w:val="008A0486"/>
    <w:rsid w:val="008A44B4"/>
    <w:rsid w:val="008A57AE"/>
    <w:rsid w:val="008B0A10"/>
    <w:rsid w:val="008B4DE5"/>
    <w:rsid w:val="008B5E59"/>
    <w:rsid w:val="008B6069"/>
    <w:rsid w:val="008C0029"/>
    <w:rsid w:val="008C2BC8"/>
    <w:rsid w:val="008C6C03"/>
    <w:rsid w:val="008D1183"/>
    <w:rsid w:val="008E1329"/>
    <w:rsid w:val="008E23AC"/>
    <w:rsid w:val="008E5A5D"/>
    <w:rsid w:val="008E7DAA"/>
    <w:rsid w:val="008F049B"/>
    <w:rsid w:val="008F0F4E"/>
    <w:rsid w:val="008F1DCC"/>
    <w:rsid w:val="008F4506"/>
    <w:rsid w:val="008F64F7"/>
    <w:rsid w:val="009002B6"/>
    <w:rsid w:val="00900A29"/>
    <w:rsid w:val="009014B9"/>
    <w:rsid w:val="00902838"/>
    <w:rsid w:val="00904001"/>
    <w:rsid w:val="00904EC6"/>
    <w:rsid w:val="00905AEE"/>
    <w:rsid w:val="009147C4"/>
    <w:rsid w:val="0091652E"/>
    <w:rsid w:val="00920EC0"/>
    <w:rsid w:val="00922A83"/>
    <w:rsid w:val="009240DA"/>
    <w:rsid w:val="009257CD"/>
    <w:rsid w:val="009327A4"/>
    <w:rsid w:val="009327DC"/>
    <w:rsid w:val="00933CB2"/>
    <w:rsid w:val="00937AF3"/>
    <w:rsid w:val="00942248"/>
    <w:rsid w:val="00946C3C"/>
    <w:rsid w:val="00950D52"/>
    <w:rsid w:val="00951E19"/>
    <w:rsid w:val="00952C3F"/>
    <w:rsid w:val="00953F7F"/>
    <w:rsid w:val="0096014C"/>
    <w:rsid w:val="00960164"/>
    <w:rsid w:val="00960466"/>
    <w:rsid w:val="00964ED2"/>
    <w:rsid w:val="009722EF"/>
    <w:rsid w:val="009744B2"/>
    <w:rsid w:val="009756DC"/>
    <w:rsid w:val="00980262"/>
    <w:rsid w:val="009854F8"/>
    <w:rsid w:val="009904CC"/>
    <w:rsid w:val="00994638"/>
    <w:rsid w:val="009A05CD"/>
    <w:rsid w:val="009A0CF9"/>
    <w:rsid w:val="009A2BA9"/>
    <w:rsid w:val="009A307C"/>
    <w:rsid w:val="009B23E9"/>
    <w:rsid w:val="009B500F"/>
    <w:rsid w:val="009B5A0F"/>
    <w:rsid w:val="009B5F79"/>
    <w:rsid w:val="009B6E73"/>
    <w:rsid w:val="009C2D3A"/>
    <w:rsid w:val="009C4437"/>
    <w:rsid w:val="009C4C21"/>
    <w:rsid w:val="009C5774"/>
    <w:rsid w:val="009C5E51"/>
    <w:rsid w:val="009C69D0"/>
    <w:rsid w:val="009D0E66"/>
    <w:rsid w:val="009D150F"/>
    <w:rsid w:val="009D17E3"/>
    <w:rsid w:val="009E143E"/>
    <w:rsid w:val="009F0EF3"/>
    <w:rsid w:val="009F1F55"/>
    <w:rsid w:val="009F2B75"/>
    <w:rsid w:val="009F385F"/>
    <w:rsid w:val="00A0174C"/>
    <w:rsid w:val="00A025E8"/>
    <w:rsid w:val="00A033FE"/>
    <w:rsid w:val="00A05AF8"/>
    <w:rsid w:val="00A074D6"/>
    <w:rsid w:val="00A1365D"/>
    <w:rsid w:val="00A158EA"/>
    <w:rsid w:val="00A21825"/>
    <w:rsid w:val="00A23C95"/>
    <w:rsid w:val="00A24528"/>
    <w:rsid w:val="00A27803"/>
    <w:rsid w:val="00A30D63"/>
    <w:rsid w:val="00A338FF"/>
    <w:rsid w:val="00A36AB4"/>
    <w:rsid w:val="00A40509"/>
    <w:rsid w:val="00A41C2A"/>
    <w:rsid w:val="00A45E96"/>
    <w:rsid w:val="00A5096F"/>
    <w:rsid w:val="00A54805"/>
    <w:rsid w:val="00A56ECF"/>
    <w:rsid w:val="00A61DFC"/>
    <w:rsid w:val="00A67593"/>
    <w:rsid w:val="00A714F4"/>
    <w:rsid w:val="00A75B39"/>
    <w:rsid w:val="00A80D3A"/>
    <w:rsid w:val="00A82F99"/>
    <w:rsid w:val="00A83250"/>
    <w:rsid w:val="00A8369E"/>
    <w:rsid w:val="00A86540"/>
    <w:rsid w:val="00A90772"/>
    <w:rsid w:val="00A9216C"/>
    <w:rsid w:val="00AA30C0"/>
    <w:rsid w:val="00AA3621"/>
    <w:rsid w:val="00AA4202"/>
    <w:rsid w:val="00AA5CDD"/>
    <w:rsid w:val="00AB1CC9"/>
    <w:rsid w:val="00AB3842"/>
    <w:rsid w:val="00AB729E"/>
    <w:rsid w:val="00AC4191"/>
    <w:rsid w:val="00AC4B5A"/>
    <w:rsid w:val="00AC4BDE"/>
    <w:rsid w:val="00AC5B19"/>
    <w:rsid w:val="00AC6027"/>
    <w:rsid w:val="00AC63D6"/>
    <w:rsid w:val="00AC75F0"/>
    <w:rsid w:val="00AD1B3E"/>
    <w:rsid w:val="00AD1F2D"/>
    <w:rsid w:val="00AD4FC0"/>
    <w:rsid w:val="00AD650F"/>
    <w:rsid w:val="00AD7F5E"/>
    <w:rsid w:val="00AE54B1"/>
    <w:rsid w:val="00AF0CA1"/>
    <w:rsid w:val="00AF40A6"/>
    <w:rsid w:val="00B036F8"/>
    <w:rsid w:val="00B0514A"/>
    <w:rsid w:val="00B058D2"/>
    <w:rsid w:val="00B07125"/>
    <w:rsid w:val="00B1305B"/>
    <w:rsid w:val="00B13C52"/>
    <w:rsid w:val="00B142B6"/>
    <w:rsid w:val="00B173D1"/>
    <w:rsid w:val="00B21F8A"/>
    <w:rsid w:val="00B22BBE"/>
    <w:rsid w:val="00B23724"/>
    <w:rsid w:val="00B251CF"/>
    <w:rsid w:val="00B26592"/>
    <w:rsid w:val="00B27044"/>
    <w:rsid w:val="00B30C4F"/>
    <w:rsid w:val="00B32C46"/>
    <w:rsid w:val="00B342D4"/>
    <w:rsid w:val="00B34583"/>
    <w:rsid w:val="00B37E61"/>
    <w:rsid w:val="00B41398"/>
    <w:rsid w:val="00B41CD3"/>
    <w:rsid w:val="00B43FB4"/>
    <w:rsid w:val="00B54A85"/>
    <w:rsid w:val="00B54E9B"/>
    <w:rsid w:val="00B54F25"/>
    <w:rsid w:val="00B6108E"/>
    <w:rsid w:val="00B6137F"/>
    <w:rsid w:val="00B63E2E"/>
    <w:rsid w:val="00B63E32"/>
    <w:rsid w:val="00B65EA9"/>
    <w:rsid w:val="00B66967"/>
    <w:rsid w:val="00B80BD4"/>
    <w:rsid w:val="00B83158"/>
    <w:rsid w:val="00B8318E"/>
    <w:rsid w:val="00B8461C"/>
    <w:rsid w:val="00B84825"/>
    <w:rsid w:val="00B86AA1"/>
    <w:rsid w:val="00B871A6"/>
    <w:rsid w:val="00B90F94"/>
    <w:rsid w:val="00B92256"/>
    <w:rsid w:val="00B9569F"/>
    <w:rsid w:val="00B961D3"/>
    <w:rsid w:val="00B9712C"/>
    <w:rsid w:val="00B97C87"/>
    <w:rsid w:val="00BA0F87"/>
    <w:rsid w:val="00BA3CDD"/>
    <w:rsid w:val="00BA5341"/>
    <w:rsid w:val="00BB0709"/>
    <w:rsid w:val="00BB4B5E"/>
    <w:rsid w:val="00BD0049"/>
    <w:rsid w:val="00BD6DF8"/>
    <w:rsid w:val="00BE4056"/>
    <w:rsid w:val="00BE6DD6"/>
    <w:rsid w:val="00BF0D4D"/>
    <w:rsid w:val="00BF0E40"/>
    <w:rsid w:val="00BF3D1C"/>
    <w:rsid w:val="00BF4E4D"/>
    <w:rsid w:val="00BF5FE9"/>
    <w:rsid w:val="00C00B0E"/>
    <w:rsid w:val="00C02020"/>
    <w:rsid w:val="00C04BBC"/>
    <w:rsid w:val="00C05AF3"/>
    <w:rsid w:val="00C078F4"/>
    <w:rsid w:val="00C12257"/>
    <w:rsid w:val="00C12978"/>
    <w:rsid w:val="00C13861"/>
    <w:rsid w:val="00C15D4A"/>
    <w:rsid w:val="00C16C39"/>
    <w:rsid w:val="00C17179"/>
    <w:rsid w:val="00C17861"/>
    <w:rsid w:val="00C17CC9"/>
    <w:rsid w:val="00C2260D"/>
    <w:rsid w:val="00C22EF5"/>
    <w:rsid w:val="00C25D66"/>
    <w:rsid w:val="00C304A2"/>
    <w:rsid w:val="00C312BC"/>
    <w:rsid w:val="00C35331"/>
    <w:rsid w:val="00C377C2"/>
    <w:rsid w:val="00C422E6"/>
    <w:rsid w:val="00C424F5"/>
    <w:rsid w:val="00C427AB"/>
    <w:rsid w:val="00C457D6"/>
    <w:rsid w:val="00C50274"/>
    <w:rsid w:val="00C50C47"/>
    <w:rsid w:val="00C52ED5"/>
    <w:rsid w:val="00C540F8"/>
    <w:rsid w:val="00C55D3B"/>
    <w:rsid w:val="00C63E28"/>
    <w:rsid w:val="00C664B6"/>
    <w:rsid w:val="00C729D0"/>
    <w:rsid w:val="00C72D67"/>
    <w:rsid w:val="00C80937"/>
    <w:rsid w:val="00C80C25"/>
    <w:rsid w:val="00C8102E"/>
    <w:rsid w:val="00C8235F"/>
    <w:rsid w:val="00C918A6"/>
    <w:rsid w:val="00C9263A"/>
    <w:rsid w:val="00C92B0A"/>
    <w:rsid w:val="00C92C32"/>
    <w:rsid w:val="00C95200"/>
    <w:rsid w:val="00C97B0A"/>
    <w:rsid w:val="00CA5714"/>
    <w:rsid w:val="00CA7635"/>
    <w:rsid w:val="00CA7C07"/>
    <w:rsid w:val="00CB68BF"/>
    <w:rsid w:val="00CC41E5"/>
    <w:rsid w:val="00CC54C3"/>
    <w:rsid w:val="00CC570F"/>
    <w:rsid w:val="00CD1A39"/>
    <w:rsid w:val="00CD2056"/>
    <w:rsid w:val="00CD2DA1"/>
    <w:rsid w:val="00CE289C"/>
    <w:rsid w:val="00CF45AC"/>
    <w:rsid w:val="00CF508E"/>
    <w:rsid w:val="00CF54D2"/>
    <w:rsid w:val="00CF68B2"/>
    <w:rsid w:val="00CF6A5B"/>
    <w:rsid w:val="00CF70F3"/>
    <w:rsid w:val="00CF7648"/>
    <w:rsid w:val="00CF7EA4"/>
    <w:rsid w:val="00D00675"/>
    <w:rsid w:val="00D01030"/>
    <w:rsid w:val="00D027C1"/>
    <w:rsid w:val="00D053CE"/>
    <w:rsid w:val="00D067A5"/>
    <w:rsid w:val="00D10820"/>
    <w:rsid w:val="00D12C64"/>
    <w:rsid w:val="00D17564"/>
    <w:rsid w:val="00D23978"/>
    <w:rsid w:val="00D245D0"/>
    <w:rsid w:val="00D2688C"/>
    <w:rsid w:val="00D31DE8"/>
    <w:rsid w:val="00D3376D"/>
    <w:rsid w:val="00D3795F"/>
    <w:rsid w:val="00D37B6F"/>
    <w:rsid w:val="00D40EC4"/>
    <w:rsid w:val="00D422FE"/>
    <w:rsid w:val="00D45670"/>
    <w:rsid w:val="00D46A3E"/>
    <w:rsid w:val="00D50136"/>
    <w:rsid w:val="00D521BD"/>
    <w:rsid w:val="00D547D8"/>
    <w:rsid w:val="00D549D1"/>
    <w:rsid w:val="00D552F9"/>
    <w:rsid w:val="00D553CF"/>
    <w:rsid w:val="00D5734B"/>
    <w:rsid w:val="00D628FF"/>
    <w:rsid w:val="00D63A77"/>
    <w:rsid w:val="00D64293"/>
    <w:rsid w:val="00D6492A"/>
    <w:rsid w:val="00D66004"/>
    <w:rsid w:val="00D70321"/>
    <w:rsid w:val="00D73908"/>
    <w:rsid w:val="00D740A0"/>
    <w:rsid w:val="00D74AA8"/>
    <w:rsid w:val="00D761FA"/>
    <w:rsid w:val="00D76C66"/>
    <w:rsid w:val="00D772A3"/>
    <w:rsid w:val="00D82658"/>
    <w:rsid w:val="00D874A9"/>
    <w:rsid w:val="00D91704"/>
    <w:rsid w:val="00D93EE3"/>
    <w:rsid w:val="00D959A4"/>
    <w:rsid w:val="00D96F48"/>
    <w:rsid w:val="00DA1595"/>
    <w:rsid w:val="00DA1755"/>
    <w:rsid w:val="00DA5D4B"/>
    <w:rsid w:val="00DA7136"/>
    <w:rsid w:val="00DB4CAA"/>
    <w:rsid w:val="00DB602F"/>
    <w:rsid w:val="00DB63EA"/>
    <w:rsid w:val="00DC09D8"/>
    <w:rsid w:val="00DC4358"/>
    <w:rsid w:val="00DC4FD8"/>
    <w:rsid w:val="00DC5323"/>
    <w:rsid w:val="00DC7CD0"/>
    <w:rsid w:val="00DD19D3"/>
    <w:rsid w:val="00DD1F94"/>
    <w:rsid w:val="00DD22AA"/>
    <w:rsid w:val="00DD260E"/>
    <w:rsid w:val="00DD3571"/>
    <w:rsid w:val="00DD573F"/>
    <w:rsid w:val="00DD6F61"/>
    <w:rsid w:val="00DE4DF7"/>
    <w:rsid w:val="00DE63D1"/>
    <w:rsid w:val="00DE6A28"/>
    <w:rsid w:val="00DF7952"/>
    <w:rsid w:val="00E01406"/>
    <w:rsid w:val="00E0169B"/>
    <w:rsid w:val="00E0180B"/>
    <w:rsid w:val="00E033EA"/>
    <w:rsid w:val="00E043CB"/>
    <w:rsid w:val="00E05801"/>
    <w:rsid w:val="00E107C8"/>
    <w:rsid w:val="00E10A66"/>
    <w:rsid w:val="00E14BC8"/>
    <w:rsid w:val="00E14EE7"/>
    <w:rsid w:val="00E20249"/>
    <w:rsid w:val="00E20B61"/>
    <w:rsid w:val="00E21DE3"/>
    <w:rsid w:val="00E25790"/>
    <w:rsid w:val="00E274F4"/>
    <w:rsid w:val="00E27CDB"/>
    <w:rsid w:val="00E27CE1"/>
    <w:rsid w:val="00E305BE"/>
    <w:rsid w:val="00E32EE2"/>
    <w:rsid w:val="00E34324"/>
    <w:rsid w:val="00E37F4C"/>
    <w:rsid w:val="00E450DE"/>
    <w:rsid w:val="00E51727"/>
    <w:rsid w:val="00E535FE"/>
    <w:rsid w:val="00E53927"/>
    <w:rsid w:val="00E566CC"/>
    <w:rsid w:val="00E57E36"/>
    <w:rsid w:val="00E62372"/>
    <w:rsid w:val="00E624A1"/>
    <w:rsid w:val="00E707C4"/>
    <w:rsid w:val="00E70BB0"/>
    <w:rsid w:val="00E76904"/>
    <w:rsid w:val="00E81A55"/>
    <w:rsid w:val="00E825C3"/>
    <w:rsid w:val="00E8486B"/>
    <w:rsid w:val="00E87652"/>
    <w:rsid w:val="00E92E2C"/>
    <w:rsid w:val="00E96122"/>
    <w:rsid w:val="00E966BF"/>
    <w:rsid w:val="00EA0847"/>
    <w:rsid w:val="00EA1FDA"/>
    <w:rsid w:val="00EA3B4B"/>
    <w:rsid w:val="00EA4CE7"/>
    <w:rsid w:val="00EA58A1"/>
    <w:rsid w:val="00EA6D66"/>
    <w:rsid w:val="00EB2060"/>
    <w:rsid w:val="00EB6FAB"/>
    <w:rsid w:val="00EB71A0"/>
    <w:rsid w:val="00EB791F"/>
    <w:rsid w:val="00EB7A50"/>
    <w:rsid w:val="00EC2429"/>
    <w:rsid w:val="00EC3515"/>
    <w:rsid w:val="00EC6F77"/>
    <w:rsid w:val="00EC7B2F"/>
    <w:rsid w:val="00ED0DA8"/>
    <w:rsid w:val="00ED140E"/>
    <w:rsid w:val="00ED5DCF"/>
    <w:rsid w:val="00EE164B"/>
    <w:rsid w:val="00EE2773"/>
    <w:rsid w:val="00EE453C"/>
    <w:rsid w:val="00EE5596"/>
    <w:rsid w:val="00EE5F84"/>
    <w:rsid w:val="00EE7129"/>
    <w:rsid w:val="00EE749F"/>
    <w:rsid w:val="00EE7532"/>
    <w:rsid w:val="00EE7C23"/>
    <w:rsid w:val="00EF0811"/>
    <w:rsid w:val="00EF1954"/>
    <w:rsid w:val="00EF508D"/>
    <w:rsid w:val="00EF535B"/>
    <w:rsid w:val="00EF7960"/>
    <w:rsid w:val="00EF7D21"/>
    <w:rsid w:val="00F016F3"/>
    <w:rsid w:val="00F02B29"/>
    <w:rsid w:val="00F10050"/>
    <w:rsid w:val="00F14BCA"/>
    <w:rsid w:val="00F16CFE"/>
    <w:rsid w:val="00F17D5B"/>
    <w:rsid w:val="00F231E3"/>
    <w:rsid w:val="00F25FD5"/>
    <w:rsid w:val="00F2717A"/>
    <w:rsid w:val="00F34061"/>
    <w:rsid w:val="00F34BD0"/>
    <w:rsid w:val="00F4129C"/>
    <w:rsid w:val="00F43327"/>
    <w:rsid w:val="00F478F6"/>
    <w:rsid w:val="00F47C88"/>
    <w:rsid w:val="00F54ADE"/>
    <w:rsid w:val="00F54DB1"/>
    <w:rsid w:val="00F572C6"/>
    <w:rsid w:val="00F60BD7"/>
    <w:rsid w:val="00F64E89"/>
    <w:rsid w:val="00F6686D"/>
    <w:rsid w:val="00F70695"/>
    <w:rsid w:val="00F7341B"/>
    <w:rsid w:val="00F77449"/>
    <w:rsid w:val="00F774BF"/>
    <w:rsid w:val="00F80020"/>
    <w:rsid w:val="00F81290"/>
    <w:rsid w:val="00F82A37"/>
    <w:rsid w:val="00F82BCD"/>
    <w:rsid w:val="00F83604"/>
    <w:rsid w:val="00F84650"/>
    <w:rsid w:val="00F87476"/>
    <w:rsid w:val="00F91291"/>
    <w:rsid w:val="00F953E4"/>
    <w:rsid w:val="00F957F5"/>
    <w:rsid w:val="00FA19DB"/>
    <w:rsid w:val="00FA4EF9"/>
    <w:rsid w:val="00FA510E"/>
    <w:rsid w:val="00FA54BD"/>
    <w:rsid w:val="00FA6444"/>
    <w:rsid w:val="00FB2557"/>
    <w:rsid w:val="00FC4176"/>
    <w:rsid w:val="00FC463F"/>
    <w:rsid w:val="00FC5A60"/>
    <w:rsid w:val="00FC737C"/>
    <w:rsid w:val="00FD753F"/>
    <w:rsid w:val="00FE10CC"/>
    <w:rsid w:val="00FE1D22"/>
    <w:rsid w:val="00FF146F"/>
    <w:rsid w:val="00FF2807"/>
    <w:rsid w:val="00FF2E9B"/>
    <w:rsid w:val="00FF32BF"/>
    <w:rsid w:val="00FF43C4"/>
    <w:rsid w:val="00FF4BD5"/>
    <w:rsid w:val="00FF5279"/>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2D3F8"/>
  <w15:chartTrackingRefBased/>
  <w15:docId w15:val="{97377E67-CFE0-44A6-A2B8-4BBD9C6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E75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r-text">
    <w:name w:val="larger-text"/>
    <w:basedOn w:val="DefaultParagraphFont"/>
    <w:rsid w:val="00F81290"/>
  </w:style>
  <w:style w:type="paragraph" w:styleId="BodyText">
    <w:name w:val="Body Text"/>
    <w:basedOn w:val="Normal"/>
    <w:link w:val="BodyTextChar"/>
    <w:rsid w:val="00F81290"/>
    <w:pPr>
      <w:spacing w:after="240"/>
    </w:pPr>
    <w:rPr>
      <w:szCs w:val="20"/>
    </w:rPr>
  </w:style>
  <w:style w:type="character" w:customStyle="1" w:styleId="BodyTextChar">
    <w:name w:val="Body Text Char"/>
    <w:link w:val="BodyText"/>
    <w:rsid w:val="00F8129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A6444"/>
    <w:pPr>
      <w:tabs>
        <w:tab w:val="center" w:pos="4680"/>
        <w:tab w:val="right" w:pos="9360"/>
      </w:tabs>
    </w:pPr>
  </w:style>
  <w:style w:type="character" w:customStyle="1" w:styleId="HeaderChar">
    <w:name w:val="Header Char"/>
    <w:link w:val="Header"/>
    <w:uiPriority w:val="99"/>
    <w:rsid w:val="00FA64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444"/>
    <w:pPr>
      <w:tabs>
        <w:tab w:val="center" w:pos="4680"/>
        <w:tab w:val="right" w:pos="9360"/>
      </w:tabs>
    </w:pPr>
  </w:style>
  <w:style w:type="character" w:customStyle="1" w:styleId="FooterChar">
    <w:name w:val="Footer Char"/>
    <w:link w:val="Footer"/>
    <w:uiPriority w:val="99"/>
    <w:rsid w:val="00FA6444"/>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9A307C"/>
    <w:pPr>
      <w:spacing w:after="200" w:line="276" w:lineRule="auto"/>
      <w:ind w:left="720"/>
    </w:pPr>
    <w:rPr>
      <w:rFonts w:ascii="Calibri" w:eastAsia="Calibri" w:hAnsi="Calibri"/>
      <w:sz w:val="22"/>
      <w:szCs w:val="22"/>
    </w:rPr>
  </w:style>
  <w:style w:type="table" w:styleId="TableGrid">
    <w:name w:val="Table Grid"/>
    <w:basedOn w:val="TableNormal"/>
    <w:uiPriority w:val="59"/>
    <w:rsid w:val="0050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93D"/>
    <w:pPr>
      <w:spacing w:before="100" w:beforeAutospacing="1" w:after="100" w:afterAutospacing="1"/>
    </w:pPr>
  </w:style>
  <w:style w:type="paragraph" w:customStyle="1" w:styleId="MediumShading1-Accent21">
    <w:name w:val="Medium Shading 1 - Accent 21"/>
    <w:uiPriority w:val="1"/>
    <w:qFormat/>
    <w:rsid w:val="00BA0F8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0483F"/>
    <w:rPr>
      <w:rFonts w:ascii="Tahoma" w:hAnsi="Tahoma" w:cs="Tahoma"/>
      <w:sz w:val="16"/>
      <w:szCs w:val="16"/>
    </w:rPr>
  </w:style>
  <w:style w:type="character" w:customStyle="1" w:styleId="BalloonTextChar">
    <w:name w:val="Balloon Text Char"/>
    <w:link w:val="BalloonText"/>
    <w:uiPriority w:val="99"/>
    <w:semiHidden/>
    <w:rsid w:val="0080483F"/>
    <w:rPr>
      <w:rFonts w:ascii="Tahoma" w:eastAsia="Times New Roman" w:hAnsi="Tahoma" w:cs="Tahoma"/>
      <w:sz w:val="16"/>
      <w:szCs w:val="16"/>
    </w:rPr>
  </w:style>
  <w:style w:type="paragraph" w:customStyle="1" w:styleId="m-7339563882293084871m-5672076706716931384m-4497597722195140660msolistparagraph">
    <w:name w:val="m_-7339563882293084871m-5672076706716931384m-4497597722195140660msolistparagraph"/>
    <w:basedOn w:val="Normal"/>
    <w:rsid w:val="00D17564"/>
    <w:pPr>
      <w:spacing w:before="100" w:beforeAutospacing="1" w:after="100" w:afterAutospacing="1"/>
    </w:pPr>
    <w:rPr>
      <w:rFonts w:eastAsia="Calibri"/>
    </w:rPr>
  </w:style>
  <w:style w:type="paragraph" w:customStyle="1" w:styleId="MediumGrid2-Accent11">
    <w:name w:val="Medium Grid 2 - Accent 11"/>
    <w:uiPriority w:val="1"/>
    <w:qFormat/>
    <w:rsid w:val="006127D9"/>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729D0"/>
    <w:rPr>
      <w:sz w:val="20"/>
      <w:szCs w:val="20"/>
    </w:rPr>
  </w:style>
  <w:style w:type="character" w:customStyle="1" w:styleId="FootnoteTextChar">
    <w:name w:val="Footnote Text Char"/>
    <w:link w:val="FootnoteText"/>
    <w:uiPriority w:val="99"/>
    <w:semiHidden/>
    <w:rsid w:val="00C729D0"/>
    <w:rPr>
      <w:rFonts w:ascii="Times New Roman" w:eastAsia="Times New Roman" w:hAnsi="Times New Roman"/>
    </w:rPr>
  </w:style>
  <w:style w:type="character" w:styleId="FootnoteReference">
    <w:name w:val="footnote reference"/>
    <w:uiPriority w:val="99"/>
    <w:semiHidden/>
    <w:unhideWhenUsed/>
    <w:rsid w:val="00C729D0"/>
    <w:rPr>
      <w:vertAlign w:val="superscript"/>
    </w:rPr>
  </w:style>
  <w:style w:type="paragraph" w:customStyle="1" w:styleId="MediumGrid1-Accent21">
    <w:name w:val="Medium Grid 1 - Accent 21"/>
    <w:basedOn w:val="Normal"/>
    <w:uiPriority w:val="34"/>
    <w:qFormat/>
    <w:rsid w:val="00E27CDB"/>
    <w:pPr>
      <w:ind w:left="720"/>
    </w:pPr>
  </w:style>
  <w:style w:type="character" w:styleId="Hyperlink">
    <w:name w:val="Hyperlink"/>
    <w:uiPriority w:val="99"/>
    <w:unhideWhenUsed/>
    <w:rsid w:val="0014582A"/>
    <w:rPr>
      <w:color w:val="0563C1"/>
      <w:u w:val="single"/>
    </w:rPr>
  </w:style>
  <w:style w:type="character" w:styleId="CommentReference">
    <w:name w:val="annotation reference"/>
    <w:uiPriority w:val="99"/>
    <w:semiHidden/>
    <w:unhideWhenUsed/>
    <w:rsid w:val="002C5AE9"/>
    <w:rPr>
      <w:sz w:val="16"/>
      <w:szCs w:val="16"/>
    </w:rPr>
  </w:style>
  <w:style w:type="paragraph" w:styleId="CommentText">
    <w:name w:val="annotation text"/>
    <w:basedOn w:val="Normal"/>
    <w:link w:val="CommentTextChar"/>
    <w:uiPriority w:val="99"/>
    <w:semiHidden/>
    <w:unhideWhenUsed/>
    <w:rsid w:val="002C5AE9"/>
    <w:rPr>
      <w:sz w:val="20"/>
      <w:szCs w:val="20"/>
    </w:rPr>
  </w:style>
  <w:style w:type="character" w:customStyle="1" w:styleId="CommentTextChar">
    <w:name w:val="Comment Text Char"/>
    <w:link w:val="CommentText"/>
    <w:uiPriority w:val="99"/>
    <w:semiHidden/>
    <w:rsid w:val="002C5A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C5AE9"/>
    <w:rPr>
      <w:b/>
      <w:bCs/>
    </w:rPr>
  </w:style>
  <w:style w:type="character" w:customStyle="1" w:styleId="CommentSubjectChar">
    <w:name w:val="Comment Subject Char"/>
    <w:link w:val="CommentSubject"/>
    <w:uiPriority w:val="99"/>
    <w:semiHidden/>
    <w:rsid w:val="002C5AE9"/>
    <w:rPr>
      <w:rFonts w:ascii="Times New Roman" w:eastAsia="Times New Roman" w:hAnsi="Times New Roman"/>
      <w:b/>
      <w:bCs/>
    </w:rPr>
  </w:style>
  <w:style w:type="paragraph" w:customStyle="1" w:styleId="ColorfulList-Accent11">
    <w:name w:val="Colorful List - Accent 11"/>
    <w:basedOn w:val="Normal"/>
    <w:uiPriority w:val="34"/>
    <w:qFormat/>
    <w:rsid w:val="00BF0D4D"/>
    <w:pPr>
      <w:ind w:left="720"/>
    </w:pPr>
  </w:style>
  <w:style w:type="paragraph" w:styleId="ListParagraph">
    <w:name w:val="List Paragraph"/>
    <w:basedOn w:val="Normal"/>
    <w:uiPriority w:val="34"/>
    <w:qFormat/>
    <w:rsid w:val="00753BA1"/>
    <w:pPr>
      <w:ind w:left="720"/>
    </w:pPr>
    <w:rPr>
      <w:rFonts w:ascii="Calibri" w:eastAsiaTheme="minorHAnsi" w:hAnsi="Calibri"/>
      <w:sz w:val="22"/>
      <w:szCs w:val="22"/>
    </w:rPr>
  </w:style>
  <w:style w:type="paragraph" w:styleId="Revision">
    <w:name w:val="Revision"/>
    <w:hidden/>
    <w:uiPriority w:val="99"/>
    <w:unhideWhenUsed/>
    <w:rsid w:val="00366E05"/>
    <w:rPr>
      <w:rFonts w:ascii="Times New Roman" w:eastAsia="Times New Roman" w:hAnsi="Times New Roman"/>
      <w:sz w:val="24"/>
      <w:szCs w:val="24"/>
    </w:rPr>
  </w:style>
  <w:style w:type="paragraph" w:customStyle="1" w:styleId="TableParagraph">
    <w:name w:val="Table Paragraph"/>
    <w:basedOn w:val="Normal"/>
    <w:uiPriority w:val="1"/>
    <w:qFormat/>
    <w:rsid w:val="005B2AA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207">
      <w:bodyDiv w:val="1"/>
      <w:marLeft w:val="0"/>
      <w:marRight w:val="0"/>
      <w:marTop w:val="0"/>
      <w:marBottom w:val="0"/>
      <w:divBdr>
        <w:top w:val="none" w:sz="0" w:space="0" w:color="auto"/>
        <w:left w:val="none" w:sz="0" w:space="0" w:color="auto"/>
        <w:bottom w:val="none" w:sz="0" w:space="0" w:color="auto"/>
        <w:right w:val="none" w:sz="0" w:space="0" w:color="auto"/>
      </w:divBdr>
    </w:div>
    <w:div w:id="56830131">
      <w:bodyDiv w:val="1"/>
      <w:marLeft w:val="0"/>
      <w:marRight w:val="0"/>
      <w:marTop w:val="0"/>
      <w:marBottom w:val="0"/>
      <w:divBdr>
        <w:top w:val="none" w:sz="0" w:space="0" w:color="auto"/>
        <w:left w:val="none" w:sz="0" w:space="0" w:color="auto"/>
        <w:bottom w:val="none" w:sz="0" w:space="0" w:color="auto"/>
        <w:right w:val="none" w:sz="0" w:space="0" w:color="auto"/>
      </w:divBdr>
    </w:div>
    <w:div w:id="64039240">
      <w:bodyDiv w:val="1"/>
      <w:marLeft w:val="0"/>
      <w:marRight w:val="0"/>
      <w:marTop w:val="0"/>
      <w:marBottom w:val="0"/>
      <w:divBdr>
        <w:top w:val="none" w:sz="0" w:space="0" w:color="auto"/>
        <w:left w:val="none" w:sz="0" w:space="0" w:color="auto"/>
        <w:bottom w:val="none" w:sz="0" w:space="0" w:color="auto"/>
        <w:right w:val="none" w:sz="0" w:space="0" w:color="auto"/>
      </w:divBdr>
    </w:div>
    <w:div w:id="135873745">
      <w:bodyDiv w:val="1"/>
      <w:marLeft w:val="0"/>
      <w:marRight w:val="0"/>
      <w:marTop w:val="0"/>
      <w:marBottom w:val="0"/>
      <w:divBdr>
        <w:top w:val="none" w:sz="0" w:space="0" w:color="auto"/>
        <w:left w:val="none" w:sz="0" w:space="0" w:color="auto"/>
        <w:bottom w:val="none" w:sz="0" w:space="0" w:color="auto"/>
        <w:right w:val="none" w:sz="0" w:space="0" w:color="auto"/>
      </w:divBdr>
    </w:div>
    <w:div w:id="140928664">
      <w:bodyDiv w:val="1"/>
      <w:marLeft w:val="0"/>
      <w:marRight w:val="0"/>
      <w:marTop w:val="0"/>
      <w:marBottom w:val="0"/>
      <w:divBdr>
        <w:top w:val="none" w:sz="0" w:space="0" w:color="auto"/>
        <w:left w:val="none" w:sz="0" w:space="0" w:color="auto"/>
        <w:bottom w:val="none" w:sz="0" w:space="0" w:color="auto"/>
        <w:right w:val="none" w:sz="0" w:space="0" w:color="auto"/>
      </w:divBdr>
    </w:div>
    <w:div w:id="145779732">
      <w:bodyDiv w:val="1"/>
      <w:marLeft w:val="0"/>
      <w:marRight w:val="0"/>
      <w:marTop w:val="0"/>
      <w:marBottom w:val="0"/>
      <w:divBdr>
        <w:top w:val="none" w:sz="0" w:space="0" w:color="auto"/>
        <w:left w:val="none" w:sz="0" w:space="0" w:color="auto"/>
        <w:bottom w:val="none" w:sz="0" w:space="0" w:color="auto"/>
        <w:right w:val="none" w:sz="0" w:space="0" w:color="auto"/>
      </w:divBdr>
    </w:div>
    <w:div w:id="150025432">
      <w:bodyDiv w:val="1"/>
      <w:marLeft w:val="0"/>
      <w:marRight w:val="0"/>
      <w:marTop w:val="0"/>
      <w:marBottom w:val="0"/>
      <w:divBdr>
        <w:top w:val="none" w:sz="0" w:space="0" w:color="auto"/>
        <w:left w:val="none" w:sz="0" w:space="0" w:color="auto"/>
        <w:bottom w:val="none" w:sz="0" w:space="0" w:color="auto"/>
        <w:right w:val="none" w:sz="0" w:space="0" w:color="auto"/>
      </w:divBdr>
    </w:div>
    <w:div w:id="178159303">
      <w:bodyDiv w:val="1"/>
      <w:marLeft w:val="0"/>
      <w:marRight w:val="0"/>
      <w:marTop w:val="0"/>
      <w:marBottom w:val="0"/>
      <w:divBdr>
        <w:top w:val="none" w:sz="0" w:space="0" w:color="auto"/>
        <w:left w:val="none" w:sz="0" w:space="0" w:color="auto"/>
        <w:bottom w:val="none" w:sz="0" w:space="0" w:color="auto"/>
        <w:right w:val="none" w:sz="0" w:space="0" w:color="auto"/>
      </w:divBdr>
    </w:div>
    <w:div w:id="180290517">
      <w:bodyDiv w:val="1"/>
      <w:marLeft w:val="0"/>
      <w:marRight w:val="0"/>
      <w:marTop w:val="0"/>
      <w:marBottom w:val="0"/>
      <w:divBdr>
        <w:top w:val="none" w:sz="0" w:space="0" w:color="auto"/>
        <w:left w:val="none" w:sz="0" w:space="0" w:color="auto"/>
        <w:bottom w:val="none" w:sz="0" w:space="0" w:color="auto"/>
        <w:right w:val="none" w:sz="0" w:space="0" w:color="auto"/>
      </w:divBdr>
    </w:div>
    <w:div w:id="209584827">
      <w:bodyDiv w:val="1"/>
      <w:marLeft w:val="0"/>
      <w:marRight w:val="0"/>
      <w:marTop w:val="0"/>
      <w:marBottom w:val="0"/>
      <w:divBdr>
        <w:top w:val="none" w:sz="0" w:space="0" w:color="auto"/>
        <w:left w:val="none" w:sz="0" w:space="0" w:color="auto"/>
        <w:bottom w:val="none" w:sz="0" w:space="0" w:color="auto"/>
        <w:right w:val="none" w:sz="0" w:space="0" w:color="auto"/>
      </w:divBdr>
    </w:div>
    <w:div w:id="218825704">
      <w:bodyDiv w:val="1"/>
      <w:marLeft w:val="0"/>
      <w:marRight w:val="0"/>
      <w:marTop w:val="0"/>
      <w:marBottom w:val="0"/>
      <w:divBdr>
        <w:top w:val="none" w:sz="0" w:space="0" w:color="auto"/>
        <w:left w:val="none" w:sz="0" w:space="0" w:color="auto"/>
        <w:bottom w:val="none" w:sz="0" w:space="0" w:color="auto"/>
        <w:right w:val="none" w:sz="0" w:space="0" w:color="auto"/>
      </w:divBdr>
    </w:div>
    <w:div w:id="337273316">
      <w:bodyDiv w:val="1"/>
      <w:marLeft w:val="0"/>
      <w:marRight w:val="0"/>
      <w:marTop w:val="0"/>
      <w:marBottom w:val="0"/>
      <w:divBdr>
        <w:top w:val="none" w:sz="0" w:space="0" w:color="auto"/>
        <w:left w:val="none" w:sz="0" w:space="0" w:color="auto"/>
        <w:bottom w:val="none" w:sz="0" w:space="0" w:color="auto"/>
        <w:right w:val="none" w:sz="0" w:space="0" w:color="auto"/>
      </w:divBdr>
    </w:div>
    <w:div w:id="347102495">
      <w:bodyDiv w:val="1"/>
      <w:marLeft w:val="0"/>
      <w:marRight w:val="0"/>
      <w:marTop w:val="0"/>
      <w:marBottom w:val="0"/>
      <w:divBdr>
        <w:top w:val="none" w:sz="0" w:space="0" w:color="auto"/>
        <w:left w:val="none" w:sz="0" w:space="0" w:color="auto"/>
        <w:bottom w:val="none" w:sz="0" w:space="0" w:color="auto"/>
        <w:right w:val="none" w:sz="0" w:space="0" w:color="auto"/>
      </w:divBdr>
    </w:div>
    <w:div w:id="355273751">
      <w:bodyDiv w:val="1"/>
      <w:marLeft w:val="0"/>
      <w:marRight w:val="0"/>
      <w:marTop w:val="0"/>
      <w:marBottom w:val="0"/>
      <w:divBdr>
        <w:top w:val="none" w:sz="0" w:space="0" w:color="auto"/>
        <w:left w:val="none" w:sz="0" w:space="0" w:color="auto"/>
        <w:bottom w:val="none" w:sz="0" w:space="0" w:color="auto"/>
        <w:right w:val="none" w:sz="0" w:space="0" w:color="auto"/>
      </w:divBdr>
    </w:div>
    <w:div w:id="380640921">
      <w:bodyDiv w:val="1"/>
      <w:marLeft w:val="0"/>
      <w:marRight w:val="0"/>
      <w:marTop w:val="0"/>
      <w:marBottom w:val="0"/>
      <w:divBdr>
        <w:top w:val="none" w:sz="0" w:space="0" w:color="auto"/>
        <w:left w:val="none" w:sz="0" w:space="0" w:color="auto"/>
        <w:bottom w:val="none" w:sz="0" w:space="0" w:color="auto"/>
        <w:right w:val="none" w:sz="0" w:space="0" w:color="auto"/>
      </w:divBdr>
    </w:div>
    <w:div w:id="392698732">
      <w:bodyDiv w:val="1"/>
      <w:marLeft w:val="0"/>
      <w:marRight w:val="0"/>
      <w:marTop w:val="0"/>
      <w:marBottom w:val="0"/>
      <w:divBdr>
        <w:top w:val="none" w:sz="0" w:space="0" w:color="auto"/>
        <w:left w:val="none" w:sz="0" w:space="0" w:color="auto"/>
        <w:bottom w:val="none" w:sz="0" w:space="0" w:color="auto"/>
        <w:right w:val="none" w:sz="0" w:space="0" w:color="auto"/>
      </w:divBdr>
    </w:div>
    <w:div w:id="451824374">
      <w:bodyDiv w:val="1"/>
      <w:marLeft w:val="0"/>
      <w:marRight w:val="0"/>
      <w:marTop w:val="0"/>
      <w:marBottom w:val="0"/>
      <w:divBdr>
        <w:top w:val="none" w:sz="0" w:space="0" w:color="auto"/>
        <w:left w:val="none" w:sz="0" w:space="0" w:color="auto"/>
        <w:bottom w:val="none" w:sz="0" w:space="0" w:color="auto"/>
        <w:right w:val="none" w:sz="0" w:space="0" w:color="auto"/>
      </w:divBdr>
    </w:div>
    <w:div w:id="544370139">
      <w:bodyDiv w:val="1"/>
      <w:marLeft w:val="0"/>
      <w:marRight w:val="0"/>
      <w:marTop w:val="0"/>
      <w:marBottom w:val="0"/>
      <w:divBdr>
        <w:top w:val="none" w:sz="0" w:space="0" w:color="auto"/>
        <w:left w:val="none" w:sz="0" w:space="0" w:color="auto"/>
        <w:bottom w:val="none" w:sz="0" w:space="0" w:color="auto"/>
        <w:right w:val="none" w:sz="0" w:space="0" w:color="auto"/>
      </w:divBdr>
    </w:div>
    <w:div w:id="567424376">
      <w:bodyDiv w:val="1"/>
      <w:marLeft w:val="0"/>
      <w:marRight w:val="0"/>
      <w:marTop w:val="0"/>
      <w:marBottom w:val="0"/>
      <w:divBdr>
        <w:top w:val="none" w:sz="0" w:space="0" w:color="auto"/>
        <w:left w:val="none" w:sz="0" w:space="0" w:color="auto"/>
        <w:bottom w:val="none" w:sz="0" w:space="0" w:color="auto"/>
        <w:right w:val="none" w:sz="0" w:space="0" w:color="auto"/>
      </w:divBdr>
    </w:div>
    <w:div w:id="604075870">
      <w:bodyDiv w:val="1"/>
      <w:marLeft w:val="0"/>
      <w:marRight w:val="0"/>
      <w:marTop w:val="0"/>
      <w:marBottom w:val="0"/>
      <w:divBdr>
        <w:top w:val="none" w:sz="0" w:space="0" w:color="auto"/>
        <w:left w:val="none" w:sz="0" w:space="0" w:color="auto"/>
        <w:bottom w:val="none" w:sz="0" w:space="0" w:color="auto"/>
        <w:right w:val="none" w:sz="0" w:space="0" w:color="auto"/>
      </w:divBdr>
    </w:div>
    <w:div w:id="682973991">
      <w:bodyDiv w:val="1"/>
      <w:marLeft w:val="0"/>
      <w:marRight w:val="0"/>
      <w:marTop w:val="0"/>
      <w:marBottom w:val="0"/>
      <w:divBdr>
        <w:top w:val="none" w:sz="0" w:space="0" w:color="auto"/>
        <w:left w:val="none" w:sz="0" w:space="0" w:color="auto"/>
        <w:bottom w:val="none" w:sz="0" w:space="0" w:color="auto"/>
        <w:right w:val="none" w:sz="0" w:space="0" w:color="auto"/>
      </w:divBdr>
    </w:div>
    <w:div w:id="794451582">
      <w:bodyDiv w:val="1"/>
      <w:marLeft w:val="0"/>
      <w:marRight w:val="0"/>
      <w:marTop w:val="0"/>
      <w:marBottom w:val="0"/>
      <w:divBdr>
        <w:top w:val="none" w:sz="0" w:space="0" w:color="auto"/>
        <w:left w:val="none" w:sz="0" w:space="0" w:color="auto"/>
        <w:bottom w:val="none" w:sz="0" w:space="0" w:color="auto"/>
        <w:right w:val="none" w:sz="0" w:space="0" w:color="auto"/>
      </w:divBdr>
    </w:div>
    <w:div w:id="846791606">
      <w:bodyDiv w:val="1"/>
      <w:marLeft w:val="0"/>
      <w:marRight w:val="0"/>
      <w:marTop w:val="0"/>
      <w:marBottom w:val="0"/>
      <w:divBdr>
        <w:top w:val="none" w:sz="0" w:space="0" w:color="auto"/>
        <w:left w:val="none" w:sz="0" w:space="0" w:color="auto"/>
        <w:bottom w:val="none" w:sz="0" w:space="0" w:color="auto"/>
        <w:right w:val="none" w:sz="0" w:space="0" w:color="auto"/>
      </w:divBdr>
    </w:div>
    <w:div w:id="882407500">
      <w:bodyDiv w:val="1"/>
      <w:marLeft w:val="0"/>
      <w:marRight w:val="0"/>
      <w:marTop w:val="0"/>
      <w:marBottom w:val="0"/>
      <w:divBdr>
        <w:top w:val="none" w:sz="0" w:space="0" w:color="auto"/>
        <w:left w:val="none" w:sz="0" w:space="0" w:color="auto"/>
        <w:bottom w:val="none" w:sz="0" w:space="0" w:color="auto"/>
        <w:right w:val="none" w:sz="0" w:space="0" w:color="auto"/>
      </w:divBdr>
    </w:div>
    <w:div w:id="885532093">
      <w:bodyDiv w:val="1"/>
      <w:marLeft w:val="0"/>
      <w:marRight w:val="0"/>
      <w:marTop w:val="0"/>
      <w:marBottom w:val="0"/>
      <w:divBdr>
        <w:top w:val="none" w:sz="0" w:space="0" w:color="auto"/>
        <w:left w:val="none" w:sz="0" w:space="0" w:color="auto"/>
        <w:bottom w:val="none" w:sz="0" w:space="0" w:color="auto"/>
        <w:right w:val="none" w:sz="0" w:space="0" w:color="auto"/>
      </w:divBdr>
    </w:div>
    <w:div w:id="928272441">
      <w:bodyDiv w:val="1"/>
      <w:marLeft w:val="0"/>
      <w:marRight w:val="0"/>
      <w:marTop w:val="0"/>
      <w:marBottom w:val="0"/>
      <w:divBdr>
        <w:top w:val="none" w:sz="0" w:space="0" w:color="auto"/>
        <w:left w:val="none" w:sz="0" w:space="0" w:color="auto"/>
        <w:bottom w:val="none" w:sz="0" w:space="0" w:color="auto"/>
        <w:right w:val="none" w:sz="0" w:space="0" w:color="auto"/>
      </w:divBdr>
    </w:div>
    <w:div w:id="932251435">
      <w:bodyDiv w:val="1"/>
      <w:marLeft w:val="0"/>
      <w:marRight w:val="0"/>
      <w:marTop w:val="0"/>
      <w:marBottom w:val="0"/>
      <w:divBdr>
        <w:top w:val="none" w:sz="0" w:space="0" w:color="auto"/>
        <w:left w:val="none" w:sz="0" w:space="0" w:color="auto"/>
        <w:bottom w:val="none" w:sz="0" w:space="0" w:color="auto"/>
        <w:right w:val="none" w:sz="0" w:space="0" w:color="auto"/>
      </w:divBdr>
    </w:div>
    <w:div w:id="937635818">
      <w:bodyDiv w:val="1"/>
      <w:marLeft w:val="0"/>
      <w:marRight w:val="0"/>
      <w:marTop w:val="0"/>
      <w:marBottom w:val="0"/>
      <w:divBdr>
        <w:top w:val="none" w:sz="0" w:space="0" w:color="auto"/>
        <w:left w:val="none" w:sz="0" w:space="0" w:color="auto"/>
        <w:bottom w:val="none" w:sz="0" w:space="0" w:color="auto"/>
        <w:right w:val="none" w:sz="0" w:space="0" w:color="auto"/>
      </w:divBdr>
    </w:div>
    <w:div w:id="969434356">
      <w:bodyDiv w:val="1"/>
      <w:marLeft w:val="0"/>
      <w:marRight w:val="0"/>
      <w:marTop w:val="0"/>
      <w:marBottom w:val="0"/>
      <w:divBdr>
        <w:top w:val="none" w:sz="0" w:space="0" w:color="auto"/>
        <w:left w:val="none" w:sz="0" w:space="0" w:color="auto"/>
        <w:bottom w:val="none" w:sz="0" w:space="0" w:color="auto"/>
        <w:right w:val="none" w:sz="0" w:space="0" w:color="auto"/>
      </w:divBdr>
    </w:div>
    <w:div w:id="998922631">
      <w:bodyDiv w:val="1"/>
      <w:marLeft w:val="0"/>
      <w:marRight w:val="0"/>
      <w:marTop w:val="0"/>
      <w:marBottom w:val="0"/>
      <w:divBdr>
        <w:top w:val="none" w:sz="0" w:space="0" w:color="auto"/>
        <w:left w:val="none" w:sz="0" w:space="0" w:color="auto"/>
        <w:bottom w:val="none" w:sz="0" w:space="0" w:color="auto"/>
        <w:right w:val="none" w:sz="0" w:space="0" w:color="auto"/>
      </w:divBdr>
      <w:divsChild>
        <w:div w:id="48458857">
          <w:marLeft w:val="0"/>
          <w:marRight w:val="0"/>
          <w:marTop w:val="0"/>
          <w:marBottom w:val="0"/>
          <w:divBdr>
            <w:top w:val="none" w:sz="0" w:space="0" w:color="auto"/>
            <w:left w:val="none" w:sz="0" w:space="0" w:color="auto"/>
            <w:bottom w:val="none" w:sz="0" w:space="0" w:color="auto"/>
            <w:right w:val="none" w:sz="0" w:space="0" w:color="auto"/>
          </w:divBdr>
        </w:div>
        <w:div w:id="99958023">
          <w:marLeft w:val="0"/>
          <w:marRight w:val="0"/>
          <w:marTop w:val="0"/>
          <w:marBottom w:val="0"/>
          <w:divBdr>
            <w:top w:val="none" w:sz="0" w:space="0" w:color="auto"/>
            <w:left w:val="none" w:sz="0" w:space="0" w:color="auto"/>
            <w:bottom w:val="none" w:sz="0" w:space="0" w:color="auto"/>
            <w:right w:val="none" w:sz="0" w:space="0" w:color="auto"/>
          </w:divBdr>
        </w:div>
        <w:div w:id="430205761">
          <w:marLeft w:val="0"/>
          <w:marRight w:val="0"/>
          <w:marTop w:val="0"/>
          <w:marBottom w:val="0"/>
          <w:divBdr>
            <w:top w:val="none" w:sz="0" w:space="0" w:color="auto"/>
            <w:left w:val="none" w:sz="0" w:space="0" w:color="auto"/>
            <w:bottom w:val="none" w:sz="0" w:space="0" w:color="auto"/>
            <w:right w:val="none" w:sz="0" w:space="0" w:color="auto"/>
          </w:divBdr>
        </w:div>
        <w:div w:id="727218398">
          <w:marLeft w:val="0"/>
          <w:marRight w:val="0"/>
          <w:marTop w:val="0"/>
          <w:marBottom w:val="0"/>
          <w:divBdr>
            <w:top w:val="none" w:sz="0" w:space="0" w:color="auto"/>
            <w:left w:val="none" w:sz="0" w:space="0" w:color="auto"/>
            <w:bottom w:val="none" w:sz="0" w:space="0" w:color="auto"/>
            <w:right w:val="none" w:sz="0" w:space="0" w:color="auto"/>
          </w:divBdr>
        </w:div>
        <w:div w:id="875967557">
          <w:marLeft w:val="0"/>
          <w:marRight w:val="0"/>
          <w:marTop w:val="0"/>
          <w:marBottom w:val="0"/>
          <w:divBdr>
            <w:top w:val="none" w:sz="0" w:space="0" w:color="auto"/>
            <w:left w:val="none" w:sz="0" w:space="0" w:color="auto"/>
            <w:bottom w:val="none" w:sz="0" w:space="0" w:color="auto"/>
            <w:right w:val="none" w:sz="0" w:space="0" w:color="auto"/>
          </w:divBdr>
        </w:div>
        <w:div w:id="1078940031">
          <w:marLeft w:val="0"/>
          <w:marRight w:val="0"/>
          <w:marTop w:val="0"/>
          <w:marBottom w:val="0"/>
          <w:divBdr>
            <w:top w:val="none" w:sz="0" w:space="0" w:color="auto"/>
            <w:left w:val="none" w:sz="0" w:space="0" w:color="auto"/>
            <w:bottom w:val="none" w:sz="0" w:space="0" w:color="auto"/>
            <w:right w:val="none" w:sz="0" w:space="0" w:color="auto"/>
          </w:divBdr>
        </w:div>
        <w:div w:id="1564759530">
          <w:marLeft w:val="0"/>
          <w:marRight w:val="0"/>
          <w:marTop w:val="0"/>
          <w:marBottom w:val="0"/>
          <w:divBdr>
            <w:top w:val="none" w:sz="0" w:space="0" w:color="auto"/>
            <w:left w:val="none" w:sz="0" w:space="0" w:color="auto"/>
            <w:bottom w:val="none" w:sz="0" w:space="0" w:color="auto"/>
            <w:right w:val="none" w:sz="0" w:space="0" w:color="auto"/>
          </w:divBdr>
        </w:div>
        <w:div w:id="2044791595">
          <w:marLeft w:val="0"/>
          <w:marRight w:val="0"/>
          <w:marTop w:val="0"/>
          <w:marBottom w:val="0"/>
          <w:divBdr>
            <w:top w:val="none" w:sz="0" w:space="0" w:color="auto"/>
            <w:left w:val="none" w:sz="0" w:space="0" w:color="auto"/>
            <w:bottom w:val="none" w:sz="0" w:space="0" w:color="auto"/>
            <w:right w:val="none" w:sz="0" w:space="0" w:color="auto"/>
          </w:divBdr>
        </w:div>
      </w:divsChild>
    </w:div>
    <w:div w:id="1030374863">
      <w:bodyDiv w:val="1"/>
      <w:marLeft w:val="0"/>
      <w:marRight w:val="0"/>
      <w:marTop w:val="0"/>
      <w:marBottom w:val="0"/>
      <w:divBdr>
        <w:top w:val="none" w:sz="0" w:space="0" w:color="auto"/>
        <w:left w:val="none" w:sz="0" w:space="0" w:color="auto"/>
        <w:bottom w:val="none" w:sz="0" w:space="0" w:color="auto"/>
        <w:right w:val="none" w:sz="0" w:space="0" w:color="auto"/>
      </w:divBdr>
    </w:div>
    <w:div w:id="1093629593">
      <w:bodyDiv w:val="1"/>
      <w:marLeft w:val="0"/>
      <w:marRight w:val="0"/>
      <w:marTop w:val="0"/>
      <w:marBottom w:val="0"/>
      <w:divBdr>
        <w:top w:val="none" w:sz="0" w:space="0" w:color="auto"/>
        <w:left w:val="none" w:sz="0" w:space="0" w:color="auto"/>
        <w:bottom w:val="none" w:sz="0" w:space="0" w:color="auto"/>
        <w:right w:val="none" w:sz="0" w:space="0" w:color="auto"/>
      </w:divBdr>
    </w:div>
    <w:div w:id="1174539802">
      <w:bodyDiv w:val="1"/>
      <w:marLeft w:val="0"/>
      <w:marRight w:val="0"/>
      <w:marTop w:val="0"/>
      <w:marBottom w:val="0"/>
      <w:divBdr>
        <w:top w:val="none" w:sz="0" w:space="0" w:color="auto"/>
        <w:left w:val="none" w:sz="0" w:space="0" w:color="auto"/>
        <w:bottom w:val="none" w:sz="0" w:space="0" w:color="auto"/>
        <w:right w:val="none" w:sz="0" w:space="0" w:color="auto"/>
      </w:divBdr>
    </w:div>
    <w:div w:id="1204754332">
      <w:bodyDiv w:val="1"/>
      <w:marLeft w:val="0"/>
      <w:marRight w:val="0"/>
      <w:marTop w:val="0"/>
      <w:marBottom w:val="0"/>
      <w:divBdr>
        <w:top w:val="none" w:sz="0" w:space="0" w:color="auto"/>
        <w:left w:val="none" w:sz="0" w:space="0" w:color="auto"/>
        <w:bottom w:val="none" w:sz="0" w:space="0" w:color="auto"/>
        <w:right w:val="none" w:sz="0" w:space="0" w:color="auto"/>
      </w:divBdr>
    </w:div>
    <w:div w:id="1209416900">
      <w:bodyDiv w:val="1"/>
      <w:marLeft w:val="0"/>
      <w:marRight w:val="0"/>
      <w:marTop w:val="0"/>
      <w:marBottom w:val="0"/>
      <w:divBdr>
        <w:top w:val="none" w:sz="0" w:space="0" w:color="auto"/>
        <w:left w:val="none" w:sz="0" w:space="0" w:color="auto"/>
        <w:bottom w:val="none" w:sz="0" w:space="0" w:color="auto"/>
        <w:right w:val="none" w:sz="0" w:space="0" w:color="auto"/>
      </w:divBdr>
    </w:div>
    <w:div w:id="1235049560">
      <w:bodyDiv w:val="1"/>
      <w:marLeft w:val="0"/>
      <w:marRight w:val="0"/>
      <w:marTop w:val="0"/>
      <w:marBottom w:val="0"/>
      <w:divBdr>
        <w:top w:val="none" w:sz="0" w:space="0" w:color="auto"/>
        <w:left w:val="none" w:sz="0" w:space="0" w:color="auto"/>
        <w:bottom w:val="none" w:sz="0" w:space="0" w:color="auto"/>
        <w:right w:val="none" w:sz="0" w:space="0" w:color="auto"/>
      </w:divBdr>
    </w:div>
    <w:div w:id="1297183310">
      <w:bodyDiv w:val="1"/>
      <w:marLeft w:val="0"/>
      <w:marRight w:val="0"/>
      <w:marTop w:val="0"/>
      <w:marBottom w:val="0"/>
      <w:divBdr>
        <w:top w:val="none" w:sz="0" w:space="0" w:color="auto"/>
        <w:left w:val="none" w:sz="0" w:space="0" w:color="auto"/>
        <w:bottom w:val="none" w:sz="0" w:space="0" w:color="auto"/>
        <w:right w:val="none" w:sz="0" w:space="0" w:color="auto"/>
      </w:divBdr>
    </w:div>
    <w:div w:id="1324430809">
      <w:bodyDiv w:val="1"/>
      <w:marLeft w:val="0"/>
      <w:marRight w:val="0"/>
      <w:marTop w:val="0"/>
      <w:marBottom w:val="0"/>
      <w:divBdr>
        <w:top w:val="none" w:sz="0" w:space="0" w:color="auto"/>
        <w:left w:val="none" w:sz="0" w:space="0" w:color="auto"/>
        <w:bottom w:val="none" w:sz="0" w:space="0" w:color="auto"/>
        <w:right w:val="none" w:sz="0" w:space="0" w:color="auto"/>
      </w:divBdr>
    </w:div>
    <w:div w:id="1340230816">
      <w:bodyDiv w:val="1"/>
      <w:marLeft w:val="0"/>
      <w:marRight w:val="0"/>
      <w:marTop w:val="0"/>
      <w:marBottom w:val="0"/>
      <w:divBdr>
        <w:top w:val="none" w:sz="0" w:space="0" w:color="auto"/>
        <w:left w:val="none" w:sz="0" w:space="0" w:color="auto"/>
        <w:bottom w:val="none" w:sz="0" w:space="0" w:color="auto"/>
        <w:right w:val="none" w:sz="0" w:space="0" w:color="auto"/>
      </w:divBdr>
    </w:div>
    <w:div w:id="1381980213">
      <w:bodyDiv w:val="1"/>
      <w:marLeft w:val="0"/>
      <w:marRight w:val="0"/>
      <w:marTop w:val="0"/>
      <w:marBottom w:val="0"/>
      <w:divBdr>
        <w:top w:val="none" w:sz="0" w:space="0" w:color="auto"/>
        <w:left w:val="none" w:sz="0" w:space="0" w:color="auto"/>
        <w:bottom w:val="none" w:sz="0" w:space="0" w:color="auto"/>
        <w:right w:val="none" w:sz="0" w:space="0" w:color="auto"/>
      </w:divBdr>
    </w:div>
    <w:div w:id="1420718524">
      <w:bodyDiv w:val="1"/>
      <w:marLeft w:val="0"/>
      <w:marRight w:val="0"/>
      <w:marTop w:val="0"/>
      <w:marBottom w:val="0"/>
      <w:divBdr>
        <w:top w:val="none" w:sz="0" w:space="0" w:color="auto"/>
        <w:left w:val="none" w:sz="0" w:space="0" w:color="auto"/>
        <w:bottom w:val="none" w:sz="0" w:space="0" w:color="auto"/>
        <w:right w:val="none" w:sz="0" w:space="0" w:color="auto"/>
      </w:divBdr>
    </w:div>
    <w:div w:id="1432818246">
      <w:bodyDiv w:val="1"/>
      <w:marLeft w:val="0"/>
      <w:marRight w:val="0"/>
      <w:marTop w:val="0"/>
      <w:marBottom w:val="0"/>
      <w:divBdr>
        <w:top w:val="none" w:sz="0" w:space="0" w:color="auto"/>
        <w:left w:val="none" w:sz="0" w:space="0" w:color="auto"/>
        <w:bottom w:val="none" w:sz="0" w:space="0" w:color="auto"/>
        <w:right w:val="none" w:sz="0" w:space="0" w:color="auto"/>
      </w:divBdr>
    </w:div>
    <w:div w:id="1449853091">
      <w:bodyDiv w:val="1"/>
      <w:marLeft w:val="0"/>
      <w:marRight w:val="0"/>
      <w:marTop w:val="0"/>
      <w:marBottom w:val="0"/>
      <w:divBdr>
        <w:top w:val="none" w:sz="0" w:space="0" w:color="auto"/>
        <w:left w:val="none" w:sz="0" w:space="0" w:color="auto"/>
        <w:bottom w:val="none" w:sz="0" w:space="0" w:color="auto"/>
        <w:right w:val="none" w:sz="0" w:space="0" w:color="auto"/>
      </w:divBdr>
    </w:div>
    <w:div w:id="1513227596">
      <w:bodyDiv w:val="1"/>
      <w:marLeft w:val="0"/>
      <w:marRight w:val="0"/>
      <w:marTop w:val="0"/>
      <w:marBottom w:val="0"/>
      <w:divBdr>
        <w:top w:val="none" w:sz="0" w:space="0" w:color="auto"/>
        <w:left w:val="none" w:sz="0" w:space="0" w:color="auto"/>
        <w:bottom w:val="none" w:sz="0" w:space="0" w:color="auto"/>
        <w:right w:val="none" w:sz="0" w:space="0" w:color="auto"/>
      </w:divBdr>
    </w:div>
    <w:div w:id="1515536121">
      <w:bodyDiv w:val="1"/>
      <w:marLeft w:val="0"/>
      <w:marRight w:val="0"/>
      <w:marTop w:val="0"/>
      <w:marBottom w:val="0"/>
      <w:divBdr>
        <w:top w:val="none" w:sz="0" w:space="0" w:color="auto"/>
        <w:left w:val="none" w:sz="0" w:space="0" w:color="auto"/>
        <w:bottom w:val="none" w:sz="0" w:space="0" w:color="auto"/>
        <w:right w:val="none" w:sz="0" w:space="0" w:color="auto"/>
      </w:divBdr>
    </w:div>
    <w:div w:id="1515923118">
      <w:bodyDiv w:val="1"/>
      <w:marLeft w:val="0"/>
      <w:marRight w:val="0"/>
      <w:marTop w:val="0"/>
      <w:marBottom w:val="0"/>
      <w:divBdr>
        <w:top w:val="none" w:sz="0" w:space="0" w:color="auto"/>
        <w:left w:val="none" w:sz="0" w:space="0" w:color="auto"/>
        <w:bottom w:val="none" w:sz="0" w:space="0" w:color="auto"/>
        <w:right w:val="none" w:sz="0" w:space="0" w:color="auto"/>
      </w:divBdr>
    </w:div>
    <w:div w:id="1534615459">
      <w:bodyDiv w:val="1"/>
      <w:marLeft w:val="0"/>
      <w:marRight w:val="0"/>
      <w:marTop w:val="0"/>
      <w:marBottom w:val="0"/>
      <w:divBdr>
        <w:top w:val="none" w:sz="0" w:space="0" w:color="auto"/>
        <w:left w:val="none" w:sz="0" w:space="0" w:color="auto"/>
        <w:bottom w:val="none" w:sz="0" w:space="0" w:color="auto"/>
        <w:right w:val="none" w:sz="0" w:space="0" w:color="auto"/>
      </w:divBdr>
    </w:div>
    <w:div w:id="1563325381">
      <w:bodyDiv w:val="1"/>
      <w:marLeft w:val="0"/>
      <w:marRight w:val="0"/>
      <w:marTop w:val="0"/>
      <w:marBottom w:val="0"/>
      <w:divBdr>
        <w:top w:val="none" w:sz="0" w:space="0" w:color="auto"/>
        <w:left w:val="none" w:sz="0" w:space="0" w:color="auto"/>
        <w:bottom w:val="none" w:sz="0" w:space="0" w:color="auto"/>
        <w:right w:val="none" w:sz="0" w:space="0" w:color="auto"/>
      </w:divBdr>
    </w:div>
    <w:div w:id="1575774032">
      <w:bodyDiv w:val="1"/>
      <w:marLeft w:val="0"/>
      <w:marRight w:val="0"/>
      <w:marTop w:val="0"/>
      <w:marBottom w:val="0"/>
      <w:divBdr>
        <w:top w:val="none" w:sz="0" w:space="0" w:color="auto"/>
        <w:left w:val="none" w:sz="0" w:space="0" w:color="auto"/>
        <w:bottom w:val="none" w:sz="0" w:space="0" w:color="auto"/>
        <w:right w:val="none" w:sz="0" w:space="0" w:color="auto"/>
      </w:divBdr>
    </w:div>
    <w:div w:id="1602759116">
      <w:bodyDiv w:val="1"/>
      <w:marLeft w:val="0"/>
      <w:marRight w:val="0"/>
      <w:marTop w:val="0"/>
      <w:marBottom w:val="0"/>
      <w:divBdr>
        <w:top w:val="none" w:sz="0" w:space="0" w:color="auto"/>
        <w:left w:val="none" w:sz="0" w:space="0" w:color="auto"/>
        <w:bottom w:val="none" w:sz="0" w:space="0" w:color="auto"/>
        <w:right w:val="none" w:sz="0" w:space="0" w:color="auto"/>
      </w:divBdr>
    </w:div>
    <w:div w:id="1606617851">
      <w:bodyDiv w:val="1"/>
      <w:marLeft w:val="0"/>
      <w:marRight w:val="0"/>
      <w:marTop w:val="0"/>
      <w:marBottom w:val="0"/>
      <w:divBdr>
        <w:top w:val="none" w:sz="0" w:space="0" w:color="auto"/>
        <w:left w:val="none" w:sz="0" w:space="0" w:color="auto"/>
        <w:bottom w:val="none" w:sz="0" w:space="0" w:color="auto"/>
        <w:right w:val="none" w:sz="0" w:space="0" w:color="auto"/>
      </w:divBdr>
    </w:div>
    <w:div w:id="1680156567">
      <w:bodyDiv w:val="1"/>
      <w:marLeft w:val="0"/>
      <w:marRight w:val="0"/>
      <w:marTop w:val="0"/>
      <w:marBottom w:val="0"/>
      <w:divBdr>
        <w:top w:val="none" w:sz="0" w:space="0" w:color="auto"/>
        <w:left w:val="none" w:sz="0" w:space="0" w:color="auto"/>
        <w:bottom w:val="none" w:sz="0" w:space="0" w:color="auto"/>
        <w:right w:val="none" w:sz="0" w:space="0" w:color="auto"/>
      </w:divBdr>
    </w:div>
    <w:div w:id="1717895535">
      <w:bodyDiv w:val="1"/>
      <w:marLeft w:val="0"/>
      <w:marRight w:val="0"/>
      <w:marTop w:val="0"/>
      <w:marBottom w:val="0"/>
      <w:divBdr>
        <w:top w:val="none" w:sz="0" w:space="0" w:color="auto"/>
        <w:left w:val="none" w:sz="0" w:space="0" w:color="auto"/>
        <w:bottom w:val="none" w:sz="0" w:space="0" w:color="auto"/>
        <w:right w:val="none" w:sz="0" w:space="0" w:color="auto"/>
      </w:divBdr>
    </w:div>
    <w:div w:id="1728532985">
      <w:bodyDiv w:val="1"/>
      <w:marLeft w:val="0"/>
      <w:marRight w:val="0"/>
      <w:marTop w:val="0"/>
      <w:marBottom w:val="0"/>
      <w:divBdr>
        <w:top w:val="none" w:sz="0" w:space="0" w:color="auto"/>
        <w:left w:val="none" w:sz="0" w:space="0" w:color="auto"/>
        <w:bottom w:val="none" w:sz="0" w:space="0" w:color="auto"/>
        <w:right w:val="none" w:sz="0" w:space="0" w:color="auto"/>
      </w:divBdr>
    </w:div>
    <w:div w:id="1863858034">
      <w:bodyDiv w:val="1"/>
      <w:marLeft w:val="0"/>
      <w:marRight w:val="0"/>
      <w:marTop w:val="0"/>
      <w:marBottom w:val="0"/>
      <w:divBdr>
        <w:top w:val="none" w:sz="0" w:space="0" w:color="auto"/>
        <w:left w:val="none" w:sz="0" w:space="0" w:color="auto"/>
        <w:bottom w:val="none" w:sz="0" w:space="0" w:color="auto"/>
        <w:right w:val="none" w:sz="0" w:space="0" w:color="auto"/>
      </w:divBdr>
    </w:div>
    <w:div w:id="1949000264">
      <w:bodyDiv w:val="1"/>
      <w:marLeft w:val="0"/>
      <w:marRight w:val="0"/>
      <w:marTop w:val="0"/>
      <w:marBottom w:val="0"/>
      <w:divBdr>
        <w:top w:val="none" w:sz="0" w:space="0" w:color="auto"/>
        <w:left w:val="none" w:sz="0" w:space="0" w:color="auto"/>
        <w:bottom w:val="none" w:sz="0" w:space="0" w:color="auto"/>
        <w:right w:val="none" w:sz="0" w:space="0" w:color="auto"/>
      </w:divBdr>
    </w:div>
    <w:div w:id="21246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B3AE-96DE-409E-8F1B-94F74F8B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2</cp:revision>
  <cp:lastPrinted>2019-05-28T21:46:00Z</cp:lastPrinted>
  <dcterms:created xsi:type="dcterms:W3CDTF">2019-05-29T01:44:00Z</dcterms:created>
  <dcterms:modified xsi:type="dcterms:W3CDTF">2019-05-29T01:44:00Z</dcterms:modified>
</cp:coreProperties>
</file>