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0E9F" w:rsidP="00C67269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THE COUNCIL OF THE CITY OF NEW YORK</w:t>
      </w:r>
    </w:p>
    <w:p w:rsidR="00000000" w:rsidRDefault="005C0E9F" w:rsidP="005C0E9F">
      <w:pPr>
        <w:tabs>
          <w:tab w:val="center" w:pos="4680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RESOLUTION NO. 1241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>..Title</w:t>
      </w:r>
    </w:p>
    <w:p w:rsidR="00000000" w:rsidRDefault="005C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Resolution approving with modification the decision of the City Planning Commission on Application No. N 030489 ZRM, an amendment to the text of the Zoning Resolution </w:t>
      </w:r>
      <w:r>
        <w:rPr>
          <w:rFonts w:ascii="Times New Roman" w:hAnsi="Times New Roman"/>
          <w:b/>
        </w:rPr>
        <w:t>relating to Articl</w:t>
      </w:r>
      <w:r>
        <w:rPr>
          <w:rFonts w:ascii="Times New Roman" w:hAnsi="Times New Roman"/>
          <w:b/>
        </w:rPr>
        <w:t>e VII, Chapter 4, Section 74-712 (Developments in Historic Districts) to permit within Historic Districts the modification of use regulations on certain zoning lots located in M1-5A and M1-5B districts</w:t>
      </w:r>
      <w:r>
        <w:rPr>
          <w:rFonts w:ascii="Times New Roman" w:hAnsi="Times New Roman"/>
          <w:b/>
          <w:bCs/>
        </w:rPr>
        <w:t xml:space="preserve"> (L.U. No. 583).</w:t>
      </w:r>
    </w:p>
    <w:p w:rsidR="00000000" w:rsidRDefault="005C0E9F">
      <w:pPr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>..Body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By Council Members Katz and Av</w:t>
      </w:r>
      <w:r>
        <w:rPr>
          <w:rFonts w:ascii="Times New Roman" w:hAnsi="Times New Roman"/>
          <w:b/>
          <w:bCs/>
        </w:rPr>
        <w:t>ella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WHEREAS, the City Planning Commission filed with the Council on November 7, 2003 its decision dated November 5, 2003 (the "Decision"), on the application submitted by WXIV/Broadway Grand Realty, L.L.C., pursuant to Section 201 of the New York</w:t>
      </w:r>
      <w:r>
        <w:rPr>
          <w:rFonts w:ascii="Times New Roman" w:hAnsi="Times New Roman"/>
        </w:rPr>
        <w:t xml:space="preserve"> City Charter, for an amendment to the text of the Zoning Resolution (Application No. N 030489 ZRM) (the "Application");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WHEREAS, the Application is related to ULURP Application C 030490 ZSM (L.U. No. 584), grant of a special permit pursuant to Sec</w:t>
      </w:r>
      <w:r>
        <w:rPr>
          <w:rFonts w:ascii="Times New Roman" w:hAnsi="Times New Roman"/>
        </w:rPr>
        <w:t>tion 74-712 of the Zoning Resolution;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WHEREAS, the Decision is subject to review and action by the Council pursuant to Section 197</w:t>
      </w:r>
      <w:r>
        <w:rPr>
          <w:rFonts w:ascii="Times New Roman" w:hAnsi="Times New Roman"/>
        </w:rPr>
        <w:noBreakHyphen/>
        <w:t>d(b)(1) of the City Charter;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WHEREAS, the SoHo and NoHo communities of the City of New York have long been characte</w:t>
      </w:r>
      <w:r>
        <w:rPr>
          <w:rFonts w:ascii="Times New Roman" w:hAnsi="Times New Roman"/>
        </w:rPr>
        <w:t>rized by their strong association with the production and exhibition of the arts, and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pStyle w:val="BodyText"/>
      </w:pPr>
      <w:r>
        <w:tab/>
        <w:t>WHEREAS, the encouragement of these historic uses in the SoHo and NoHo communities continue to be the policy of the City of New York, and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WHEREAS, the proposed specia</w:t>
      </w:r>
      <w:r>
        <w:rPr>
          <w:rFonts w:ascii="Times New Roman" w:hAnsi="Times New Roman"/>
        </w:rPr>
        <w:t xml:space="preserve">l permit text could be another tool by which such art related neighborhood character would be encouraged. 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WHEREAS, upon due notice, the Council held a public hearing on the Decision and Application on December 1, 2003;</w:t>
      </w: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WHEREAS,</w:t>
      </w:r>
      <w:r>
        <w:rPr>
          <w:rFonts w:ascii="Times New Roman" w:hAnsi="Times New Roman"/>
        </w:rPr>
        <w:t xml:space="preserve"> the Council has considered the land use implications and other policy issues relating to the Decision and Application; and</w:t>
      </w: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WHEREAS, the Council has considered the relevant environmental issues and the Negative Declaration, issued on June 2, 2003 (</w:t>
      </w:r>
      <w:r>
        <w:rPr>
          <w:rFonts w:ascii="Times New Roman" w:hAnsi="Times New Roman"/>
        </w:rPr>
        <w:t>CEQR No. 03DCP042M);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RESOLVED: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The Council finds that the action described herein will have no significant effect on the environment;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Pursuant to Sections 197</w:t>
      </w:r>
      <w:r>
        <w:rPr>
          <w:rFonts w:ascii="Times New Roman" w:hAnsi="Times New Roman"/>
        </w:rPr>
        <w:noBreakHyphen/>
        <w:t>d and 200 of the City Charter and on the basis of the Decision and Application t</w:t>
      </w:r>
      <w:r>
        <w:rPr>
          <w:rFonts w:ascii="Times New Roman" w:hAnsi="Times New Roman"/>
        </w:rPr>
        <w:t>he Council approves the Decision with the following modification: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The Zoning Resolution of the City of New York, effective as of December 15, 1961, and as subsequently amended, is further amended as follows: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Matter in </w:t>
      </w:r>
      <w:r>
        <w:rPr>
          <w:rFonts w:ascii="Times New Roman" w:hAnsi="Times New Roman"/>
          <w:bCs/>
          <w:u w:val="single"/>
        </w:rPr>
        <w:t>underline</w:t>
      </w:r>
      <w:r>
        <w:rPr>
          <w:rFonts w:ascii="Times New Roman" w:hAnsi="Times New Roman"/>
          <w:bCs/>
        </w:rPr>
        <w:t xml:space="preserve"> is new, to be added</w:t>
      </w:r>
      <w:r>
        <w:rPr>
          <w:rFonts w:ascii="Times New Roman" w:hAnsi="Times New Roman"/>
          <w:bCs/>
        </w:rPr>
        <w:t>;</w:t>
      </w: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Matter within #  # is defined in Section 12-10;</w:t>
      </w: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Matter in </w:t>
      </w:r>
      <w:r>
        <w:rPr>
          <w:rFonts w:ascii="Times New Roman" w:hAnsi="Times New Roman"/>
          <w:bCs/>
          <w:strike/>
        </w:rPr>
        <w:t>strikeout</w:t>
      </w:r>
      <w:r>
        <w:rPr>
          <w:rFonts w:ascii="Times New Roman" w:hAnsi="Times New Roman"/>
          <w:bCs/>
        </w:rPr>
        <w:t xml:space="preserve"> is text to be deleted;</w:t>
      </w: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*** indicates where unchanged text appears in the Zoning Resolution;</w:t>
      </w: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Matter in </w:t>
      </w:r>
      <w:r>
        <w:rPr>
          <w:rFonts w:ascii="Times New Roman" w:hAnsi="Times New Roman"/>
          <w:bCs/>
          <w:u w:val="double"/>
        </w:rPr>
        <w:t>double-underline</w:t>
      </w:r>
      <w:r>
        <w:rPr>
          <w:rFonts w:ascii="Times New Roman" w:hAnsi="Times New Roman"/>
          <w:bCs/>
        </w:rPr>
        <w:t xml:space="preserve"> is new, to be added by the Council.</w:t>
      </w: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</w:p>
    <w:p w:rsidR="00000000" w:rsidRDefault="005C0E9F">
      <w:pPr>
        <w:tabs>
          <w:tab w:val="left" w:pos="720"/>
          <w:tab w:val="left" w:pos="7560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***</w:t>
      </w: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74-712</w:t>
      </w: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Developments in Hi</w:t>
      </w:r>
      <w:r>
        <w:rPr>
          <w:rFonts w:ascii="Times New Roman" w:hAnsi="Times New Roman"/>
          <w:b/>
        </w:rPr>
        <w:t>storic Districts</w:t>
      </w: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</w:p>
    <w:p w:rsidR="00000000" w:rsidRDefault="005C0E9F">
      <w:pPr>
        <w:pStyle w:val="BodyText3"/>
        <w:tabs>
          <w:tab w:val="left" w:pos="720"/>
          <w:tab w:val="left" w:pos="7560"/>
        </w:tabs>
        <w:rPr>
          <w:bCs/>
        </w:rPr>
      </w:pPr>
      <w:r>
        <w:rPr>
          <w:bCs/>
        </w:rPr>
        <w:t>Within Historic Districts designated by the Landmarks Preservation Commission, the City Planning Commission may grant a special permit, in accordance with the following provisions:</w:t>
      </w:r>
    </w:p>
    <w:p w:rsidR="00000000" w:rsidRDefault="005C0E9F">
      <w:pPr>
        <w:pStyle w:val="BodyText3"/>
        <w:tabs>
          <w:tab w:val="left" w:pos="720"/>
          <w:tab w:val="left" w:pos="7560"/>
        </w:tabs>
        <w:rPr>
          <w:bCs/>
        </w:rPr>
      </w:pPr>
    </w:p>
    <w:p w:rsidR="00000000" w:rsidRDefault="005C0E9F">
      <w:pPr>
        <w:pStyle w:val="BodyText3"/>
        <w:tabs>
          <w:tab w:val="left" w:pos="720"/>
          <w:tab w:val="left" w:pos="7560"/>
        </w:tabs>
        <w:ind w:left="720" w:hanging="720"/>
      </w:pPr>
      <w:r>
        <w:t>(a)</w:t>
      </w:r>
      <w:r>
        <w:rPr>
          <w:u w:val="none"/>
        </w:rPr>
        <w:tab/>
      </w:r>
      <w:r>
        <w:t>In M1-5A and M1-5B Districts, on a #zoning lot# that</w:t>
      </w:r>
      <w:r>
        <w:t xml:space="preserve"> is vacant, is #land with minor improvements# or where not more that twenty percent of the #lot area# is occupied by existing #buildings# as of (effective date of amendment), the Commission may modify #use# regulations to permit #residential development# a</w:t>
      </w:r>
      <w:r>
        <w:t>nd, below the floor level of the second #story# of any #development#, #uses# permitted under Section 32-15 (Use Group 6), provided that:</w:t>
      </w:r>
    </w:p>
    <w:p w:rsidR="00000000" w:rsidRDefault="005C0E9F">
      <w:pPr>
        <w:tabs>
          <w:tab w:val="left" w:pos="720"/>
          <w:tab w:val="left" w:pos="7560"/>
        </w:tabs>
        <w:ind w:left="360"/>
        <w:jc w:val="both"/>
        <w:rPr>
          <w:rFonts w:ascii="Times New Roman" w:hAnsi="Times New Roman"/>
          <w:bCs/>
          <w:u w:val="single"/>
        </w:rPr>
      </w:pPr>
    </w:p>
    <w:p w:rsidR="00000000" w:rsidRDefault="005C0E9F">
      <w:pPr>
        <w:tabs>
          <w:tab w:val="left" w:pos="1440"/>
          <w:tab w:val="left" w:pos="7560"/>
        </w:tabs>
        <w:ind w:left="72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(1)</w:t>
      </w:r>
      <w:r>
        <w:rPr>
          <w:rFonts w:ascii="Times New Roman" w:hAnsi="Times New Roman"/>
          <w:bCs/>
          <w:u w:val="single"/>
        </w:rPr>
        <w:tab/>
        <w:t xml:space="preserve">  the #use# modification meets the following conditions:</w:t>
      </w:r>
    </w:p>
    <w:p w:rsidR="00000000" w:rsidRDefault="005C0E9F">
      <w:pPr>
        <w:pStyle w:val="BodyTextIndent2"/>
        <w:tabs>
          <w:tab w:val="clear" w:pos="720"/>
          <w:tab w:val="clear" w:pos="1440"/>
        </w:tabs>
        <w:ind w:left="1620"/>
      </w:pPr>
    </w:p>
    <w:p w:rsidR="00000000" w:rsidRDefault="005C0E9F">
      <w:pPr>
        <w:pStyle w:val="BodyTextIndent2"/>
        <w:tabs>
          <w:tab w:val="clear" w:pos="720"/>
          <w:tab w:val="clear" w:pos="1440"/>
        </w:tabs>
        <w:ind w:left="2160" w:hanging="540"/>
      </w:pPr>
      <w:r>
        <w:t>(i)</w:t>
      </w:r>
      <w:r>
        <w:rPr>
          <w:u w:val="none"/>
        </w:rPr>
        <w:tab/>
      </w:r>
      <w:r>
        <w:t>that #residential development# complies with the req</w:t>
      </w:r>
      <w:r>
        <w:t>uirements of Section 23-47 (Minimum Required Rear Yards) and 23-86 (Minimum Distance Between Legally Required Windows and Walls or Lot Lines) pertaining to R8 Districts;</w:t>
      </w:r>
    </w:p>
    <w:p w:rsidR="00000000" w:rsidRDefault="005C0E9F">
      <w:pPr>
        <w:pStyle w:val="BodyTextIndent2"/>
        <w:tabs>
          <w:tab w:val="clear" w:pos="720"/>
          <w:tab w:val="clear" w:pos="1440"/>
        </w:tabs>
      </w:pPr>
    </w:p>
    <w:p w:rsidR="00000000" w:rsidRDefault="005C0E9F">
      <w:pPr>
        <w:pStyle w:val="BodyTextIndent2"/>
        <w:tabs>
          <w:tab w:val="clear" w:pos="720"/>
          <w:tab w:val="clear" w:pos="1440"/>
        </w:tabs>
      </w:pPr>
      <w:r>
        <w:t>(ii)</w:t>
      </w:r>
      <w:r>
        <w:rPr>
          <w:u w:val="none"/>
        </w:rPr>
        <w:tab/>
      </w:r>
      <w:r>
        <w:t>total #floor area ratio# on the #zoning lot# shall be limited to 5.0;</w:t>
      </w:r>
    </w:p>
    <w:p w:rsidR="00000000" w:rsidRDefault="005C0E9F">
      <w:pPr>
        <w:tabs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  <w:u w:val="single"/>
        </w:rPr>
      </w:pPr>
    </w:p>
    <w:p w:rsidR="00000000" w:rsidRDefault="005C0E9F">
      <w:pPr>
        <w:tabs>
          <w:tab w:val="left" w:pos="1440"/>
          <w:tab w:val="left" w:pos="2160"/>
          <w:tab w:val="left" w:pos="7560"/>
        </w:tabs>
        <w:ind w:left="2160" w:hanging="2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(iii)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th</w:t>
      </w:r>
      <w:r>
        <w:rPr>
          <w:rFonts w:ascii="Times New Roman" w:hAnsi="Times New Roman"/>
          <w:bCs/>
          <w:u w:val="single"/>
        </w:rPr>
        <w:t>at the minimum #floor area# of each #dwelling unit# permitted by this Section shall be 1,200 square feet; and</w:t>
      </w:r>
    </w:p>
    <w:p w:rsidR="00000000" w:rsidRDefault="005C0E9F">
      <w:pPr>
        <w:pStyle w:val="BodyTextIndent"/>
        <w:ind w:left="0"/>
      </w:pPr>
    </w:p>
    <w:p w:rsidR="00000000" w:rsidRDefault="005C0E9F">
      <w:pPr>
        <w:pStyle w:val="BodyTextIndent"/>
        <w:ind w:left="2160" w:hanging="2160"/>
      </w:pPr>
      <w:r>
        <w:tab/>
      </w:r>
      <w:r>
        <w:rPr>
          <w:u w:val="single"/>
        </w:rPr>
        <w:t>(iv)</w:t>
      </w:r>
      <w:r>
        <w:tab/>
      </w:r>
      <w:r>
        <w:rPr>
          <w:u w:val="single"/>
        </w:rPr>
        <w:t>all #signs# for #residential# or #commercial uses# permitted by this Section shall conform to the applicable regulations of Section 32-60 (</w:t>
      </w:r>
      <w:r>
        <w:rPr>
          <w:u w:val="single"/>
        </w:rPr>
        <w:t>Sign Regulations) pertaining to C2 Districts; and</w:t>
      </w:r>
    </w:p>
    <w:p w:rsidR="00000000" w:rsidRDefault="005C0E9F">
      <w:pPr>
        <w:tabs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  <w:u w:val="single"/>
        </w:rPr>
      </w:pPr>
    </w:p>
    <w:p w:rsidR="00000000" w:rsidRDefault="005C0E9F">
      <w:pPr>
        <w:tabs>
          <w:tab w:val="left" w:pos="1440"/>
          <w:tab w:val="left" w:pos="2160"/>
          <w:tab w:val="left" w:pos="7560"/>
        </w:tabs>
        <w:ind w:left="2160" w:hanging="2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double"/>
        </w:rPr>
        <w:t>(v)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double"/>
        </w:rPr>
        <w:t>eating and drinking establishments of any size  as set forth in Use Groups 6A and 12A are not permitted.</w:t>
      </w:r>
    </w:p>
    <w:p w:rsidR="00000000" w:rsidRDefault="005C0E9F">
      <w:pPr>
        <w:pStyle w:val="BodyText3"/>
        <w:tabs>
          <w:tab w:val="clear" w:pos="720"/>
          <w:tab w:val="left" w:pos="2160"/>
          <w:tab w:val="left" w:pos="7560"/>
        </w:tabs>
        <w:ind w:left="720"/>
        <w:rPr>
          <w:bCs/>
        </w:rPr>
      </w:pPr>
    </w:p>
    <w:p w:rsidR="00000000" w:rsidRDefault="005C0E9F">
      <w:pPr>
        <w:pStyle w:val="BodyText3"/>
        <w:tabs>
          <w:tab w:val="clear" w:pos="720"/>
          <w:tab w:val="left" w:pos="2160"/>
          <w:tab w:val="left" w:pos="7560"/>
        </w:tabs>
        <w:ind w:left="720"/>
        <w:rPr>
          <w:bCs/>
        </w:rPr>
      </w:pPr>
    </w:p>
    <w:p w:rsidR="00000000" w:rsidRDefault="005C0E9F">
      <w:pPr>
        <w:pStyle w:val="BodyText3"/>
        <w:tabs>
          <w:tab w:val="clear" w:pos="720"/>
          <w:tab w:val="left" w:pos="1440"/>
          <w:tab w:val="left" w:pos="2160"/>
          <w:tab w:val="left" w:pos="7560"/>
        </w:tabs>
        <w:ind w:left="720"/>
        <w:rPr>
          <w:bCs/>
        </w:rPr>
      </w:pPr>
      <w:r>
        <w:rPr>
          <w:bCs/>
        </w:rPr>
        <w:t>(2)</w:t>
      </w:r>
      <w:r>
        <w:rPr>
          <w:bCs/>
        </w:rPr>
        <w:tab/>
        <w:t>the Commission finds that such #use# modifications:</w:t>
      </w:r>
    </w:p>
    <w:p w:rsidR="00000000" w:rsidRDefault="005C0E9F">
      <w:pPr>
        <w:tabs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  <w:u w:val="single"/>
        </w:rPr>
      </w:pPr>
    </w:p>
    <w:p w:rsidR="00000000" w:rsidRDefault="005C0E9F">
      <w:pPr>
        <w:tabs>
          <w:tab w:val="left" w:pos="1440"/>
          <w:tab w:val="left" w:pos="2160"/>
          <w:tab w:val="left" w:pos="7560"/>
        </w:tabs>
        <w:ind w:left="2160" w:hanging="2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(i)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have minimal adverse effects on</w:t>
      </w:r>
      <w:r>
        <w:rPr>
          <w:rFonts w:ascii="Times New Roman" w:hAnsi="Times New Roman"/>
          <w:bCs/>
          <w:u w:val="single"/>
        </w:rPr>
        <w:t xml:space="preserve"> the conforming #uses# in the surrounding area;</w:t>
      </w:r>
    </w:p>
    <w:p w:rsidR="00000000" w:rsidRDefault="005C0E9F">
      <w:pPr>
        <w:tabs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  <w:u w:val="single"/>
        </w:rPr>
      </w:pPr>
    </w:p>
    <w:p w:rsidR="00000000" w:rsidRDefault="005C0E9F">
      <w:pPr>
        <w:tabs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(ii)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are compatible with the character of the surrounding area; and</w:t>
      </w:r>
    </w:p>
    <w:p w:rsidR="00000000" w:rsidRDefault="005C0E9F">
      <w:pPr>
        <w:tabs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  <w:u w:val="single"/>
        </w:rPr>
      </w:pPr>
    </w:p>
    <w:p w:rsidR="00000000" w:rsidRDefault="005C0E9F">
      <w:pPr>
        <w:pStyle w:val="BodyText"/>
        <w:tabs>
          <w:tab w:val="clear" w:pos="720"/>
          <w:tab w:val="left" w:pos="1440"/>
          <w:tab w:val="left" w:pos="2160"/>
          <w:tab w:val="left" w:pos="7560"/>
        </w:tabs>
        <w:ind w:left="2160" w:hanging="2160"/>
        <w:rPr>
          <w:bCs/>
        </w:rPr>
      </w:pPr>
      <w:r>
        <w:rPr>
          <w:bCs/>
        </w:rPr>
        <w:tab/>
      </w:r>
      <w:r>
        <w:rPr>
          <w:bCs/>
          <w:u w:val="single"/>
        </w:rPr>
        <w:t>(iii)</w:t>
      </w:r>
      <w:r>
        <w:rPr>
          <w:bCs/>
        </w:rPr>
        <w:tab/>
      </w:r>
      <w:r>
        <w:rPr>
          <w:bCs/>
          <w:u w:val="single"/>
        </w:rPr>
        <w:t>for modifications that permit #residential use#, result in a #development# that is compatible with the scale of the surrounding ar</w:t>
      </w:r>
      <w:r>
        <w:rPr>
          <w:bCs/>
          <w:u w:val="single"/>
        </w:rPr>
        <w:t>ea.</w:t>
      </w:r>
    </w:p>
    <w:p w:rsidR="00000000" w:rsidRDefault="005C0E9F">
      <w:pPr>
        <w:tabs>
          <w:tab w:val="left" w:pos="720"/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  <w:u w:val="single"/>
        </w:rPr>
      </w:pPr>
    </w:p>
    <w:p w:rsidR="00000000" w:rsidRDefault="005C0E9F">
      <w:pPr>
        <w:tabs>
          <w:tab w:val="left" w:pos="720"/>
          <w:tab w:val="left" w:pos="1440"/>
          <w:tab w:val="left" w:pos="2160"/>
          <w:tab w:val="left" w:pos="7560"/>
        </w:tabs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(b)</w:t>
      </w:r>
      <w:r>
        <w:rPr>
          <w:rFonts w:ascii="Times New Roman" w:hAnsi="Times New Roman"/>
          <w:bCs/>
        </w:rPr>
        <w:tab/>
        <w:t xml:space="preserve">In all districts, </w:t>
      </w:r>
      <w:r>
        <w:rPr>
          <w:rFonts w:ascii="Times New Roman" w:hAnsi="Times New Roman"/>
          <w:bCs/>
          <w:u w:val="single"/>
        </w:rPr>
        <w:t>the modification of #bulk# regulations, except #floor area ratio# regulations,</w:t>
      </w:r>
      <w:r>
        <w:rPr>
          <w:rFonts w:ascii="Times New Roman" w:hAnsi="Times New Roman"/>
          <w:bCs/>
        </w:rPr>
        <w:t xml:space="preserve"> for any #development# on a #zoning lot# that is vacant or is #land with minor improvements#, </w:t>
      </w:r>
      <w:r>
        <w:rPr>
          <w:rFonts w:ascii="Times New Roman" w:hAnsi="Times New Roman"/>
          <w:bCs/>
          <w:strike/>
        </w:rPr>
        <w:t>that lies within a Historic District designated by the La</w:t>
      </w:r>
      <w:r>
        <w:rPr>
          <w:rFonts w:ascii="Times New Roman" w:hAnsi="Times New Roman"/>
          <w:bCs/>
          <w:strike/>
        </w:rPr>
        <w:t>ndmarks Preservation Commission, the City Planning Commission may permit the modification of #bulk# regulations, except #floor area ratio# regulations</w:t>
      </w:r>
      <w:r>
        <w:rPr>
          <w:rFonts w:ascii="Times New Roman" w:hAnsi="Times New Roman"/>
          <w:bCs/>
        </w:rPr>
        <w:t xml:space="preserve">, provided </w:t>
      </w:r>
      <w:r>
        <w:rPr>
          <w:rFonts w:ascii="Times New Roman" w:hAnsi="Times New Roman"/>
          <w:bCs/>
          <w:u w:val="single"/>
        </w:rPr>
        <w:t>the Commission shall find</w:t>
      </w:r>
      <w:r>
        <w:rPr>
          <w:rFonts w:ascii="Times New Roman" w:hAnsi="Times New Roman"/>
          <w:bCs/>
        </w:rPr>
        <w:t xml:space="preserve"> that such #bulk# modifications:</w:t>
      </w:r>
    </w:p>
    <w:p w:rsidR="00000000" w:rsidRDefault="005C0E9F">
      <w:pPr>
        <w:tabs>
          <w:tab w:val="left" w:pos="720"/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</w:rPr>
      </w:pPr>
    </w:p>
    <w:p w:rsidR="00000000" w:rsidRDefault="005C0E9F">
      <w:pPr>
        <w:tabs>
          <w:tab w:val="left" w:pos="720"/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</w:rPr>
      </w:pPr>
    </w:p>
    <w:p w:rsidR="00000000" w:rsidRDefault="005C0E9F">
      <w:pPr>
        <w:tabs>
          <w:tab w:val="left" w:pos="720"/>
          <w:tab w:val="left" w:pos="1440"/>
          <w:tab w:val="left" w:pos="2160"/>
          <w:tab w:val="left" w:pos="7560"/>
        </w:tabs>
        <w:ind w:left="1440" w:hanging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trike/>
        </w:rPr>
        <w:t>(a)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(1)</w:t>
      </w:r>
      <w:r>
        <w:rPr>
          <w:rFonts w:ascii="Times New Roman" w:hAnsi="Times New Roman"/>
          <w:bCs/>
        </w:rPr>
        <w:tab/>
        <w:t xml:space="preserve">shall not adversely affect </w:t>
      </w:r>
      <w:r>
        <w:rPr>
          <w:rFonts w:ascii="Times New Roman" w:hAnsi="Times New Roman"/>
          <w:bCs/>
        </w:rPr>
        <w:t>structures or #open space# in the vicinity in terms of scale, location and access to light and air; and</w:t>
      </w:r>
    </w:p>
    <w:p w:rsidR="00000000" w:rsidRDefault="005C0E9F">
      <w:pPr>
        <w:tabs>
          <w:tab w:val="left" w:pos="720"/>
          <w:tab w:val="left" w:pos="1440"/>
          <w:tab w:val="left" w:pos="2160"/>
          <w:tab w:val="left" w:pos="7560"/>
        </w:tabs>
        <w:jc w:val="both"/>
        <w:rPr>
          <w:rFonts w:ascii="Times New Roman" w:hAnsi="Times New Roman"/>
          <w:bCs/>
        </w:rPr>
      </w:pPr>
    </w:p>
    <w:p w:rsidR="00000000" w:rsidRDefault="005C0E9F">
      <w:pPr>
        <w:tabs>
          <w:tab w:val="left" w:pos="720"/>
          <w:tab w:val="left" w:pos="1440"/>
          <w:tab w:val="left" w:pos="7560"/>
        </w:tabs>
        <w:ind w:left="1440" w:hanging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trike/>
        </w:rPr>
        <w:t>(b)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(2)</w:t>
      </w:r>
      <w:r>
        <w:rPr>
          <w:rFonts w:ascii="Times New Roman" w:hAnsi="Times New Roman"/>
          <w:bCs/>
        </w:rPr>
        <w:tab/>
        <w:t>relate harmoniously to #buildings# in the Historic District as evidenced by a Certificate of Appropriateness or other permit from the Landmarks</w:t>
      </w:r>
      <w:r>
        <w:rPr>
          <w:rFonts w:ascii="Times New Roman" w:hAnsi="Times New Roman"/>
          <w:bCs/>
        </w:rPr>
        <w:t xml:space="preserve"> Preservation Commission.</w:t>
      </w: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</w:p>
    <w:p w:rsidR="00000000" w:rsidRDefault="005C0E9F">
      <w:pPr>
        <w:tabs>
          <w:tab w:val="left" w:pos="72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City Planning Commission may prescribe appropriate additional conditions and safeguards in order to enhance the character of the #development# and to minimize adverse effects on the character of the surrounding area.</w:t>
      </w:r>
    </w:p>
    <w:p w:rsidR="00000000" w:rsidRDefault="005C0E9F">
      <w:pPr>
        <w:tabs>
          <w:tab w:val="left" w:pos="720"/>
          <w:tab w:val="left" w:pos="7560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***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Ado</w:t>
      </w:r>
      <w:r>
        <w:rPr>
          <w:rFonts w:ascii="Times New Roman" w:hAnsi="Times New Roman"/>
        </w:rPr>
        <w:t>pted.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Office of the City Clerk, }</w:t>
      </w: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The City of New York,  } ss.: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hereby certify that the foregoing is a true copy of a Resolution passed by The Council of The City of New York on December 15, 2003, on file in this office.</w:t>
      </w: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jc w:val="both"/>
        <w:rPr>
          <w:rFonts w:ascii="Times New Roman" w:hAnsi="Times New Roman"/>
        </w:rPr>
      </w:pP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...........................................……. </w:t>
      </w:r>
    </w:p>
    <w:p w:rsidR="00000000" w:rsidRDefault="005C0E9F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City Clerk, Clerk of The Council</w:t>
      </w:r>
    </w:p>
    <w:p w:rsidR="00000000" w:rsidRDefault="005C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5C0E9F">
      <w:pPr>
        <w:jc w:val="both"/>
        <w:rPr>
          <w:rFonts w:ascii="CG Times" w:hAnsi="CG Times"/>
        </w:rPr>
      </w:pPr>
    </w:p>
    <w:p w:rsidR="00000000" w:rsidRDefault="005C0E9F"/>
    <w:sectPr w:rsidR="00000000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0E9F">
      <w:r>
        <w:separator/>
      </w:r>
    </w:p>
  </w:endnote>
  <w:endnote w:type="continuationSeparator" w:id="0">
    <w:p w:rsidR="00000000" w:rsidRDefault="005C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0E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C0E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0E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0E9F">
      <w:r>
        <w:separator/>
      </w:r>
    </w:p>
  </w:footnote>
  <w:footnote w:type="continuationSeparator" w:id="0">
    <w:p w:rsidR="00000000" w:rsidRDefault="005C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0E9F">
    <w:pPr>
      <w:pStyle w:val="Header"/>
      <w:rPr>
        <w:rFonts w:ascii="Times New Roman" w:hAnsi="Times New Roman"/>
        <w:b/>
        <w:bCs/>
      </w:rPr>
    </w:pPr>
  </w:p>
  <w:p w:rsidR="00000000" w:rsidRDefault="005C0E9F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>
      <w:rPr>
        <w:rFonts w:ascii="Times New Roman" w:hAnsi="Times New Roman"/>
        <w:b/>
        <w:bCs/>
        <w:noProof/>
      </w:rPr>
      <w:t>4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>
      <w:rPr>
        <w:rFonts w:ascii="Times New Roman" w:hAnsi="Times New Roman"/>
        <w:b/>
        <w:bCs/>
        <w:noProof/>
      </w:rPr>
      <w:t>4</w:t>
    </w:r>
    <w:r>
      <w:rPr>
        <w:rFonts w:ascii="Times New Roman" w:hAnsi="Times New Roman"/>
        <w:b/>
        <w:bCs/>
      </w:rPr>
      <w:fldChar w:fldCharType="end"/>
    </w:r>
  </w:p>
  <w:p w:rsidR="00000000" w:rsidRDefault="005C0E9F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N 030489 ZRM</w:t>
    </w:r>
  </w:p>
  <w:p w:rsidR="00000000" w:rsidRDefault="005C0E9F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Res. No. 1241 (L.U. No. 583)</w:t>
    </w:r>
  </w:p>
  <w:p w:rsidR="00000000" w:rsidRDefault="005C0E9F">
    <w:pPr>
      <w:pStyle w:val="Header"/>
      <w:rPr>
        <w:rFonts w:ascii="Times New Roman" w:hAnsi="Times New Roman"/>
        <w:b/>
        <w:bCs/>
      </w:rPr>
    </w:pPr>
  </w:p>
  <w:p w:rsidR="00000000" w:rsidRDefault="005C0E9F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6F3"/>
    <w:multiLevelType w:val="hybridMultilevel"/>
    <w:tmpl w:val="7FB49AB6"/>
    <w:lvl w:ilvl="0" w:tplc="42CC1EA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25C64"/>
    <w:multiLevelType w:val="hybridMultilevel"/>
    <w:tmpl w:val="0FF476E8"/>
    <w:lvl w:ilvl="0" w:tplc="E94454A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506E93"/>
    <w:multiLevelType w:val="hybridMultilevel"/>
    <w:tmpl w:val="6EF66118"/>
    <w:lvl w:ilvl="0" w:tplc="418E5F18">
      <w:start w:val="2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2EF7078F"/>
    <w:multiLevelType w:val="singleLevel"/>
    <w:tmpl w:val="37926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13A2C9C"/>
    <w:multiLevelType w:val="hybridMultilevel"/>
    <w:tmpl w:val="160077C2"/>
    <w:lvl w:ilvl="0" w:tplc="3F482D16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37EE7440"/>
    <w:multiLevelType w:val="hybridMultilevel"/>
    <w:tmpl w:val="90963428"/>
    <w:lvl w:ilvl="0" w:tplc="069E4514">
      <w:start w:val="2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66A87618"/>
    <w:multiLevelType w:val="hybridMultilevel"/>
    <w:tmpl w:val="8DCC3B24"/>
    <w:lvl w:ilvl="0" w:tplc="896C6906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6EBE3A5F"/>
    <w:multiLevelType w:val="hybridMultilevel"/>
    <w:tmpl w:val="8716D49C"/>
    <w:lvl w:ilvl="0" w:tplc="6A48C3B4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9235E6"/>
    <w:multiLevelType w:val="hybridMultilevel"/>
    <w:tmpl w:val="9CA02F56"/>
    <w:lvl w:ilvl="0" w:tplc="25EE84A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BE8E4C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3FE0D8C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69"/>
    <w:rsid w:val="005C0E9F"/>
    <w:rsid w:val="00C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02FC0-9A5D-4C76-8954-63CFA73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BodyText3">
    <w:name w:val="Body Text 3"/>
    <w:basedOn w:val="Normal"/>
    <w:semiHidden/>
    <w:pPr>
      <w:tabs>
        <w:tab w:val="left" w:pos="720"/>
      </w:tabs>
      <w:jc w:val="both"/>
    </w:pPr>
    <w:rPr>
      <w:rFonts w:ascii="Times New Roman" w:hAnsi="Times New Roman"/>
      <w:u w:val="single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1440"/>
        <w:tab w:val="left" w:pos="2160"/>
        <w:tab w:val="left" w:pos="7560"/>
      </w:tabs>
      <w:ind w:left="1440"/>
      <w:jc w:val="both"/>
    </w:pPr>
    <w:rPr>
      <w:rFonts w:ascii="Times New Roman" w:hAnsi="Times New Roman"/>
      <w:bCs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440"/>
        <w:tab w:val="left" w:pos="2160"/>
        <w:tab w:val="left" w:pos="7560"/>
      </w:tabs>
      <w:ind w:left="1620"/>
      <w:jc w:val="both"/>
    </w:pPr>
    <w:rPr>
      <w:rFonts w:ascii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dc:description/>
  <cp:lastModifiedBy>DelFranco, Ruthie</cp:lastModifiedBy>
  <cp:revision>3</cp:revision>
  <cp:lastPrinted>2003-12-16T16:43:00Z</cp:lastPrinted>
  <dcterms:created xsi:type="dcterms:W3CDTF">2019-05-16T01:58:00Z</dcterms:created>
  <dcterms:modified xsi:type="dcterms:W3CDTF">2019-05-16T01:59:00Z</dcterms:modified>
</cp:coreProperties>
</file>