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A62" w:rsidRDefault="006B4A62">
      <w:pPr>
        <w:rPr>
          <w:sz w:val="24"/>
          <w:szCs w:val="24"/>
        </w:rPr>
      </w:pPr>
      <w:bookmarkStart w:id="0" w:name="_GoBack"/>
      <w:bookmarkEnd w:id="0"/>
    </w:p>
    <w:p w:rsidR="005331EE" w:rsidRPr="00AC55AD" w:rsidRDefault="005331EE">
      <w:pPr>
        <w:rPr>
          <w:sz w:val="24"/>
          <w:szCs w:val="24"/>
        </w:rPr>
      </w:pPr>
    </w:p>
    <w:p w:rsidR="00092583" w:rsidRPr="00AC55AD" w:rsidRDefault="00092583">
      <w:pPr>
        <w:rPr>
          <w:sz w:val="24"/>
          <w:szCs w:val="24"/>
        </w:rPr>
      </w:pPr>
    </w:p>
    <w:p w:rsidR="006B4A62" w:rsidRPr="00AC55AD" w:rsidRDefault="00092583">
      <w:pPr>
        <w:pStyle w:val="Heading1"/>
        <w:rPr>
          <w:szCs w:val="24"/>
        </w:rPr>
      </w:pPr>
      <w:r w:rsidRPr="00AC55AD">
        <w:rPr>
          <w:szCs w:val="24"/>
        </w:rPr>
        <w:t>T</w:t>
      </w:r>
      <w:r w:rsidR="006B4A62" w:rsidRPr="00AC55AD">
        <w:rPr>
          <w:szCs w:val="24"/>
        </w:rPr>
        <w:t>HE COUNCIL</w:t>
      </w:r>
    </w:p>
    <w:p w:rsidR="006B4A62" w:rsidRPr="00AC55AD" w:rsidRDefault="006B4A62">
      <w:pPr>
        <w:jc w:val="center"/>
        <w:rPr>
          <w:b/>
          <w:sz w:val="24"/>
          <w:szCs w:val="24"/>
        </w:rPr>
      </w:pPr>
    </w:p>
    <w:p w:rsidR="006B4A62" w:rsidRPr="00AC55AD" w:rsidRDefault="006B4A62">
      <w:pPr>
        <w:jc w:val="center"/>
        <w:rPr>
          <w:b/>
          <w:sz w:val="24"/>
          <w:szCs w:val="24"/>
        </w:rPr>
      </w:pPr>
      <w:r w:rsidRPr="00AC55AD">
        <w:rPr>
          <w:b/>
          <w:sz w:val="24"/>
          <w:szCs w:val="24"/>
        </w:rPr>
        <w:t>JOINT REPORT OF THE LAND USE COMMITTEE</w:t>
      </w:r>
    </w:p>
    <w:p w:rsidR="006B4A62" w:rsidRPr="00AC55AD" w:rsidRDefault="006B4A62">
      <w:pPr>
        <w:jc w:val="center"/>
        <w:rPr>
          <w:b/>
          <w:sz w:val="24"/>
          <w:szCs w:val="24"/>
        </w:rPr>
      </w:pPr>
      <w:r w:rsidRPr="00AC55AD">
        <w:rPr>
          <w:b/>
          <w:sz w:val="24"/>
          <w:szCs w:val="24"/>
        </w:rPr>
        <w:t xml:space="preserve">AND THE </w:t>
      </w:r>
    </w:p>
    <w:p w:rsidR="006B4A62" w:rsidRPr="00AC55AD" w:rsidRDefault="006B4A62">
      <w:pPr>
        <w:jc w:val="center"/>
        <w:rPr>
          <w:b/>
          <w:sz w:val="24"/>
          <w:szCs w:val="24"/>
        </w:rPr>
      </w:pPr>
      <w:r w:rsidRPr="00AC55AD">
        <w:rPr>
          <w:b/>
          <w:sz w:val="24"/>
          <w:szCs w:val="24"/>
        </w:rPr>
        <w:t>SUBCOMMITTEE ON ZONING AND FRANCHISES</w:t>
      </w:r>
    </w:p>
    <w:p w:rsidR="006B4A62" w:rsidRPr="00AC55AD" w:rsidRDefault="006B4A62">
      <w:pPr>
        <w:jc w:val="center"/>
        <w:rPr>
          <w:b/>
          <w:sz w:val="24"/>
          <w:szCs w:val="24"/>
        </w:rPr>
      </w:pPr>
    </w:p>
    <w:p w:rsidR="006B4A62" w:rsidRDefault="00E75E34">
      <w:pPr>
        <w:jc w:val="center"/>
        <w:rPr>
          <w:b/>
          <w:sz w:val="24"/>
          <w:szCs w:val="24"/>
        </w:rPr>
      </w:pPr>
      <w:r>
        <w:rPr>
          <w:b/>
          <w:sz w:val="24"/>
          <w:szCs w:val="24"/>
        </w:rPr>
        <w:t xml:space="preserve">Preconsidered </w:t>
      </w:r>
      <w:r w:rsidR="00C66096">
        <w:rPr>
          <w:b/>
          <w:sz w:val="24"/>
          <w:szCs w:val="24"/>
        </w:rPr>
        <w:t>L.U.</w:t>
      </w:r>
      <w:r w:rsidR="007E1D61">
        <w:rPr>
          <w:b/>
          <w:sz w:val="24"/>
          <w:szCs w:val="24"/>
        </w:rPr>
        <w:t xml:space="preserve"> </w:t>
      </w:r>
      <w:r w:rsidR="00562122">
        <w:rPr>
          <w:b/>
          <w:sz w:val="24"/>
          <w:szCs w:val="24"/>
        </w:rPr>
        <w:t xml:space="preserve">Nos. </w:t>
      </w:r>
      <w:r w:rsidR="000B452F">
        <w:rPr>
          <w:b/>
          <w:sz w:val="24"/>
          <w:szCs w:val="24"/>
        </w:rPr>
        <w:t>386</w:t>
      </w:r>
      <w:r w:rsidR="0018753D">
        <w:rPr>
          <w:b/>
          <w:sz w:val="24"/>
          <w:szCs w:val="24"/>
        </w:rPr>
        <w:t xml:space="preserve"> through </w:t>
      </w:r>
      <w:r w:rsidR="000B452F">
        <w:rPr>
          <w:b/>
          <w:sz w:val="24"/>
          <w:szCs w:val="24"/>
        </w:rPr>
        <w:t>389</w:t>
      </w:r>
    </w:p>
    <w:p w:rsidR="00562122" w:rsidRPr="00AC55AD" w:rsidRDefault="00562122">
      <w:pPr>
        <w:jc w:val="center"/>
        <w:rPr>
          <w:b/>
          <w:sz w:val="24"/>
          <w:szCs w:val="24"/>
        </w:rPr>
      </w:pPr>
      <w:r>
        <w:rPr>
          <w:b/>
          <w:sz w:val="24"/>
          <w:szCs w:val="24"/>
        </w:rPr>
        <w:t xml:space="preserve">(Res. Nos. </w:t>
      </w:r>
      <w:r w:rsidR="005F0598">
        <w:rPr>
          <w:b/>
          <w:sz w:val="24"/>
          <w:szCs w:val="24"/>
        </w:rPr>
        <w:t>876</w:t>
      </w:r>
      <w:r>
        <w:rPr>
          <w:b/>
          <w:sz w:val="24"/>
          <w:szCs w:val="24"/>
        </w:rPr>
        <w:t xml:space="preserve"> </w:t>
      </w:r>
      <w:r w:rsidR="0051200E">
        <w:rPr>
          <w:b/>
          <w:sz w:val="24"/>
          <w:szCs w:val="24"/>
        </w:rPr>
        <w:t>through</w:t>
      </w:r>
      <w:r>
        <w:rPr>
          <w:b/>
          <w:sz w:val="24"/>
          <w:szCs w:val="24"/>
        </w:rPr>
        <w:t xml:space="preserve"> </w:t>
      </w:r>
      <w:r w:rsidR="005F0598">
        <w:rPr>
          <w:b/>
          <w:sz w:val="24"/>
          <w:szCs w:val="24"/>
        </w:rPr>
        <w:t>879</w:t>
      </w:r>
      <w:r>
        <w:rPr>
          <w:b/>
          <w:sz w:val="24"/>
          <w:szCs w:val="24"/>
        </w:rPr>
        <w:t>)</w:t>
      </w:r>
    </w:p>
    <w:p w:rsidR="006B4A62" w:rsidRPr="00AC55AD" w:rsidRDefault="006B4A62">
      <w:pPr>
        <w:jc w:val="center"/>
        <w:rPr>
          <w:b/>
          <w:sz w:val="24"/>
          <w:szCs w:val="24"/>
        </w:rPr>
      </w:pPr>
    </w:p>
    <w:p w:rsidR="006B4A62" w:rsidRDefault="008C57EF" w:rsidP="00C45B5E">
      <w:pPr>
        <w:jc w:val="center"/>
        <w:rPr>
          <w:b/>
          <w:sz w:val="24"/>
          <w:szCs w:val="24"/>
        </w:rPr>
      </w:pPr>
      <w:r w:rsidRPr="00AC55AD">
        <w:rPr>
          <w:b/>
          <w:sz w:val="24"/>
          <w:szCs w:val="24"/>
        </w:rPr>
        <w:t>By Council Member</w:t>
      </w:r>
      <w:r w:rsidR="0071456F" w:rsidRPr="00AC55AD">
        <w:rPr>
          <w:b/>
          <w:sz w:val="24"/>
          <w:szCs w:val="24"/>
        </w:rPr>
        <w:t xml:space="preserve">s </w:t>
      </w:r>
      <w:r w:rsidR="00C45B5E">
        <w:rPr>
          <w:b/>
          <w:sz w:val="24"/>
          <w:szCs w:val="24"/>
        </w:rPr>
        <w:t>Salamanca</w:t>
      </w:r>
      <w:r w:rsidR="00DA5C59">
        <w:rPr>
          <w:b/>
          <w:sz w:val="24"/>
          <w:szCs w:val="24"/>
        </w:rPr>
        <w:t>, Jr.</w:t>
      </w:r>
      <w:r w:rsidR="00C45B5E">
        <w:rPr>
          <w:b/>
          <w:sz w:val="24"/>
          <w:szCs w:val="24"/>
        </w:rPr>
        <w:t xml:space="preserve"> </w:t>
      </w:r>
      <w:r w:rsidR="0071456F" w:rsidRPr="00AC55AD">
        <w:rPr>
          <w:b/>
          <w:sz w:val="24"/>
          <w:szCs w:val="24"/>
        </w:rPr>
        <w:t xml:space="preserve">and </w:t>
      </w:r>
      <w:r w:rsidR="00B31CEC">
        <w:rPr>
          <w:b/>
          <w:sz w:val="24"/>
          <w:szCs w:val="24"/>
        </w:rPr>
        <w:t>Moya</w:t>
      </w:r>
    </w:p>
    <w:p w:rsidR="00C45B5E" w:rsidRPr="00AC55AD" w:rsidRDefault="00C45B5E" w:rsidP="00C45B5E">
      <w:pPr>
        <w:jc w:val="both"/>
        <w:rPr>
          <w:b/>
          <w:sz w:val="24"/>
          <w:szCs w:val="24"/>
        </w:rPr>
      </w:pPr>
    </w:p>
    <w:p w:rsidR="0071456F" w:rsidRPr="00AC55AD" w:rsidRDefault="006B4A62" w:rsidP="0071456F">
      <w:pPr>
        <w:pStyle w:val="Heading2"/>
        <w:rPr>
          <w:szCs w:val="24"/>
        </w:rPr>
      </w:pPr>
      <w:r w:rsidRPr="00AC55AD">
        <w:rPr>
          <w:szCs w:val="24"/>
        </w:rPr>
        <w:t>SUBJECT</w:t>
      </w:r>
    </w:p>
    <w:p w:rsidR="0071456F" w:rsidRPr="00AC55AD" w:rsidRDefault="0071456F" w:rsidP="0071456F">
      <w:pPr>
        <w:pStyle w:val="Heading2"/>
        <w:rPr>
          <w:szCs w:val="24"/>
        </w:rPr>
      </w:pPr>
    </w:p>
    <w:p w:rsidR="00A819F7" w:rsidRDefault="00895C9B" w:rsidP="00A91F53">
      <w:pPr>
        <w:tabs>
          <w:tab w:val="left" w:pos="2430"/>
          <w:tab w:val="left" w:pos="7020"/>
        </w:tabs>
        <w:ind w:left="2430" w:hanging="2430"/>
        <w:jc w:val="both"/>
        <w:rPr>
          <w:b/>
          <w:sz w:val="24"/>
          <w:szCs w:val="24"/>
        </w:rPr>
      </w:pPr>
      <w:r>
        <w:rPr>
          <w:b/>
          <w:sz w:val="24"/>
          <w:szCs w:val="24"/>
        </w:rPr>
        <w:t>BROOKLYN CB-</w:t>
      </w:r>
      <w:r w:rsidRPr="00895C9B">
        <w:rPr>
          <w:b/>
          <w:sz w:val="24"/>
          <w:szCs w:val="24"/>
        </w:rPr>
        <w:t>3</w:t>
      </w:r>
      <w:r w:rsidR="0051200E" w:rsidRPr="00895C9B">
        <w:rPr>
          <w:b/>
          <w:sz w:val="24"/>
          <w:szCs w:val="24"/>
        </w:rPr>
        <w:t xml:space="preserve"> </w:t>
      </w:r>
      <w:r w:rsidR="00562122" w:rsidRPr="00895C9B">
        <w:rPr>
          <w:b/>
          <w:sz w:val="24"/>
          <w:szCs w:val="24"/>
        </w:rPr>
        <w:t xml:space="preserve"> </w:t>
      </w:r>
      <w:r w:rsidR="007D048A" w:rsidRPr="00895C9B">
        <w:rPr>
          <w:b/>
          <w:sz w:val="24"/>
          <w:szCs w:val="24"/>
        </w:rPr>
        <w:t>-</w:t>
      </w:r>
      <w:r w:rsidR="0051200E">
        <w:rPr>
          <w:b/>
          <w:sz w:val="24"/>
          <w:szCs w:val="24"/>
        </w:rPr>
        <w:t xml:space="preserve"> </w:t>
      </w:r>
      <w:r w:rsidR="00A91F53">
        <w:rPr>
          <w:b/>
          <w:sz w:val="24"/>
          <w:szCs w:val="24"/>
        </w:rPr>
        <w:t xml:space="preserve"> </w:t>
      </w:r>
      <w:r>
        <w:rPr>
          <w:b/>
          <w:sz w:val="24"/>
          <w:szCs w:val="24"/>
        </w:rPr>
        <w:t>FOUR</w:t>
      </w:r>
      <w:r w:rsidR="0051200E">
        <w:rPr>
          <w:b/>
          <w:sz w:val="24"/>
          <w:szCs w:val="24"/>
        </w:rPr>
        <w:t xml:space="preserve"> </w:t>
      </w:r>
      <w:r w:rsidR="00C82611">
        <w:rPr>
          <w:b/>
          <w:sz w:val="24"/>
          <w:szCs w:val="24"/>
        </w:rPr>
        <w:t xml:space="preserve">APPLICATIONS RELATED TO </w:t>
      </w:r>
      <w:r>
        <w:rPr>
          <w:b/>
          <w:sz w:val="24"/>
          <w:szCs w:val="24"/>
        </w:rPr>
        <w:t>1921 ATLANTIC AVENUE</w:t>
      </w:r>
    </w:p>
    <w:p w:rsidR="00562122" w:rsidRDefault="00562122" w:rsidP="00E22AC6">
      <w:pPr>
        <w:tabs>
          <w:tab w:val="left" w:pos="7020"/>
        </w:tabs>
        <w:jc w:val="both"/>
        <w:rPr>
          <w:b/>
          <w:sz w:val="24"/>
          <w:szCs w:val="24"/>
        </w:rPr>
      </w:pPr>
    </w:p>
    <w:p w:rsidR="00895C9B" w:rsidRDefault="00895C9B" w:rsidP="00E22AC6">
      <w:pPr>
        <w:tabs>
          <w:tab w:val="left" w:pos="7020"/>
        </w:tabs>
        <w:jc w:val="both"/>
        <w:rPr>
          <w:b/>
          <w:sz w:val="24"/>
          <w:szCs w:val="24"/>
        </w:rPr>
      </w:pPr>
    </w:p>
    <w:p w:rsidR="0018753D" w:rsidRPr="0018753D" w:rsidRDefault="00895C9B" w:rsidP="00E22AC6">
      <w:pPr>
        <w:tabs>
          <w:tab w:val="left" w:pos="7020"/>
        </w:tabs>
        <w:jc w:val="both"/>
        <w:rPr>
          <w:b/>
          <w:sz w:val="24"/>
          <w:szCs w:val="24"/>
        </w:rPr>
      </w:pPr>
      <w:r w:rsidRPr="00895C9B">
        <w:rPr>
          <w:b/>
          <w:sz w:val="24"/>
          <w:szCs w:val="24"/>
        </w:rPr>
        <w:t xml:space="preserve">C 190160 HAK </w:t>
      </w:r>
      <w:r w:rsidR="0018753D" w:rsidRPr="0018753D">
        <w:rPr>
          <w:b/>
          <w:sz w:val="24"/>
          <w:szCs w:val="24"/>
        </w:rPr>
        <w:t>(</w:t>
      </w:r>
      <w:r>
        <w:rPr>
          <w:b/>
          <w:sz w:val="24"/>
          <w:szCs w:val="24"/>
        </w:rPr>
        <w:t xml:space="preserve">Pre. </w:t>
      </w:r>
      <w:r w:rsidR="0018753D" w:rsidRPr="0018753D">
        <w:rPr>
          <w:b/>
          <w:sz w:val="24"/>
          <w:szCs w:val="24"/>
        </w:rPr>
        <w:t xml:space="preserve">L.U. No. </w:t>
      </w:r>
      <w:r>
        <w:rPr>
          <w:b/>
          <w:sz w:val="24"/>
          <w:szCs w:val="24"/>
        </w:rPr>
        <w:t>386</w:t>
      </w:r>
      <w:r w:rsidR="0018753D" w:rsidRPr="0018753D">
        <w:rPr>
          <w:b/>
          <w:sz w:val="24"/>
          <w:szCs w:val="24"/>
        </w:rPr>
        <w:t>)</w:t>
      </w:r>
    </w:p>
    <w:p w:rsidR="0018753D" w:rsidRDefault="0018753D" w:rsidP="00E22AC6">
      <w:pPr>
        <w:tabs>
          <w:tab w:val="left" w:pos="7020"/>
        </w:tabs>
        <w:jc w:val="both"/>
        <w:rPr>
          <w:sz w:val="24"/>
          <w:szCs w:val="24"/>
        </w:rPr>
      </w:pPr>
    </w:p>
    <w:p w:rsidR="00895C9B" w:rsidRPr="00895C9B" w:rsidRDefault="00C169E0" w:rsidP="00DA5C59">
      <w:pPr>
        <w:ind w:firstLine="720"/>
        <w:jc w:val="both"/>
        <w:rPr>
          <w:sz w:val="24"/>
          <w:szCs w:val="24"/>
        </w:rPr>
      </w:pPr>
      <w:r w:rsidRPr="00C169E0">
        <w:rPr>
          <w:sz w:val="24"/>
          <w:szCs w:val="24"/>
        </w:rPr>
        <w:t>City Planning Commission decision approving an application</w:t>
      </w:r>
      <w:r>
        <w:rPr>
          <w:sz w:val="24"/>
          <w:szCs w:val="24"/>
        </w:rPr>
        <w:t xml:space="preserve"> </w:t>
      </w:r>
      <w:r w:rsidR="0018753D" w:rsidRPr="0018753D">
        <w:rPr>
          <w:sz w:val="24"/>
          <w:szCs w:val="24"/>
        </w:rPr>
        <w:t xml:space="preserve">submitted </w:t>
      </w:r>
      <w:r w:rsidR="00895C9B" w:rsidRPr="00895C9B">
        <w:rPr>
          <w:sz w:val="24"/>
          <w:szCs w:val="24"/>
        </w:rPr>
        <w:t>by the Department of Housing Preservation and Development (HPD):</w:t>
      </w:r>
    </w:p>
    <w:p w:rsidR="00895C9B" w:rsidRPr="00895C9B" w:rsidRDefault="00895C9B" w:rsidP="00895C9B">
      <w:pPr>
        <w:widowControl w:val="0"/>
        <w:autoSpaceDE w:val="0"/>
        <w:autoSpaceDN w:val="0"/>
        <w:adjustRightInd w:val="0"/>
        <w:jc w:val="both"/>
        <w:rPr>
          <w:sz w:val="24"/>
          <w:szCs w:val="24"/>
        </w:rPr>
      </w:pPr>
    </w:p>
    <w:p w:rsidR="00895C9B" w:rsidRPr="00895C9B" w:rsidRDefault="00895C9B" w:rsidP="00033370">
      <w:pPr>
        <w:widowControl w:val="0"/>
        <w:numPr>
          <w:ilvl w:val="0"/>
          <w:numId w:val="11"/>
        </w:numPr>
        <w:tabs>
          <w:tab w:val="left" w:pos="720"/>
        </w:tabs>
        <w:autoSpaceDE w:val="0"/>
        <w:autoSpaceDN w:val="0"/>
        <w:adjustRightInd w:val="0"/>
        <w:ind w:left="720" w:hanging="720"/>
        <w:contextualSpacing/>
        <w:jc w:val="both"/>
        <w:rPr>
          <w:sz w:val="24"/>
          <w:szCs w:val="24"/>
        </w:rPr>
      </w:pPr>
      <w:r w:rsidRPr="00895C9B">
        <w:rPr>
          <w:sz w:val="24"/>
          <w:szCs w:val="24"/>
        </w:rPr>
        <w:t>pursuant to Article 16 of the General Municipal Law of New York State for:</w:t>
      </w:r>
    </w:p>
    <w:p w:rsidR="00895C9B" w:rsidRPr="00895C9B" w:rsidRDefault="00895C9B" w:rsidP="00033370">
      <w:pPr>
        <w:widowControl w:val="0"/>
        <w:tabs>
          <w:tab w:val="left" w:pos="720"/>
        </w:tabs>
        <w:autoSpaceDE w:val="0"/>
        <w:autoSpaceDN w:val="0"/>
        <w:adjustRightInd w:val="0"/>
        <w:ind w:left="720" w:hanging="720"/>
        <w:jc w:val="both"/>
        <w:rPr>
          <w:sz w:val="24"/>
          <w:szCs w:val="24"/>
        </w:rPr>
      </w:pPr>
    </w:p>
    <w:p w:rsidR="00895C9B" w:rsidRPr="00895C9B" w:rsidRDefault="00895C9B" w:rsidP="00033370">
      <w:pPr>
        <w:widowControl w:val="0"/>
        <w:numPr>
          <w:ilvl w:val="1"/>
          <w:numId w:val="11"/>
        </w:numPr>
        <w:tabs>
          <w:tab w:val="left" w:pos="1440"/>
        </w:tabs>
        <w:autoSpaceDE w:val="0"/>
        <w:autoSpaceDN w:val="0"/>
        <w:adjustRightInd w:val="0"/>
        <w:ind w:left="1440" w:hanging="720"/>
        <w:contextualSpacing/>
        <w:jc w:val="both"/>
        <w:rPr>
          <w:sz w:val="24"/>
          <w:szCs w:val="24"/>
        </w:rPr>
      </w:pPr>
      <w:r w:rsidRPr="00895C9B">
        <w:rPr>
          <w:sz w:val="24"/>
          <w:szCs w:val="24"/>
        </w:rPr>
        <w:t xml:space="preserve">the designation of properties located at 17-23 Prescott Place,18-22 Bancroft Place and 1911-1923 Atlantic Avenue (Block 1557 Lots </w:t>
      </w:r>
      <w:bookmarkStart w:id="1" w:name="_Hlk1985430"/>
      <w:r w:rsidRPr="00895C9B">
        <w:rPr>
          <w:sz w:val="24"/>
          <w:szCs w:val="24"/>
        </w:rPr>
        <w:t>1, 2, 3, 4, 23, 26, 28, 31, 32, 33, 34, 35, 36, 37, 38</w:t>
      </w:r>
      <w:bookmarkEnd w:id="1"/>
      <w:r w:rsidRPr="00895C9B">
        <w:rPr>
          <w:sz w:val="24"/>
          <w:szCs w:val="24"/>
        </w:rPr>
        <w:t>) as an Urban Development Action Area; and</w:t>
      </w:r>
    </w:p>
    <w:p w:rsidR="00895C9B" w:rsidRPr="00895C9B" w:rsidRDefault="00895C9B" w:rsidP="00033370">
      <w:pPr>
        <w:tabs>
          <w:tab w:val="left" w:pos="720"/>
        </w:tabs>
        <w:ind w:left="720" w:hanging="720"/>
        <w:contextualSpacing/>
        <w:jc w:val="both"/>
        <w:rPr>
          <w:sz w:val="24"/>
          <w:szCs w:val="24"/>
        </w:rPr>
      </w:pPr>
    </w:p>
    <w:p w:rsidR="00895C9B" w:rsidRPr="00895C9B" w:rsidRDefault="00895C9B" w:rsidP="00033370">
      <w:pPr>
        <w:widowControl w:val="0"/>
        <w:numPr>
          <w:ilvl w:val="1"/>
          <w:numId w:val="11"/>
        </w:numPr>
        <w:tabs>
          <w:tab w:val="left" w:pos="1440"/>
        </w:tabs>
        <w:autoSpaceDE w:val="0"/>
        <w:autoSpaceDN w:val="0"/>
        <w:adjustRightInd w:val="0"/>
        <w:ind w:left="1440" w:hanging="720"/>
        <w:contextualSpacing/>
        <w:jc w:val="both"/>
        <w:rPr>
          <w:sz w:val="24"/>
          <w:szCs w:val="24"/>
        </w:rPr>
      </w:pPr>
      <w:r w:rsidRPr="00895C9B">
        <w:rPr>
          <w:sz w:val="24"/>
          <w:szCs w:val="24"/>
        </w:rPr>
        <w:t>an Urban Development Action Area Project for such area; and</w:t>
      </w:r>
    </w:p>
    <w:p w:rsidR="00895C9B" w:rsidRPr="00895C9B" w:rsidRDefault="00895C9B" w:rsidP="00033370">
      <w:pPr>
        <w:widowControl w:val="0"/>
        <w:tabs>
          <w:tab w:val="left" w:pos="720"/>
        </w:tabs>
        <w:autoSpaceDE w:val="0"/>
        <w:autoSpaceDN w:val="0"/>
        <w:adjustRightInd w:val="0"/>
        <w:ind w:left="720" w:hanging="720"/>
        <w:jc w:val="both"/>
        <w:rPr>
          <w:sz w:val="24"/>
          <w:szCs w:val="24"/>
        </w:rPr>
      </w:pPr>
    </w:p>
    <w:p w:rsidR="00895C9B" w:rsidRPr="00895C9B" w:rsidRDefault="00895C9B" w:rsidP="00033370">
      <w:pPr>
        <w:widowControl w:val="0"/>
        <w:numPr>
          <w:ilvl w:val="0"/>
          <w:numId w:val="11"/>
        </w:numPr>
        <w:tabs>
          <w:tab w:val="left" w:pos="720"/>
        </w:tabs>
        <w:autoSpaceDE w:val="0"/>
        <w:autoSpaceDN w:val="0"/>
        <w:adjustRightInd w:val="0"/>
        <w:ind w:left="720" w:hanging="720"/>
        <w:contextualSpacing/>
        <w:jc w:val="both"/>
        <w:rPr>
          <w:sz w:val="24"/>
          <w:szCs w:val="24"/>
        </w:rPr>
      </w:pPr>
      <w:r w:rsidRPr="00895C9B">
        <w:rPr>
          <w:sz w:val="24"/>
          <w:szCs w:val="24"/>
        </w:rPr>
        <w:t>pursuant to Section 197-c of the New York City Charter for the disposition of properties located at Block 1557, Lots 3, 4, 23, 26, 28, 31, 32, 33, 34, 35, 36, 37 to a developer to be selected by HPD;</w:t>
      </w:r>
    </w:p>
    <w:p w:rsidR="00895C9B" w:rsidRPr="00895C9B" w:rsidRDefault="00895C9B" w:rsidP="00033370">
      <w:pPr>
        <w:contextualSpacing/>
        <w:jc w:val="both"/>
        <w:rPr>
          <w:sz w:val="24"/>
          <w:szCs w:val="24"/>
        </w:rPr>
      </w:pPr>
    </w:p>
    <w:p w:rsidR="00895C9B" w:rsidRPr="00895C9B" w:rsidRDefault="00895C9B" w:rsidP="00895C9B">
      <w:pPr>
        <w:widowControl w:val="0"/>
        <w:autoSpaceDE w:val="0"/>
        <w:autoSpaceDN w:val="0"/>
        <w:adjustRightInd w:val="0"/>
        <w:jc w:val="both"/>
        <w:rPr>
          <w:sz w:val="24"/>
          <w:szCs w:val="24"/>
        </w:rPr>
      </w:pPr>
      <w:r w:rsidRPr="00895C9B">
        <w:rPr>
          <w:sz w:val="24"/>
          <w:szCs w:val="24"/>
        </w:rPr>
        <w:t>to facilitate a mixed-use development containing approximately 235 affordable housing units, commerci</w:t>
      </w:r>
      <w:r>
        <w:rPr>
          <w:sz w:val="24"/>
          <w:szCs w:val="24"/>
        </w:rPr>
        <w:t>al and community facility space.</w:t>
      </w:r>
    </w:p>
    <w:p w:rsidR="00895C9B" w:rsidRDefault="00895C9B" w:rsidP="0018753D">
      <w:pPr>
        <w:jc w:val="both"/>
        <w:rPr>
          <w:sz w:val="24"/>
          <w:szCs w:val="24"/>
        </w:rPr>
      </w:pPr>
    </w:p>
    <w:p w:rsidR="00895C9B" w:rsidRDefault="00895C9B" w:rsidP="0018753D">
      <w:pPr>
        <w:jc w:val="both"/>
        <w:rPr>
          <w:sz w:val="24"/>
          <w:szCs w:val="24"/>
        </w:rPr>
      </w:pPr>
    </w:p>
    <w:p w:rsidR="00895C9B" w:rsidRPr="00895C9B" w:rsidRDefault="00895C9B" w:rsidP="0018753D">
      <w:pPr>
        <w:jc w:val="both"/>
        <w:rPr>
          <w:b/>
          <w:sz w:val="24"/>
          <w:szCs w:val="24"/>
        </w:rPr>
      </w:pPr>
      <w:r w:rsidRPr="00895C9B">
        <w:rPr>
          <w:b/>
          <w:sz w:val="24"/>
          <w:szCs w:val="24"/>
        </w:rPr>
        <w:t>C 190161 ZMK (Pre. L.U. No. 387)</w:t>
      </w:r>
    </w:p>
    <w:p w:rsidR="00895C9B" w:rsidRDefault="00895C9B" w:rsidP="0018753D">
      <w:pPr>
        <w:jc w:val="both"/>
        <w:rPr>
          <w:sz w:val="24"/>
          <w:szCs w:val="24"/>
        </w:rPr>
      </w:pPr>
    </w:p>
    <w:p w:rsidR="00895C9B" w:rsidRPr="00895C9B" w:rsidRDefault="00895C9B" w:rsidP="00DA5C59">
      <w:pPr>
        <w:ind w:firstLine="720"/>
        <w:jc w:val="both"/>
        <w:rPr>
          <w:sz w:val="24"/>
          <w:szCs w:val="24"/>
        </w:rPr>
      </w:pPr>
      <w:r w:rsidRPr="00C169E0">
        <w:rPr>
          <w:sz w:val="24"/>
          <w:szCs w:val="24"/>
        </w:rPr>
        <w:t>City Planning Commission decision approving an application</w:t>
      </w:r>
      <w:r>
        <w:rPr>
          <w:sz w:val="24"/>
          <w:szCs w:val="24"/>
        </w:rPr>
        <w:t xml:space="preserve"> </w:t>
      </w:r>
      <w:r w:rsidRPr="0018753D">
        <w:rPr>
          <w:sz w:val="24"/>
          <w:szCs w:val="24"/>
        </w:rPr>
        <w:t>submitted</w:t>
      </w:r>
      <w:r>
        <w:rPr>
          <w:sz w:val="24"/>
          <w:szCs w:val="24"/>
        </w:rPr>
        <w:t xml:space="preserve"> </w:t>
      </w:r>
      <w:r w:rsidRPr="00895C9B">
        <w:rPr>
          <w:sz w:val="24"/>
          <w:szCs w:val="24"/>
        </w:rPr>
        <w:t>by</w:t>
      </w:r>
      <w:r>
        <w:rPr>
          <w:sz w:val="24"/>
          <w:szCs w:val="24"/>
        </w:rPr>
        <w:t xml:space="preserve"> the</w:t>
      </w:r>
      <w:r w:rsidRPr="00895C9B">
        <w:rPr>
          <w:sz w:val="24"/>
          <w:szCs w:val="24"/>
        </w:rPr>
        <w:t xml:space="preserve"> N</w:t>
      </w:r>
      <w:r>
        <w:rPr>
          <w:sz w:val="24"/>
          <w:szCs w:val="24"/>
        </w:rPr>
        <w:t xml:space="preserve">ew </w:t>
      </w:r>
      <w:r w:rsidRPr="00895C9B">
        <w:rPr>
          <w:sz w:val="24"/>
          <w:szCs w:val="24"/>
        </w:rPr>
        <w:t>Y</w:t>
      </w:r>
      <w:r>
        <w:rPr>
          <w:sz w:val="24"/>
          <w:szCs w:val="24"/>
        </w:rPr>
        <w:t xml:space="preserve">ork </w:t>
      </w:r>
      <w:r w:rsidRPr="00895C9B">
        <w:rPr>
          <w:sz w:val="24"/>
          <w:szCs w:val="24"/>
        </w:rPr>
        <w:t>C</w:t>
      </w:r>
      <w:r>
        <w:rPr>
          <w:sz w:val="24"/>
          <w:szCs w:val="24"/>
        </w:rPr>
        <w:t>ity</w:t>
      </w:r>
      <w:r w:rsidRPr="00895C9B">
        <w:rPr>
          <w:sz w:val="24"/>
          <w:szCs w:val="24"/>
        </w:rPr>
        <w:t xml:space="preserve"> Department of Housing Preservation and Development and DTF Atlantic, LLC</w:t>
      </w:r>
      <w:r>
        <w:rPr>
          <w:sz w:val="24"/>
          <w:szCs w:val="24"/>
        </w:rPr>
        <w:t>,</w:t>
      </w:r>
      <w:r w:rsidRPr="00895C9B">
        <w:rPr>
          <w:sz w:val="24"/>
          <w:szCs w:val="24"/>
        </w:rPr>
        <w:t xml:space="preserve"> pursuant to Sections 197-c and 201 of the New York City Charter for the amendment of the Zoning Map, Section No. 17a:</w:t>
      </w:r>
    </w:p>
    <w:p w:rsidR="00895C9B" w:rsidRPr="00895C9B" w:rsidRDefault="00895C9B" w:rsidP="00895C9B">
      <w:pPr>
        <w:widowControl w:val="0"/>
        <w:autoSpaceDE w:val="0"/>
        <w:autoSpaceDN w:val="0"/>
        <w:adjustRightInd w:val="0"/>
        <w:jc w:val="both"/>
        <w:rPr>
          <w:sz w:val="24"/>
          <w:szCs w:val="24"/>
        </w:rPr>
      </w:pPr>
    </w:p>
    <w:p w:rsidR="00895C9B" w:rsidRPr="00895C9B" w:rsidRDefault="00895C9B" w:rsidP="00895C9B">
      <w:pPr>
        <w:widowControl w:val="0"/>
        <w:numPr>
          <w:ilvl w:val="0"/>
          <w:numId w:val="12"/>
        </w:numPr>
        <w:tabs>
          <w:tab w:val="left" w:pos="720"/>
        </w:tabs>
        <w:autoSpaceDE w:val="0"/>
        <w:autoSpaceDN w:val="0"/>
        <w:adjustRightInd w:val="0"/>
        <w:ind w:left="720" w:hanging="720"/>
        <w:contextualSpacing/>
        <w:jc w:val="both"/>
        <w:rPr>
          <w:sz w:val="24"/>
          <w:szCs w:val="24"/>
        </w:rPr>
      </w:pPr>
      <w:r w:rsidRPr="00895C9B">
        <w:rPr>
          <w:sz w:val="24"/>
          <w:szCs w:val="24"/>
        </w:rPr>
        <w:t>eliminating a Special Mixed Use District (MX-10) bounded by a line midway between Herkimer Street and Atlantic Avenue, Bancroft Place, the northerly boundary line of the Long Island Railroad Right-Of-Way (Atlantic Division), and Prescott Place;</w:t>
      </w:r>
    </w:p>
    <w:p w:rsidR="00895C9B" w:rsidRPr="00895C9B" w:rsidRDefault="00895C9B" w:rsidP="00895C9B">
      <w:pPr>
        <w:widowControl w:val="0"/>
        <w:tabs>
          <w:tab w:val="left" w:pos="720"/>
        </w:tabs>
        <w:autoSpaceDE w:val="0"/>
        <w:autoSpaceDN w:val="0"/>
        <w:adjustRightInd w:val="0"/>
        <w:ind w:left="720" w:hanging="720"/>
        <w:jc w:val="both"/>
        <w:rPr>
          <w:sz w:val="24"/>
          <w:szCs w:val="24"/>
        </w:rPr>
      </w:pPr>
    </w:p>
    <w:p w:rsidR="00895C9B" w:rsidRPr="00895C9B" w:rsidRDefault="00895C9B" w:rsidP="00895C9B">
      <w:pPr>
        <w:widowControl w:val="0"/>
        <w:numPr>
          <w:ilvl w:val="0"/>
          <w:numId w:val="12"/>
        </w:numPr>
        <w:tabs>
          <w:tab w:val="left" w:pos="720"/>
        </w:tabs>
        <w:autoSpaceDE w:val="0"/>
        <w:autoSpaceDN w:val="0"/>
        <w:adjustRightInd w:val="0"/>
        <w:ind w:left="720" w:hanging="720"/>
        <w:contextualSpacing/>
        <w:jc w:val="both"/>
        <w:rPr>
          <w:sz w:val="24"/>
          <w:szCs w:val="24"/>
        </w:rPr>
      </w:pPr>
      <w:r w:rsidRPr="00895C9B">
        <w:rPr>
          <w:sz w:val="24"/>
          <w:szCs w:val="24"/>
        </w:rPr>
        <w:t xml:space="preserve">changing an M1-1/R7D District to an R8A District property bounded by a line midway between Herkimer Street and Atlantic Avenue, Bancroft Place, the northerly boundary line of the Long Island Railroad Right-Of-Way (Atlantic Division), and Prescott Place; and </w:t>
      </w:r>
    </w:p>
    <w:p w:rsidR="00895C9B" w:rsidRPr="00895C9B" w:rsidRDefault="00895C9B" w:rsidP="00895C9B">
      <w:pPr>
        <w:widowControl w:val="0"/>
        <w:tabs>
          <w:tab w:val="left" w:pos="720"/>
        </w:tabs>
        <w:autoSpaceDE w:val="0"/>
        <w:autoSpaceDN w:val="0"/>
        <w:adjustRightInd w:val="0"/>
        <w:ind w:left="720" w:hanging="720"/>
        <w:jc w:val="both"/>
        <w:rPr>
          <w:sz w:val="24"/>
          <w:szCs w:val="24"/>
        </w:rPr>
      </w:pPr>
    </w:p>
    <w:p w:rsidR="00895C9B" w:rsidRPr="00895C9B" w:rsidRDefault="00895C9B" w:rsidP="00895C9B">
      <w:pPr>
        <w:widowControl w:val="0"/>
        <w:numPr>
          <w:ilvl w:val="0"/>
          <w:numId w:val="12"/>
        </w:numPr>
        <w:tabs>
          <w:tab w:val="left" w:pos="720"/>
        </w:tabs>
        <w:autoSpaceDE w:val="0"/>
        <w:autoSpaceDN w:val="0"/>
        <w:adjustRightInd w:val="0"/>
        <w:ind w:left="720" w:hanging="720"/>
        <w:contextualSpacing/>
        <w:jc w:val="both"/>
        <w:rPr>
          <w:sz w:val="24"/>
          <w:szCs w:val="24"/>
        </w:rPr>
      </w:pPr>
      <w:r w:rsidRPr="00895C9B">
        <w:rPr>
          <w:sz w:val="24"/>
          <w:szCs w:val="24"/>
        </w:rPr>
        <w:t>establishing within the proposed R8A District a C2-4 District bounded by a line 100 feet northerly of Atlantic Avenue, Bancroft Place, the northerly boundary line of the Long Island Railroad Right-Of-Way (Atlantic Division), and Prescott Place;</w:t>
      </w:r>
    </w:p>
    <w:p w:rsidR="00895C9B" w:rsidRPr="00895C9B" w:rsidRDefault="00895C9B" w:rsidP="00895C9B">
      <w:pPr>
        <w:widowControl w:val="0"/>
        <w:autoSpaceDE w:val="0"/>
        <w:autoSpaceDN w:val="0"/>
        <w:adjustRightInd w:val="0"/>
        <w:jc w:val="both"/>
        <w:rPr>
          <w:sz w:val="24"/>
          <w:szCs w:val="24"/>
        </w:rPr>
      </w:pPr>
    </w:p>
    <w:p w:rsidR="00895C9B" w:rsidRPr="00895C9B" w:rsidRDefault="00895C9B" w:rsidP="00895C9B">
      <w:pPr>
        <w:widowControl w:val="0"/>
        <w:autoSpaceDE w:val="0"/>
        <w:autoSpaceDN w:val="0"/>
        <w:adjustRightInd w:val="0"/>
        <w:jc w:val="both"/>
        <w:rPr>
          <w:sz w:val="24"/>
          <w:szCs w:val="24"/>
        </w:rPr>
      </w:pPr>
      <w:r w:rsidRPr="00895C9B">
        <w:rPr>
          <w:sz w:val="24"/>
          <w:szCs w:val="24"/>
        </w:rPr>
        <w:t>as shown on a diagram (for illustrative purposes only) dated November 13, 2018.</w:t>
      </w:r>
    </w:p>
    <w:p w:rsidR="00895C9B" w:rsidRDefault="00895C9B" w:rsidP="00895C9B">
      <w:pPr>
        <w:tabs>
          <w:tab w:val="left" w:pos="720"/>
        </w:tabs>
        <w:jc w:val="both"/>
        <w:rPr>
          <w:sz w:val="24"/>
          <w:szCs w:val="24"/>
        </w:rPr>
      </w:pPr>
    </w:p>
    <w:p w:rsidR="00895C9B" w:rsidRDefault="00895C9B" w:rsidP="0018753D">
      <w:pPr>
        <w:jc w:val="both"/>
        <w:rPr>
          <w:sz w:val="24"/>
          <w:szCs w:val="24"/>
        </w:rPr>
      </w:pPr>
    </w:p>
    <w:p w:rsidR="00895C9B" w:rsidRPr="00E75E34" w:rsidRDefault="00895C9B" w:rsidP="0018753D">
      <w:pPr>
        <w:jc w:val="both"/>
        <w:rPr>
          <w:b/>
          <w:sz w:val="24"/>
          <w:szCs w:val="24"/>
        </w:rPr>
      </w:pPr>
      <w:r w:rsidRPr="00E75E34">
        <w:rPr>
          <w:b/>
          <w:sz w:val="24"/>
          <w:szCs w:val="24"/>
        </w:rPr>
        <w:t>N 190162 ZRK (Pre. L.U. No. 388)</w:t>
      </w:r>
    </w:p>
    <w:p w:rsidR="00895C9B" w:rsidRDefault="00895C9B" w:rsidP="0018753D">
      <w:pPr>
        <w:jc w:val="both"/>
        <w:rPr>
          <w:sz w:val="24"/>
          <w:szCs w:val="24"/>
        </w:rPr>
      </w:pPr>
    </w:p>
    <w:p w:rsidR="00E75E34" w:rsidRPr="00E75E34" w:rsidRDefault="00895C9B" w:rsidP="00DA5C59">
      <w:pPr>
        <w:ind w:firstLine="720"/>
        <w:jc w:val="both"/>
        <w:rPr>
          <w:sz w:val="24"/>
          <w:szCs w:val="24"/>
        </w:rPr>
      </w:pPr>
      <w:r w:rsidRPr="00C169E0">
        <w:rPr>
          <w:sz w:val="24"/>
          <w:szCs w:val="24"/>
        </w:rPr>
        <w:t>City Planning Commission decision approving an application</w:t>
      </w:r>
      <w:r>
        <w:rPr>
          <w:sz w:val="24"/>
          <w:szCs w:val="24"/>
        </w:rPr>
        <w:t xml:space="preserve"> </w:t>
      </w:r>
      <w:r w:rsidRPr="0018753D">
        <w:rPr>
          <w:sz w:val="24"/>
          <w:szCs w:val="24"/>
        </w:rPr>
        <w:t>submitted</w:t>
      </w:r>
      <w:r w:rsidR="00E75E34">
        <w:rPr>
          <w:sz w:val="24"/>
          <w:szCs w:val="24"/>
        </w:rPr>
        <w:t xml:space="preserve"> by the </w:t>
      </w:r>
      <w:r w:rsidR="00E75E34" w:rsidRPr="00E75E34">
        <w:rPr>
          <w:sz w:val="24"/>
          <w:szCs w:val="24"/>
        </w:rPr>
        <w:t>N</w:t>
      </w:r>
      <w:r w:rsidR="00E75E34">
        <w:rPr>
          <w:sz w:val="24"/>
          <w:szCs w:val="24"/>
        </w:rPr>
        <w:t xml:space="preserve">ew </w:t>
      </w:r>
      <w:r w:rsidR="00E75E34" w:rsidRPr="00E75E34">
        <w:rPr>
          <w:sz w:val="24"/>
          <w:szCs w:val="24"/>
        </w:rPr>
        <w:t>Y</w:t>
      </w:r>
      <w:r w:rsidR="00E75E34">
        <w:rPr>
          <w:sz w:val="24"/>
          <w:szCs w:val="24"/>
        </w:rPr>
        <w:t xml:space="preserve">ork </w:t>
      </w:r>
      <w:r w:rsidR="00E75E34" w:rsidRPr="00E75E34">
        <w:rPr>
          <w:sz w:val="24"/>
          <w:szCs w:val="24"/>
        </w:rPr>
        <w:t>C</w:t>
      </w:r>
      <w:r w:rsidR="00E75E34">
        <w:rPr>
          <w:sz w:val="24"/>
          <w:szCs w:val="24"/>
        </w:rPr>
        <w:t>ity</w:t>
      </w:r>
      <w:r w:rsidR="00E75E34" w:rsidRPr="00E75E34">
        <w:rPr>
          <w:sz w:val="24"/>
          <w:szCs w:val="24"/>
        </w:rPr>
        <w:t xml:space="preserve"> Department of Housing Preservation and Development and DTF Atlantic, LLC, pursuant to Section 201 of the New York City Charter, for an amendment of the Zoning Resolution of the City of New York, modifying APPENDIX F for the purpose of establishing a Mandatory Inclusionary Housing area. </w:t>
      </w:r>
    </w:p>
    <w:p w:rsidR="00895C9B" w:rsidRDefault="00895C9B" w:rsidP="00895C9B">
      <w:pPr>
        <w:tabs>
          <w:tab w:val="left" w:pos="720"/>
        </w:tabs>
        <w:jc w:val="both"/>
        <w:rPr>
          <w:sz w:val="24"/>
          <w:szCs w:val="24"/>
        </w:rPr>
      </w:pPr>
    </w:p>
    <w:p w:rsidR="00895C9B" w:rsidRDefault="00895C9B" w:rsidP="0018753D">
      <w:pPr>
        <w:jc w:val="both"/>
        <w:rPr>
          <w:sz w:val="24"/>
          <w:szCs w:val="24"/>
        </w:rPr>
      </w:pPr>
    </w:p>
    <w:p w:rsidR="00895C9B" w:rsidRPr="00E75E34" w:rsidRDefault="00E75E34" w:rsidP="0018753D">
      <w:pPr>
        <w:jc w:val="both"/>
        <w:rPr>
          <w:b/>
          <w:sz w:val="24"/>
          <w:szCs w:val="24"/>
        </w:rPr>
      </w:pPr>
      <w:r w:rsidRPr="00E75E34">
        <w:rPr>
          <w:b/>
          <w:sz w:val="24"/>
          <w:szCs w:val="24"/>
        </w:rPr>
        <w:t>C 190163 HUK (Pre. L.U. No. 389)</w:t>
      </w:r>
    </w:p>
    <w:p w:rsidR="00895C9B" w:rsidRDefault="00895C9B" w:rsidP="0018753D">
      <w:pPr>
        <w:jc w:val="both"/>
        <w:rPr>
          <w:sz w:val="24"/>
          <w:szCs w:val="24"/>
        </w:rPr>
      </w:pPr>
    </w:p>
    <w:p w:rsidR="00E75E34" w:rsidRPr="00E75E34" w:rsidRDefault="00E75E34" w:rsidP="00DA5C59">
      <w:pPr>
        <w:ind w:firstLine="720"/>
        <w:jc w:val="both"/>
        <w:rPr>
          <w:sz w:val="24"/>
          <w:szCs w:val="24"/>
        </w:rPr>
      </w:pPr>
      <w:r w:rsidRPr="00C169E0">
        <w:rPr>
          <w:sz w:val="24"/>
          <w:szCs w:val="24"/>
        </w:rPr>
        <w:t>City Planning Commission decision approving an application</w:t>
      </w:r>
      <w:r>
        <w:rPr>
          <w:sz w:val="24"/>
          <w:szCs w:val="24"/>
        </w:rPr>
        <w:t xml:space="preserve"> </w:t>
      </w:r>
      <w:r w:rsidRPr="0018753D">
        <w:rPr>
          <w:sz w:val="24"/>
          <w:szCs w:val="24"/>
        </w:rPr>
        <w:t>submitted</w:t>
      </w:r>
      <w:r>
        <w:rPr>
          <w:sz w:val="24"/>
          <w:szCs w:val="24"/>
        </w:rPr>
        <w:t xml:space="preserve"> </w:t>
      </w:r>
      <w:r w:rsidRPr="00E75E34">
        <w:rPr>
          <w:sz w:val="24"/>
          <w:szCs w:val="24"/>
        </w:rPr>
        <w:t>by the Department of Housing Preservation and Development (HPD) pursuant to Section 505 of Article 15 of the General Municipal (Urban Renewal) Law of New York State and Section 197-c of the New York City Charter, for the first amendment to the Saratoga Square Urban Renewal Plan for the Sar</w:t>
      </w:r>
      <w:r>
        <w:rPr>
          <w:sz w:val="24"/>
          <w:szCs w:val="24"/>
        </w:rPr>
        <w:t>atoga Square Urban Renewal Area.</w:t>
      </w:r>
    </w:p>
    <w:p w:rsidR="00895C9B" w:rsidRDefault="00895C9B" w:rsidP="00E75E34">
      <w:pPr>
        <w:tabs>
          <w:tab w:val="left" w:pos="720"/>
        </w:tabs>
        <w:jc w:val="both"/>
        <w:rPr>
          <w:sz w:val="24"/>
          <w:szCs w:val="24"/>
        </w:rPr>
      </w:pPr>
    </w:p>
    <w:p w:rsidR="00895C9B" w:rsidRDefault="00895C9B" w:rsidP="0018753D">
      <w:pPr>
        <w:jc w:val="both"/>
        <w:rPr>
          <w:sz w:val="24"/>
          <w:szCs w:val="24"/>
        </w:rPr>
      </w:pPr>
    </w:p>
    <w:p w:rsidR="00895C9B" w:rsidRDefault="00895C9B" w:rsidP="0018753D">
      <w:pPr>
        <w:jc w:val="both"/>
        <w:rPr>
          <w:sz w:val="24"/>
          <w:szCs w:val="24"/>
        </w:rPr>
      </w:pPr>
    </w:p>
    <w:p w:rsidR="00E75E34" w:rsidRDefault="00E75E34" w:rsidP="00F90E41">
      <w:pPr>
        <w:tabs>
          <w:tab w:val="left" w:pos="720"/>
        </w:tabs>
        <w:autoSpaceDE w:val="0"/>
        <w:autoSpaceDN w:val="0"/>
        <w:adjustRightInd w:val="0"/>
        <w:jc w:val="both"/>
        <w:rPr>
          <w:sz w:val="24"/>
          <w:szCs w:val="24"/>
        </w:rPr>
      </w:pPr>
    </w:p>
    <w:p w:rsidR="0018753D" w:rsidRDefault="0018753D" w:rsidP="00F33120">
      <w:pPr>
        <w:autoSpaceDE w:val="0"/>
        <w:autoSpaceDN w:val="0"/>
        <w:adjustRightInd w:val="0"/>
        <w:jc w:val="both"/>
        <w:rPr>
          <w:sz w:val="24"/>
          <w:szCs w:val="24"/>
        </w:rPr>
      </w:pPr>
    </w:p>
    <w:p w:rsidR="00F503C5" w:rsidRPr="00AC55AD" w:rsidRDefault="00F503C5" w:rsidP="00F503C5">
      <w:pPr>
        <w:pStyle w:val="Heading2"/>
        <w:jc w:val="both"/>
        <w:rPr>
          <w:szCs w:val="24"/>
        </w:rPr>
      </w:pPr>
      <w:r>
        <w:rPr>
          <w:szCs w:val="24"/>
        </w:rPr>
        <w:t>I</w:t>
      </w:r>
      <w:r w:rsidRPr="00AC55AD">
        <w:rPr>
          <w:szCs w:val="24"/>
        </w:rPr>
        <w:t>NTENT</w:t>
      </w:r>
    </w:p>
    <w:p w:rsidR="00F503C5" w:rsidRPr="00B55A6E" w:rsidRDefault="00F503C5" w:rsidP="00F503C5">
      <w:pPr>
        <w:jc w:val="both"/>
        <w:rPr>
          <w:sz w:val="24"/>
          <w:szCs w:val="24"/>
        </w:rPr>
      </w:pPr>
    </w:p>
    <w:p w:rsidR="00400AAD" w:rsidRPr="00400AAD" w:rsidRDefault="008B1ADE" w:rsidP="00DA5C59">
      <w:pPr>
        <w:ind w:firstLine="720"/>
        <w:jc w:val="both"/>
        <w:rPr>
          <w:rFonts w:eastAsia="Calibri"/>
          <w:sz w:val="24"/>
          <w:szCs w:val="24"/>
        </w:rPr>
      </w:pPr>
      <w:r w:rsidRPr="00400AAD">
        <w:rPr>
          <w:sz w:val="24"/>
          <w:szCs w:val="24"/>
        </w:rPr>
        <w:t xml:space="preserve">To </w:t>
      </w:r>
      <w:r w:rsidR="00B206AC" w:rsidRPr="00400AAD">
        <w:rPr>
          <w:sz w:val="24"/>
          <w:szCs w:val="24"/>
        </w:rPr>
        <w:t>designate an Urban Development Action Area; approve the project as an Urban Development Action Area Project</w:t>
      </w:r>
      <w:r w:rsidR="00E75E34" w:rsidRPr="00400AAD">
        <w:rPr>
          <w:sz w:val="24"/>
          <w:szCs w:val="24"/>
        </w:rPr>
        <w:t xml:space="preserve"> located at </w:t>
      </w:r>
      <w:r w:rsidR="00B55A6E" w:rsidRPr="00400AAD">
        <w:rPr>
          <w:sz w:val="24"/>
          <w:szCs w:val="24"/>
        </w:rPr>
        <w:t>17, 19, 21, 23 Prescott Place; 18, 22 Bancroft Place; and 1911, 1911A, 1913, 1915, 1915A, 1917, 1919, 1921, 1923 Atlantic Avenue (Block 1557 Lots 1, 2, 3, 4, 23, 26, 28, 31, 32, 33, 34, 35, 36, 37, 38)</w:t>
      </w:r>
      <w:r w:rsidR="00B206AC" w:rsidRPr="00400AAD">
        <w:rPr>
          <w:sz w:val="24"/>
          <w:szCs w:val="24"/>
        </w:rPr>
        <w:t xml:space="preserve">; approve the disposition of city-owned property located at </w:t>
      </w:r>
      <w:r w:rsidR="00B55A6E" w:rsidRPr="00400AAD">
        <w:rPr>
          <w:sz w:val="24"/>
          <w:szCs w:val="24"/>
        </w:rPr>
        <w:t xml:space="preserve">17, 19 Prescott Place; 18, 22 Bancroft Place; and 1911A, 1913, 1915, 1915A, 1917, 1919, 1921, 1923 Atlantic Avenue (Block 1557 Lots 3, 4, 23, 26, 28, 31, 32, 33, 34, 35, 36, 37); approve an amendment to remove the MX-10 special district zoning, and change the underlying M1-1/R7D zoning districts to R8A and R8A/C2-4 zoning districts; approve an amendment to designate Mandatory Inclusionary Housing area utilizing Option 1; </w:t>
      </w:r>
      <w:r w:rsidR="00400AAD">
        <w:rPr>
          <w:sz w:val="24"/>
          <w:szCs w:val="24"/>
        </w:rPr>
        <w:t xml:space="preserve">and </w:t>
      </w:r>
      <w:r w:rsidR="00B55A6E" w:rsidRPr="00400AAD">
        <w:rPr>
          <w:sz w:val="24"/>
          <w:szCs w:val="24"/>
        </w:rPr>
        <w:t xml:space="preserve">approve an amendment to the Saratoga Square Urban Renewal Plan to modify the use restrictions associated with the URP </w:t>
      </w:r>
      <w:r w:rsidR="00400AAD" w:rsidRPr="00400AAD">
        <w:rPr>
          <w:rFonts w:eastAsia="Calibri"/>
          <w:sz w:val="24"/>
          <w:szCs w:val="24"/>
        </w:rPr>
        <w:t>to facilitate the development of a new 14-story building containing approximately 235 units of affordable housing plus one superintendent’s unit, as well as ground-floor retail and community facility space, at 1921 Atlantic Avenue in the Bedford Stuyvesant neighborhood of Brooklyn, Community District 3.</w:t>
      </w:r>
    </w:p>
    <w:p w:rsidR="00B55A6E" w:rsidRPr="00400AAD" w:rsidRDefault="00B55A6E" w:rsidP="00400AAD">
      <w:pPr>
        <w:jc w:val="both"/>
        <w:rPr>
          <w:sz w:val="24"/>
          <w:szCs w:val="24"/>
        </w:rPr>
      </w:pPr>
    </w:p>
    <w:p w:rsidR="00B55A6E" w:rsidRPr="00400AAD" w:rsidRDefault="00B55A6E" w:rsidP="00400AAD">
      <w:pPr>
        <w:jc w:val="both"/>
        <w:rPr>
          <w:sz w:val="24"/>
          <w:szCs w:val="24"/>
        </w:rPr>
      </w:pPr>
    </w:p>
    <w:p w:rsidR="00562122" w:rsidRDefault="00562122" w:rsidP="001603F5">
      <w:pPr>
        <w:jc w:val="both"/>
        <w:rPr>
          <w:sz w:val="24"/>
          <w:szCs w:val="24"/>
        </w:rPr>
      </w:pPr>
    </w:p>
    <w:p w:rsidR="0054560A" w:rsidRDefault="0054560A" w:rsidP="001603F5">
      <w:pPr>
        <w:jc w:val="both"/>
        <w:rPr>
          <w:sz w:val="24"/>
          <w:szCs w:val="24"/>
        </w:rPr>
      </w:pPr>
    </w:p>
    <w:p w:rsidR="0054560A" w:rsidRDefault="0054560A" w:rsidP="001603F5">
      <w:pPr>
        <w:jc w:val="both"/>
        <w:rPr>
          <w:sz w:val="24"/>
          <w:szCs w:val="24"/>
        </w:rPr>
      </w:pPr>
    </w:p>
    <w:p w:rsidR="006B4A62" w:rsidRPr="00AC55AD" w:rsidRDefault="006B4A62">
      <w:pPr>
        <w:pStyle w:val="Heading2"/>
        <w:jc w:val="both"/>
        <w:rPr>
          <w:szCs w:val="24"/>
        </w:rPr>
      </w:pPr>
      <w:r w:rsidRPr="00AC55AD">
        <w:rPr>
          <w:szCs w:val="24"/>
        </w:rPr>
        <w:t>PUBLIC HEARING</w:t>
      </w:r>
    </w:p>
    <w:p w:rsidR="006B4A62" w:rsidRPr="00AC55AD" w:rsidRDefault="006B4A62">
      <w:pPr>
        <w:jc w:val="both"/>
        <w:rPr>
          <w:b/>
          <w:sz w:val="24"/>
          <w:szCs w:val="24"/>
        </w:rPr>
      </w:pPr>
    </w:p>
    <w:p w:rsidR="006B4A62" w:rsidRPr="00AC55AD" w:rsidRDefault="006B4A62">
      <w:pPr>
        <w:jc w:val="both"/>
        <w:rPr>
          <w:sz w:val="24"/>
          <w:szCs w:val="24"/>
        </w:rPr>
      </w:pPr>
      <w:r w:rsidRPr="00AC55AD">
        <w:rPr>
          <w:b/>
          <w:sz w:val="24"/>
          <w:szCs w:val="24"/>
        </w:rPr>
        <w:tab/>
        <w:t>DATE:</w:t>
      </w:r>
      <w:r w:rsidRPr="00AC55AD">
        <w:rPr>
          <w:sz w:val="24"/>
          <w:szCs w:val="24"/>
        </w:rPr>
        <w:t xml:space="preserve">  </w:t>
      </w:r>
      <w:r w:rsidR="00400AAD">
        <w:rPr>
          <w:sz w:val="24"/>
          <w:szCs w:val="24"/>
        </w:rPr>
        <w:t>April 2</w:t>
      </w:r>
      <w:r w:rsidR="00E874A9">
        <w:rPr>
          <w:sz w:val="24"/>
          <w:szCs w:val="24"/>
        </w:rPr>
        <w:t xml:space="preserve">, </w:t>
      </w:r>
      <w:r w:rsidR="00C43A23">
        <w:rPr>
          <w:sz w:val="24"/>
          <w:szCs w:val="24"/>
        </w:rPr>
        <w:t>201</w:t>
      </w:r>
      <w:r w:rsidR="00CD1CD3">
        <w:rPr>
          <w:sz w:val="24"/>
          <w:szCs w:val="24"/>
        </w:rPr>
        <w:t>9</w:t>
      </w:r>
    </w:p>
    <w:p w:rsidR="006B4A62" w:rsidRPr="00AC55AD" w:rsidRDefault="006B4A62">
      <w:pPr>
        <w:jc w:val="both"/>
        <w:rPr>
          <w:sz w:val="24"/>
          <w:szCs w:val="24"/>
        </w:rPr>
      </w:pPr>
    </w:p>
    <w:p w:rsidR="00EA1C33" w:rsidRDefault="006B4A62" w:rsidP="00C66096">
      <w:pPr>
        <w:jc w:val="both"/>
        <w:rPr>
          <w:sz w:val="24"/>
          <w:szCs w:val="24"/>
        </w:rPr>
      </w:pPr>
      <w:r w:rsidRPr="00AC55AD">
        <w:rPr>
          <w:sz w:val="24"/>
          <w:szCs w:val="24"/>
        </w:rPr>
        <w:tab/>
      </w:r>
      <w:r w:rsidR="001603F5" w:rsidRPr="00AC55AD">
        <w:rPr>
          <w:b/>
          <w:sz w:val="24"/>
          <w:szCs w:val="24"/>
        </w:rPr>
        <w:t>Witnesses in Favor:</w:t>
      </w:r>
      <w:r w:rsidR="001603F5" w:rsidRPr="00AC55AD">
        <w:rPr>
          <w:sz w:val="24"/>
          <w:szCs w:val="24"/>
        </w:rPr>
        <w:t xml:space="preserve">  </w:t>
      </w:r>
      <w:r w:rsidR="00400AAD">
        <w:rPr>
          <w:sz w:val="24"/>
          <w:szCs w:val="24"/>
        </w:rPr>
        <w:t>Three</w:t>
      </w:r>
      <w:r w:rsidR="00400AAD">
        <w:rPr>
          <w:sz w:val="24"/>
          <w:szCs w:val="24"/>
        </w:rPr>
        <w:tab/>
      </w:r>
      <w:r w:rsidR="00400AAD">
        <w:rPr>
          <w:sz w:val="24"/>
          <w:szCs w:val="24"/>
        </w:rPr>
        <w:tab/>
      </w:r>
      <w:r w:rsidR="001603F5">
        <w:rPr>
          <w:sz w:val="24"/>
          <w:szCs w:val="24"/>
        </w:rPr>
        <w:tab/>
      </w:r>
      <w:r w:rsidR="001603F5" w:rsidRPr="00AC55AD">
        <w:rPr>
          <w:sz w:val="24"/>
          <w:szCs w:val="24"/>
        </w:rPr>
        <w:tab/>
      </w:r>
      <w:r w:rsidR="001603F5" w:rsidRPr="00AC55AD">
        <w:rPr>
          <w:b/>
          <w:sz w:val="24"/>
          <w:szCs w:val="24"/>
        </w:rPr>
        <w:t>Witnesses Against:</w:t>
      </w:r>
      <w:r w:rsidR="001603F5" w:rsidRPr="00AC55AD">
        <w:rPr>
          <w:sz w:val="24"/>
          <w:szCs w:val="24"/>
        </w:rPr>
        <w:t xml:space="preserve">  </w:t>
      </w:r>
      <w:r w:rsidR="00400AAD">
        <w:rPr>
          <w:sz w:val="24"/>
          <w:szCs w:val="24"/>
        </w:rPr>
        <w:t>One</w:t>
      </w:r>
    </w:p>
    <w:p w:rsidR="009019B7" w:rsidRDefault="009019B7" w:rsidP="00C66096">
      <w:pPr>
        <w:jc w:val="both"/>
        <w:rPr>
          <w:sz w:val="24"/>
          <w:szCs w:val="24"/>
        </w:rPr>
      </w:pPr>
    </w:p>
    <w:p w:rsidR="0054560A" w:rsidRDefault="0054560A" w:rsidP="00C66096">
      <w:pPr>
        <w:jc w:val="both"/>
        <w:rPr>
          <w:sz w:val="24"/>
          <w:szCs w:val="24"/>
        </w:rPr>
      </w:pPr>
    </w:p>
    <w:p w:rsidR="00400AAD" w:rsidRDefault="00400AAD" w:rsidP="00C66096">
      <w:pPr>
        <w:jc w:val="both"/>
        <w:rPr>
          <w:sz w:val="24"/>
          <w:szCs w:val="24"/>
        </w:rPr>
      </w:pPr>
    </w:p>
    <w:p w:rsidR="00CF68F7" w:rsidRDefault="00CF68F7" w:rsidP="0054560A">
      <w:pPr>
        <w:jc w:val="both"/>
      </w:pPr>
    </w:p>
    <w:p w:rsidR="0054560A" w:rsidRDefault="0054560A" w:rsidP="0054560A">
      <w:pPr>
        <w:jc w:val="both"/>
      </w:pPr>
    </w:p>
    <w:p w:rsidR="0085450A" w:rsidRPr="00AC55AD" w:rsidRDefault="0085450A" w:rsidP="0085450A">
      <w:pPr>
        <w:pStyle w:val="Heading2"/>
        <w:jc w:val="both"/>
        <w:rPr>
          <w:szCs w:val="24"/>
        </w:rPr>
      </w:pPr>
      <w:r w:rsidRPr="00AC55AD">
        <w:rPr>
          <w:szCs w:val="24"/>
        </w:rPr>
        <w:t>SUBCOMMITTEE RECOMMENDATION</w:t>
      </w:r>
      <w:r>
        <w:rPr>
          <w:szCs w:val="24"/>
        </w:rPr>
        <w:t xml:space="preserve"> </w:t>
      </w:r>
    </w:p>
    <w:p w:rsidR="0085450A" w:rsidRPr="00AC55AD" w:rsidRDefault="0085450A" w:rsidP="0085450A">
      <w:pPr>
        <w:jc w:val="both"/>
        <w:rPr>
          <w:b/>
          <w:sz w:val="24"/>
          <w:szCs w:val="24"/>
        </w:rPr>
      </w:pPr>
    </w:p>
    <w:p w:rsidR="0085450A" w:rsidRPr="00AC55AD" w:rsidRDefault="0085450A" w:rsidP="0085450A">
      <w:pPr>
        <w:jc w:val="both"/>
        <w:rPr>
          <w:sz w:val="24"/>
          <w:szCs w:val="24"/>
        </w:rPr>
      </w:pPr>
      <w:r w:rsidRPr="00AC55AD">
        <w:rPr>
          <w:b/>
          <w:sz w:val="24"/>
          <w:szCs w:val="24"/>
        </w:rPr>
        <w:tab/>
        <w:t>DATE:</w:t>
      </w:r>
      <w:r w:rsidRPr="00AC55AD">
        <w:rPr>
          <w:sz w:val="24"/>
          <w:szCs w:val="24"/>
        </w:rPr>
        <w:t xml:space="preserve">  </w:t>
      </w:r>
      <w:r w:rsidR="003004E1">
        <w:rPr>
          <w:sz w:val="24"/>
          <w:szCs w:val="24"/>
        </w:rPr>
        <w:t>May 2</w:t>
      </w:r>
      <w:r>
        <w:rPr>
          <w:sz w:val="24"/>
          <w:szCs w:val="24"/>
        </w:rPr>
        <w:t>, 201</w:t>
      </w:r>
      <w:r w:rsidR="00CD1CD3">
        <w:rPr>
          <w:sz w:val="24"/>
          <w:szCs w:val="24"/>
        </w:rPr>
        <w:t>9</w:t>
      </w:r>
    </w:p>
    <w:p w:rsidR="0085450A" w:rsidRPr="00AC55AD" w:rsidRDefault="0085450A" w:rsidP="0085450A">
      <w:pPr>
        <w:jc w:val="both"/>
        <w:rPr>
          <w:sz w:val="24"/>
          <w:szCs w:val="24"/>
        </w:rPr>
      </w:pPr>
    </w:p>
    <w:p w:rsidR="0085450A" w:rsidRPr="00AC55AD" w:rsidRDefault="0085450A" w:rsidP="0085450A">
      <w:pPr>
        <w:pStyle w:val="BodyText"/>
        <w:ind w:right="-180"/>
        <w:rPr>
          <w:szCs w:val="24"/>
        </w:rPr>
      </w:pPr>
      <w:r w:rsidRPr="00AC55AD">
        <w:rPr>
          <w:szCs w:val="24"/>
        </w:rPr>
        <w:tab/>
        <w:t>The Subcommittee recommends that the Land Use Committee approve the decision</w:t>
      </w:r>
      <w:r w:rsidR="00574849">
        <w:rPr>
          <w:szCs w:val="24"/>
        </w:rPr>
        <w:t>s</w:t>
      </w:r>
      <w:r w:rsidRPr="00AC55AD">
        <w:rPr>
          <w:szCs w:val="24"/>
        </w:rPr>
        <w:t xml:space="preserve"> </w:t>
      </w:r>
      <w:r w:rsidR="007D048A">
        <w:rPr>
          <w:szCs w:val="24"/>
        </w:rPr>
        <w:t>of the City Plannin</w:t>
      </w:r>
      <w:r w:rsidR="00C10264">
        <w:rPr>
          <w:szCs w:val="24"/>
        </w:rPr>
        <w:t xml:space="preserve">g Commission </w:t>
      </w:r>
      <w:r w:rsidR="00574849">
        <w:rPr>
          <w:szCs w:val="24"/>
        </w:rPr>
        <w:t xml:space="preserve">(“CPC”) on </w:t>
      </w:r>
      <w:r w:rsidR="00400AAD">
        <w:rPr>
          <w:szCs w:val="24"/>
        </w:rPr>
        <w:t xml:space="preserve">Pre. </w:t>
      </w:r>
      <w:r w:rsidR="00574849">
        <w:rPr>
          <w:szCs w:val="24"/>
        </w:rPr>
        <w:t xml:space="preserve">L.U. Nos. </w:t>
      </w:r>
      <w:r w:rsidR="00400AAD">
        <w:rPr>
          <w:szCs w:val="24"/>
        </w:rPr>
        <w:t>386 through 389.</w:t>
      </w:r>
    </w:p>
    <w:p w:rsidR="0085450A" w:rsidRDefault="0085450A" w:rsidP="0085450A">
      <w:pPr>
        <w:jc w:val="both"/>
        <w:rPr>
          <w:b/>
          <w:sz w:val="24"/>
          <w:szCs w:val="24"/>
          <w:u w:val="single"/>
        </w:rPr>
      </w:pPr>
    </w:p>
    <w:p w:rsidR="0085450A" w:rsidRPr="00A34A23" w:rsidRDefault="0085450A" w:rsidP="0085450A">
      <w:pPr>
        <w:tabs>
          <w:tab w:val="left" w:pos="2520"/>
        </w:tabs>
        <w:jc w:val="both"/>
        <w:rPr>
          <w:b/>
          <w:sz w:val="24"/>
          <w:szCs w:val="24"/>
        </w:rPr>
      </w:pPr>
      <w:r w:rsidRPr="00AC55AD">
        <w:rPr>
          <w:b/>
          <w:sz w:val="24"/>
          <w:szCs w:val="24"/>
        </w:rPr>
        <w:t>In Favor:</w:t>
      </w:r>
      <w:r w:rsidRPr="00AC55AD">
        <w:rPr>
          <w:b/>
          <w:sz w:val="24"/>
          <w:szCs w:val="24"/>
        </w:rPr>
        <w:tab/>
        <w:t>Against:</w:t>
      </w:r>
      <w:r w:rsidRPr="00AC55AD">
        <w:rPr>
          <w:b/>
          <w:sz w:val="24"/>
          <w:szCs w:val="24"/>
        </w:rPr>
        <w:tab/>
      </w:r>
      <w:r w:rsidRPr="00AC55AD">
        <w:rPr>
          <w:b/>
          <w:sz w:val="24"/>
          <w:szCs w:val="24"/>
        </w:rPr>
        <w:tab/>
      </w:r>
      <w:r w:rsidRPr="00AC55AD">
        <w:rPr>
          <w:b/>
          <w:sz w:val="24"/>
          <w:szCs w:val="24"/>
        </w:rPr>
        <w:tab/>
        <w:t>Abstain:</w:t>
      </w:r>
      <w:r>
        <w:rPr>
          <w:sz w:val="24"/>
          <w:szCs w:val="24"/>
        </w:rPr>
        <w:tab/>
      </w:r>
    </w:p>
    <w:p w:rsidR="0054560A" w:rsidRDefault="003004E1" w:rsidP="003004E1">
      <w:pPr>
        <w:tabs>
          <w:tab w:val="left" w:pos="2520"/>
        </w:tabs>
        <w:rPr>
          <w:sz w:val="24"/>
          <w:szCs w:val="24"/>
        </w:rPr>
      </w:pPr>
      <w:r>
        <w:rPr>
          <w:sz w:val="24"/>
          <w:szCs w:val="24"/>
        </w:rPr>
        <w:t>Moya</w:t>
      </w:r>
      <w:r>
        <w:rPr>
          <w:sz w:val="24"/>
          <w:szCs w:val="24"/>
        </w:rPr>
        <w:tab/>
        <w:t>None</w:t>
      </w:r>
      <w:r>
        <w:rPr>
          <w:sz w:val="24"/>
          <w:szCs w:val="24"/>
        </w:rPr>
        <w:tab/>
      </w:r>
      <w:r>
        <w:rPr>
          <w:sz w:val="24"/>
          <w:szCs w:val="24"/>
        </w:rPr>
        <w:tab/>
      </w:r>
      <w:r>
        <w:rPr>
          <w:sz w:val="24"/>
          <w:szCs w:val="24"/>
        </w:rPr>
        <w:tab/>
        <w:t>None</w:t>
      </w:r>
    </w:p>
    <w:p w:rsidR="003004E1" w:rsidRDefault="003004E1" w:rsidP="00C10264">
      <w:pPr>
        <w:rPr>
          <w:sz w:val="24"/>
          <w:szCs w:val="24"/>
        </w:rPr>
      </w:pPr>
      <w:r>
        <w:rPr>
          <w:sz w:val="24"/>
          <w:szCs w:val="24"/>
        </w:rPr>
        <w:t>Constantinides</w:t>
      </w:r>
    </w:p>
    <w:p w:rsidR="003004E1" w:rsidRDefault="003004E1" w:rsidP="00C10264">
      <w:pPr>
        <w:rPr>
          <w:sz w:val="24"/>
          <w:szCs w:val="24"/>
        </w:rPr>
      </w:pPr>
      <w:r>
        <w:rPr>
          <w:sz w:val="24"/>
          <w:szCs w:val="24"/>
        </w:rPr>
        <w:t>Reynoso</w:t>
      </w:r>
    </w:p>
    <w:p w:rsidR="003004E1" w:rsidRDefault="003004E1" w:rsidP="00C10264">
      <w:pPr>
        <w:rPr>
          <w:sz w:val="24"/>
          <w:szCs w:val="24"/>
        </w:rPr>
      </w:pPr>
      <w:r>
        <w:rPr>
          <w:sz w:val="24"/>
          <w:szCs w:val="24"/>
        </w:rPr>
        <w:t>Richards</w:t>
      </w:r>
    </w:p>
    <w:p w:rsidR="003004E1" w:rsidRDefault="003004E1" w:rsidP="00C10264">
      <w:pPr>
        <w:rPr>
          <w:sz w:val="24"/>
          <w:szCs w:val="24"/>
        </w:rPr>
      </w:pPr>
      <w:r>
        <w:rPr>
          <w:sz w:val="24"/>
          <w:szCs w:val="24"/>
        </w:rPr>
        <w:t>Rivera</w:t>
      </w:r>
    </w:p>
    <w:p w:rsidR="003004E1" w:rsidRDefault="003004E1" w:rsidP="00C10264">
      <w:pPr>
        <w:rPr>
          <w:sz w:val="24"/>
          <w:szCs w:val="24"/>
        </w:rPr>
      </w:pPr>
      <w:r>
        <w:rPr>
          <w:sz w:val="24"/>
          <w:szCs w:val="24"/>
        </w:rPr>
        <w:t>Torres</w:t>
      </w:r>
    </w:p>
    <w:p w:rsidR="003004E1" w:rsidRDefault="003004E1" w:rsidP="00C10264">
      <w:pPr>
        <w:rPr>
          <w:sz w:val="24"/>
          <w:szCs w:val="24"/>
        </w:rPr>
      </w:pPr>
      <w:r>
        <w:rPr>
          <w:sz w:val="24"/>
          <w:szCs w:val="24"/>
        </w:rPr>
        <w:t>Grodenchik</w:t>
      </w:r>
    </w:p>
    <w:p w:rsidR="0054560A" w:rsidRDefault="0054560A" w:rsidP="00C10264">
      <w:pPr>
        <w:rPr>
          <w:sz w:val="24"/>
          <w:szCs w:val="24"/>
        </w:rPr>
      </w:pPr>
    </w:p>
    <w:p w:rsidR="0012001A" w:rsidRDefault="0012001A" w:rsidP="00C10264">
      <w:pPr>
        <w:rPr>
          <w:sz w:val="24"/>
          <w:szCs w:val="24"/>
        </w:rPr>
      </w:pPr>
    </w:p>
    <w:p w:rsidR="00F62D5F" w:rsidRPr="008A7D9E" w:rsidRDefault="00F62D5F" w:rsidP="00F62D5F">
      <w:pPr>
        <w:jc w:val="both"/>
        <w:rPr>
          <w:sz w:val="24"/>
          <w:szCs w:val="24"/>
        </w:rPr>
      </w:pPr>
      <w:r w:rsidRPr="008A7D9E">
        <w:rPr>
          <w:b/>
          <w:sz w:val="24"/>
          <w:szCs w:val="24"/>
          <w:u w:val="single"/>
        </w:rPr>
        <w:t>COMMITTEE ACTION</w:t>
      </w:r>
    </w:p>
    <w:p w:rsidR="00F62D5F" w:rsidRPr="008A7D9E" w:rsidRDefault="00F62D5F" w:rsidP="00F62D5F">
      <w:pPr>
        <w:jc w:val="both"/>
        <w:rPr>
          <w:sz w:val="24"/>
          <w:szCs w:val="24"/>
        </w:rPr>
      </w:pPr>
    </w:p>
    <w:p w:rsidR="00F62D5F" w:rsidRPr="00400AAD" w:rsidRDefault="00F62D5F" w:rsidP="00F62D5F">
      <w:pPr>
        <w:tabs>
          <w:tab w:val="left" w:pos="-1440"/>
        </w:tabs>
        <w:jc w:val="both"/>
        <w:rPr>
          <w:sz w:val="24"/>
          <w:szCs w:val="24"/>
        </w:rPr>
      </w:pPr>
      <w:r w:rsidRPr="008A7D9E">
        <w:rPr>
          <w:sz w:val="24"/>
          <w:szCs w:val="24"/>
        </w:rPr>
        <w:tab/>
      </w:r>
      <w:r w:rsidRPr="008A7D9E">
        <w:rPr>
          <w:b/>
          <w:sz w:val="24"/>
          <w:szCs w:val="24"/>
        </w:rPr>
        <w:t xml:space="preserve">DATE:  </w:t>
      </w:r>
      <w:r w:rsidR="003004E1">
        <w:rPr>
          <w:sz w:val="24"/>
          <w:szCs w:val="24"/>
        </w:rPr>
        <w:t>May 7</w:t>
      </w:r>
      <w:r w:rsidR="00E874A9" w:rsidRPr="00400AAD">
        <w:rPr>
          <w:sz w:val="24"/>
          <w:szCs w:val="24"/>
        </w:rPr>
        <w:t xml:space="preserve">, </w:t>
      </w:r>
      <w:r w:rsidR="00B41795" w:rsidRPr="00400AAD">
        <w:rPr>
          <w:sz w:val="24"/>
          <w:szCs w:val="24"/>
        </w:rPr>
        <w:t>201</w:t>
      </w:r>
      <w:r w:rsidR="00CD1CD3" w:rsidRPr="00400AAD">
        <w:rPr>
          <w:sz w:val="24"/>
          <w:szCs w:val="24"/>
        </w:rPr>
        <w:t>9</w:t>
      </w:r>
    </w:p>
    <w:p w:rsidR="00F62D5F" w:rsidRPr="008A7D9E" w:rsidRDefault="00F62D5F" w:rsidP="00F62D5F">
      <w:pPr>
        <w:jc w:val="both"/>
        <w:rPr>
          <w:sz w:val="24"/>
          <w:szCs w:val="24"/>
        </w:rPr>
      </w:pPr>
    </w:p>
    <w:p w:rsidR="00400AAD" w:rsidRDefault="00F62D5F" w:rsidP="001603F5">
      <w:pPr>
        <w:pStyle w:val="BodyText"/>
        <w:ind w:right="-180"/>
        <w:rPr>
          <w:szCs w:val="24"/>
        </w:rPr>
      </w:pPr>
      <w:r w:rsidRPr="008A7D9E">
        <w:rPr>
          <w:szCs w:val="24"/>
        </w:rPr>
        <w:tab/>
        <w:t xml:space="preserve">The Committee recommends that the Council </w:t>
      </w:r>
      <w:r w:rsidR="00400AAD">
        <w:rPr>
          <w:szCs w:val="24"/>
        </w:rPr>
        <w:t>approve the attached resolutions.</w:t>
      </w:r>
    </w:p>
    <w:p w:rsidR="001603F5" w:rsidRDefault="001603F5" w:rsidP="001603F5">
      <w:pPr>
        <w:pStyle w:val="BodyText"/>
        <w:ind w:right="-180"/>
        <w:rPr>
          <w:szCs w:val="24"/>
        </w:rPr>
      </w:pPr>
    </w:p>
    <w:p w:rsidR="001603F5" w:rsidRPr="009346A6" w:rsidRDefault="001603F5" w:rsidP="001603F5">
      <w:pPr>
        <w:tabs>
          <w:tab w:val="left" w:pos="-1440"/>
          <w:tab w:val="left" w:pos="2520"/>
          <w:tab w:val="left" w:pos="4860"/>
          <w:tab w:val="left" w:pos="5040"/>
        </w:tabs>
        <w:jc w:val="both"/>
        <w:rPr>
          <w:b/>
          <w:sz w:val="24"/>
          <w:szCs w:val="24"/>
        </w:rPr>
      </w:pPr>
      <w:r w:rsidRPr="002F0DA8">
        <w:rPr>
          <w:b/>
          <w:sz w:val="24"/>
          <w:szCs w:val="24"/>
        </w:rPr>
        <w:t>In Favor:</w:t>
      </w:r>
      <w:r w:rsidRPr="002F0DA8">
        <w:rPr>
          <w:b/>
          <w:sz w:val="24"/>
          <w:szCs w:val="24"/>
        </w:rPr>
        <w:tab/>
        <w:t>Against:</w:t>
      </w:r>
      <w:r w:rsidRPr="002F0DA8">
        <w:rPr>
          <w:b/>
          <w:sz w:val="24"/>
          <w:szCs w:val="24"/>
        </w:rPr>
        <w:tab/>
      </w:r>
      <w:r w:rsidRPr="002F0DA8">
        <w:rPr>
          <w:b/>
          <w:sz w:val="24"/>
          <w:szCs w:val="24"/>
        </w:rPr>
        <w:tab/>
        <w:t>Abstain:</w:t>
      </w:r>
      <w:r>
        <w:rPr>
          <w:sz w:val="24"/>
          <w:szCs w:val="24"/>
        </w:rPr>
        <w:tab/>
      </w:r>
      <w:r>
        <w:rPr>
          <w:sz w:val="24"/>
          <w:szCs w:val="24"/>
        </w:rPr>
        <w:tab/>
      </w:r>
    </w:p>
    <w:p w:rsidR="00033370" w:rsidRDefault="00033370" w:rsidP="00033370">
      <w:pPr>
        <w:tabs>
          <w:tab w:val="left" w:pos="-1440"/>
          <w:tab w:val="left" w:pos="2520"/>
          <w:tab w:val="left" w:pos="4860"/>
          <w:tab w:val="left" w:pos="5040"/>
        </w:tabs>
        <w:rPr>
          <w:sz w:val="24"/>
          <w:szCs w:val="24"/>
        </w:rPr>
      </w:pPr>
      <w:r w:rsidRPr="00DD168E">
        <w:rPr>
          <w:sz w:val="24"/>
          <w:szCs w:val="24"/>
        </w:rPr>
        <w:t>Salamanca</w:t>
      </w:r>
      <w:r>
        <w:rPr>
          <w:sz w:val="24"/>
          <w:szCs w:val="24"/>
        </w:rPr>
        <w:tab/>
        <w:t>Barron</w:t>
      </w:r>
      <w:r>
        <w:rPr>
          <w:sz w:val="24"/>
          <w:szCs w:val="24"/>
        </w:rPr>
        <w:tab/>
      </w:r>
      <w:r>
        <w:rPr>
          <w:sz w:val="24"/>
          <w:szCs w:val="24"/>
        </w:rPr>
        <w:tab/>
        <w:t>None</w:t>
      </w:r>
    </w:p>
    <w:p w:rsidR="00033370" w:rsidRDefault="00033370" w:rsidP="00033370">
      <w:pPr>
        <w:tabs>
          <w:tab w:val="left" w:pos="-1440"/>
          <w:tab w:val="left" w:pos="2520"/>
          <w:tab w:val="left" w:pos="4860"/>
          <w:tab w:val="left" w:pos="5040"/>
        </w:tabs>
        <w:rPr>
          <w:sz w:val="24"/>
          <w:szCs w:val="24"/>
        </w:rPr>
      </w:pPr>
      <w:r>
        <w:rPr>
          <w:sz w:val="24"/>
          <w:szCs w:val="24"/>
        </w:rPr>
        <w:t>Gibson</w:t>
      </w:r>
    </w:p>
    <w:p w:rsidR="00033370" w:rsidRDefault="00033370" w:rsidP="00033370">
      <w:pPr>
        <w:tabs>
          <w:tab w:val="left" w:pos="-1440"/>
          <w:tab w:val="left" w:pos="2520"/>
          <w:tab w:val="left" w:pos="4860"/>
          <w:tab w:val="left" w:pos="5040"/>
        </w:tabs>
        <w:rPr>
          <w:sz w:val="24"/>
          <w:szCs w:val="24"/>
        </w:rPr>
      </w:pPr>
      <w:r>
        <w:rPr>
          <w:sz w:val="24"/>
          <w:szCs w:val="24"/>
        </w:rPr>
        <w:t>Constantinides</w:t>
      </w:r>
    </w:p>
    <w:p w:rsidR="00033370" w:rsidRDefault="00033370" w:rsidP="00033370">
      <w:pPr>
        <w:tabs>
          <w:tab w:val="left" w:pos="-1440"/>
          <w:tab w:val="left" w:pos="2520"/>
          <w:tab w:val="left" w:pos="4860"/>
          <w:tab w:val="left" w:pos="5040"/>
        </w:tabs>
        <w:rPr>
          <w:sz w:val="24"/>
          <w:szCs w:val="24"/>
        </w:rPr>
      </w:pPr>
      <w:r>
        <w:rPr>
          <w:sz w:val="24"/>
          <w:szCs w:val="24"/>
        </w:rPr>
        <w:t>Deutsch</w:t>
      </w:r>
    </w:p>
    <w:p w:rsidR="00033370" w:rsidRDefault="00033370" w:rsidP="00033370">
      <w:pPr>
        <w:tabs>
          <w:tab w:val="left" w:pos="-1440"/>
          <w:tab w:val="left" w:pos="2520"/>
          <w:tab w:val="left" w:pos="4860"/>
          <w:tab w:val="left" w:pos="5040"/>
        </w:tabs>
        <w:rPr>
          <w:sz w:val="24"/>
          <w:szCs w:val="24"/>
        </w:rPr>
      </w:pPr>
      <w:r>
        <w:rPr>
          <w:sz w:val="24"/>
          <w:szCs w:val="24"/>
        </w:rPr>
        <w:t>Koo</w:t>
      </w:r>
    </w:p>
    <w:p w:rsidR="00033370" w:rsidRDefault="00033370" w:rsidP="00033370">
      <w:pPr>
        <w:tabs>
          <w:tab w:val="left" w:pos="-1440"/>
          <w:tab w:val="left" w:pos="2520"/>
          <w:tab w:val="left" w:pos="4860"/>
          <w:tab w:val="left" w:pos="5040"/>
        </w:tabs>
        <w:rPr>
          <w:sz w:val="24"/>
          <w:szCs w:val="24"/>
        </w:rPr>
      </w:pPr>
      <w:r>
        <w:rPr>
          <w:sz w:val="24"/>
          <w:szCs w:val="24"/>
        </w:rPr>
        <w:t>Miller</w:t>
      </w:r>
    </w:p>
    <w:p w:rsidR="00033370" w:rsidRDefault="00033370" w:rsidP="00033370">
      <w:pPr>
        <w:tabs>
          <w:tab w:val="left" w:pos="-1440"/>
          <w:tab w:val="left" w:pos="2520"/>
          <w:tab w:val="left" w:pos="4860"/>
          <w:tab w:val="left" w:pos="5040"/>
        </w:tabs>
        <w:rPr>
          <w:sz w:val="24"/>
          <w:szCs w:val="24"/>
        </w:rPr>
      </w:pPr>
      <w:r>
        <w:rPr>
          <w:sz w:val="24"/>
          <w:szCs w:val="24"/>
        </w:rPr>
        <w:t>Reynoso</w:t>
      </w:r>
    </w:p>
    <w:p w:rsidR="00033370" w:rsidRDefault="00033370" w:rsidP="00033370">
      <w:pPr>
        <w:tabs>
          <w:tab w:val="left" w:pos="-1440"/>
          <w:tab w:val="left" w:pos="2520"/>
          <w:tab w:val="left" w:pos="4860"/>
          <w:tab w:val="left" w:pos="5040"/>
        </w:tabs>
        <w:rPr>
          <w:sz w:val="24"/>
          <w:szCs w:val="24"/>
        </w:rPr>
      </w:pPr>
      <w:r>
        <w:rPr>
          <w:sz w:val="24"/>
          <w:szCs w:val="24"/>
        </w:rPr>
        <w:t>Richards</w:t>
      </w:r>
    </w:p>
    <w:p w:rsidR="00033370" w:rsidRDefault="00033370" w:rsidP="00033370">
      <w:pPr>
        <w:tabs>
          <w:tab w:val="left" w:pos="-1440"/>
          <w:tab w:val="left" w:pos="2520"/>
          <w:tab w:val="left" w:pos="4860"/>
          <w:tab w:val="left" w:pos="5040"/>
        </w:tabs>
        <w:rPr>
          <w:sz w:val="24"/>
          <w:szCs w:val="24"/>
        </w:rPr>
      </w:pPr>
      <w:r>
        <w:rPr>
          <w:sz w:val="24"/>
          <w:szCs w:val="24"/>
        </w:rPr>
        <w:t>Torres</w:t>
      </w:r>
    </w:p>
    <w:p w:rsidR="00033370" w:rsidRDefault="00033370" w:rsidP="00033370">
      <w:pPr>
        <w:tabs>
          <w:tab w:val="left" w:pos="-1440"/>
          <w:tab w:val="left" w:pos="2520"/>
          <w:tab w:val="left" w:pos="4860"/>
          <w:tab w:val="left" w:pos="5040"/>
        </w:tabs>
        <w:rPr>
          <w:sz w:val="24"/>
          <w:szCs w:val="24"/>
        </w:rPr>
      </w:pPr>
      <w:r>
        <w:rPr>
          <w:sz w:val="24"/>
          <w:szCs w:val="24"/>
        </w:rPr>
        <w:t>Grodenchik</w:t>
      </w:r>
    </w:p>
    <w:p w:rsidR="00033370" w:rsidRDefault="00033370" w:rsidP="00033370">
      <w:pPr>
        <w:tabs>
          <w:tab w:val="left" w:pos="-1440"/>
          <w:tab w:val="left" w:pos="2520"/>
          <w:tab w:val="left" w:pos="4860"/>
          <w:tab w:val="left" w:pos="5040"/>
        </w:tabs>
        <w:rPr>
          <w:sz w:val="24"/>
          <w:szCs w:val="24"/>
        </w:rPr>
      </w:pPr>
      <w:r>
        <w:rPr>
          <w:sz w:val="24"/>
          <w:szCs w:val="24"/>
        </w:rPr>
        <w:t>Adams</w:t>
      </w:r>
    </w:p>
    <w:p w:rsidR="00033370" w:rsidRDefault="00033370" w:rsidP="00033370">
      <w:pPr>
        <w:tabs>
          <w:tab w:val="left" w:pos="-1440"/>
          <w:tab w:val="left" w:pos="2520"/>
          <w:tab w:val="left" w:pos="4860"/>
          <w:tab w:val="left" w:pos="5040"/>
        </w:tabs>
        <w:rPr>
          <w:sz w:val="24"/>
          <w:szCs w:val="24"/>
        </w:rPr>
      </w:pPr>
      <w:r>
        <w:rPr>
          <w:sz w:val="24"/>
          <w:szCs w:val="24"/>
        </w:rPr>
        <w:t>Diaz, Sr.</w:t>
      </w:r>
    </w:p>
    <w:p w:rsidR="00033370" w:rsidRDefault="00033370" w:rsidP="00033370">
      <w:pPr>
        <w:tabs>
          <w:tab w:val="left" w:pos="-1440"/>
          <w:tab w:val="left" w:pos="2520"/>
          <w:tab w:val="left" w:pos="4860"/>
          <w:tab w:val="left" w:pos="5040"/>
        </w:tabs>
        <w:rPr>
          <w:sz w:val="24"/>
          <w:szCs w:val="24"/>
        </w:rPr>
      </w:pPr>
      <w:r>
        <w:rPr>
          <w:sz w:val="24"/>
          <w:szCs w:val="24"/>
        </w:rPr>
        <w:t>Moya</w:t>
      </w:r>
    </w:p>
    <w:p w:rsidR="00033370" w:rsidRDefault="00033370" w:rsidP="00033370">
      <w:pPr>
        <w:tabs>
          <w:tab w:val="left" w:pos="-1440"/>
          <w:tab w:val="left" w:pos="2520"/>
          <w:tab w:val="left" w:pos="4860"/>
          <w:tab w:val="left" w:pos="5040"/>
        </w:tabs>
        <w:rPr>
          <w:sz w:val="24"/>
          <w:szCs w:val="24"/>
        </w:rPr>
      </w:pPr>
      <w:r>
        <w:rPr>
          <w:sz w:val="24"/>
          <w:szCs w:val="24"/>
        </w:rPr>
        <w:t>Rivera</w:t>
      </w:r>
    </w:p>
    <w:p w:rsidR="0085450A" w:rsidRDefault="0085450A" w:rsidP="001603F5">
      <w:pPr>
        <w:pStyle w:val="BodyText"/>
        <w:ind w:right="-180"/>
        <w:rPr>
          <w:szCs w:val="24"/>
        </w:rPr>
      </w:pPr>
    </w:p>
    <w:p w:rsidR="00CD1CD3" w:rsidRDefault="00CD1CD3" w:rsidP="001603F5">
      <w:pPr>
        <w:pStyle w:val="BodyText"/>
        <w:ind w:right="-180"/>
        <w:rPr>
          <w:szCs w:val="24"/>
        </w:rPr>
      </w:pPr>
    </w:p>
    <w:p w:rsidR="00CD1CD3" w:rsidRDefault="00CD1CD3" w:rsidP="001603F5">
      <w:pPr>
        <w:pStyle w:val="BodyText"/>
        <w:ind w:right="-180"/>
        <w:rPr>
          <w:szCs w:val="24"/>
        </w:rPr>
      </w:pPr>
    </w:p>
    <w:p w:rsidR="00CD1CD3" w:rsidRDefault="00CD1CD3" w:rsidP="001603F5">
      <w:pPr>
        <w:pStyle w:val="BodyText"/>
        <w:ind w:right="-180"/>
        <w:rPr>
          <w:szCs w:val="24"/>
        </w:rPr>
      </w:pPr>
    </w:p>
    <w:sectPr w:rsidR="00CD1CD3" w:rsidSect="00895C9B">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72B" w:rsidRDefault="00C1372B">
      <w:r>
        <w:separator/>
      </w:r>
    </w:p>
  </w:endnote>
  <w:endnote w:type="continuationSeparator" w:id="0">
    <w:p w:rsidR="00C1372B" w:rsidRDefault="00C1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06" w:rsidRDefault="00574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4106" w:rsidRDefault="00574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06" w:rsidRDefault="00574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72B" w:rsidRDefault="00C1372B">
      <w:r>
        <w:separator/>
      </w:r>
    </w:p>
  </w:footnote>
  <w:footnote w:type="continuationSeparator" w:id="0">
    <w:p w:rsidR="00C1372B" w:rsidRDefault="00C13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49B" w:rsidRDefault="0096249B">
    <w:pPr>
      <w:pStyle w:val="Header"/>
      <w:rPr>
        <w:b/>
        <w:bCs/>
        <w:sz w:val="24"/>
      </w:rPr>
    </w:pPr>
  </w:p>
  <w:p w:rsidR="0096249B" w:rsidRDefault="0096249B">
    <w:pPr>
      <w:pStyle w:val="Header"/>
      <w:rPr>
        <w:b/>
        <w:bCs/>
        <w:sz w:val="24"/>
      </w:rPr>
    </w:pPr>
  </w:p>
  <w:p w:rsidR="00574106" w:rsidRDefault="00574106">
    <w:pPr>
      <w:pStyle w:val="Header"/>
      <w:rPr>
        <w:b/>
        <w:bCs/>
        <w:sz w:val="24"/>
      </w:rPr>
    </w:pPr>
    <w:r>
      <w:rPr>
        <w:b/>
        <w:bCs/>
        <w:sz w:val="24"/>
      </w:rPr>
      <w:t xml:space="preserve">Page </w:t>
    </w:r>
    <w:r>
      <w:rPr>
        <w:b/>
        <w:bCs/>
        <w:sz w:val="24"/>
      </w:rPr>
      <w:fldChar w:fldCharType="begin"/>
    </w:r>
    <w:r>
      <w:rPr>
        <w:b/>
        <w:bCs/>
        <w:sz w:val="24"/>
      </w:rPr>
      <w:instrText xml:space="preserve"> PAGE </w:instrText>
    </w:r>
    <w:r>
      <w:rPr>
        <w:b/>
        <w:bCs/>
        <w:sz w:val="24"/>
      </w:rPr>
      <w:fldChar w:fldCharType="separate"/>
    </w:r>
    <w:r w:rsidR="00C33A9E">
      <w:rPr>
        <w:b/>
        <w:bCs/>
        <w:noProof/>
        <w:sz w:val="24"/>
      </w:rPr>
      <w:t>4</w:t>
    </w:r>
    <w:r>
      <w:rPr>
        <w:b/>
        <w:bCs/>
        <w:sz w:val="24"/>
      </w:rPr>
      <w:fldChar w:fldCharType="end"/>
    </w:r>
    <w:r>
      <w:rPr>
        <w:b/>
        <w:bCs/>
        <w:sz w:val="24"/>
      </w:rPr>
      <w:t xml:space="preserve"> of </w:t>
    </w:r>
    <w:r>
      <w:rPr>
        <w:b/>
        <w:bCs/>
        <w:sz w:val="24"/>
      </w:rPr>
      <w:fldChar w:fldCharType="begin"/>
    </w:r>
    <w:r>
      <w:rPr>
        <w:b/>
        <w:bCs/>
        <w:sz w:val="24"/>
      </w:rPr>
      <w:instrText xml:space="preserve"> NUMPAGES </w:instrText>
    </w:r>
    <w:r>
      <w:rPr>
        <w:b/>
        <w:bCs/>
        <w:sz w:val="24"/>
      </w:rPr>
      <w:fldChar w:fldCharType="separate"/>
    </w:r>
    <w:r w:rsidR="00C33A9E">
      <w:rPr>
        <w:b/>
        <w:bCs/>
        <w:noProof/>
        <w:sz w:val="24"/>
      </w:rPr>
      <w:t>4</w:t>
    </w:r>
    <w:r>
      <w:rPr>
        <w:b/>
        <w:bCs/>
        <w:sz w:val="24"/>
      </w:rPr>
      <w:fldChar w:fldCharType="end"/>
    </w:r>
  </w:p>
  <w:p w:rsidR="00822B56" w:rsidRDefault="00E75E34" w:rsidP="00822B56">
    <w:pPr>
      <w:rPr>
        <w:b/>
        <w:sz w:val="24"/>
        <w:szCs w:val="24"/>
      </w:rPr>
    </w:pPr>
    <w:r>
      <w:rPr>
        <w:b/>
        <w:sz w:val="24"/>
        <w:szCs w:val="24"/>
      </w:rPr>
      <w:t>C 190160 HAK, C 190161 ZMK, N 190162 ZRK, and C 190163 HUK</w:t>
    </w:r>
  </w:p>
  <w:p w:rsidR="001A727A" w:rsidRPr="00AC55AD" w:rsidRDefault="00E75E34" w:rsidP="001A727A">
    <w:pPr>
      <w:rPr>
        <w:b/>
        <w:sz w:val="24"/>
        <w:szCs w:val="24"/>
      </w:rPr>
    </w:pPr>
    <w:r>
      <w:rPr>
        <w:b/>
        <w:sz w:val="24"/>
        <w:szCs w:val="24"/>
      </w:rPr>
      <w:t xml:space="preserve">Pre. </w:t>
    </w:r>
    <w:r w:rsidR="00574106" w:rsidRPr="00AC55AD">
      <w:rPr>
        <w:b/>
        <w:sz w:val="24"/>
        <w:szCs w:val="24"/>
      </w:rPr>
      <w:t>L.U</w:t>
    </w:r>
    <w:r w:rsidR="00562122">
      <w:rPr>
        <w:b/>
        <w:sz w:val="24"/>
        <w:szCs w:val="24"/>
      </w:rPr>
      <w:t>.</w:t>
    </w:r>
    <w:r w:rsidR="00574106" w:rsidRPr="00AC55AD">
      <w:rPr>
        <w:b/>
        <w:sz w:val="24"/>
        <w:szCs w:val="24"/>
      </w:rPr>
      <w:t xml:space="preserve"> No</w:t>
    </w:r>
    <w:r w:rsidR="003D00D6">
      <w:rPr>
        <w:b/>
        <w:sz w:val="24"/>
        <w:szCs w:val="24"/>
      </w:rPr>
      <w:t>s</w:t>
    </w:r>
    <w:r w:rsidR="00574106" w:rsidRPr="00AC55AD">
      <w:rPr>
        <w:b/>
        <w:sz w:val="24"/>
        <w:szCs w:val="24"/>
      </w:rPr>
      <w:t xml:space="preserve">. </w:t>
    </w:r>
    <w:r>
      <w:rPr>
        <w:b/>
        <w:sz w:val="24"/>
        <w:szCs w:val="24"/>
      </w:rPr>
      <w:t>386</w:t>
    </w:r>
    <w:r w:rsidR="00F90E41">
      <w:rPr>
        <w:b/>
        <w:sz w:val="24"/>
        <w:szCs w:val="24"/>
      </w:rPr>
      <w:t>-</w:t>
    </w:r>
    <w:r>
      <w:rPr>
        <w:b/>
        <w:sz w:val="24"/>
        <w:szCs w:val="24"/>
      </w:rPr>
      <w:t>389</w:t>
    </w:r>
    <w:r w:rsidR="00F90E41">
      <w:rPr>
        <w:b/>
        <w:sz w:val="24"/>
        <w:szCs w:val="24"/>
      </w:rPr>
      <w:t xml:space="preserve"> (Res. Nos. </w:t>
    </w:r>
    <w:r w:rsidR="005F0598">
      <w:rPr>
        <w:b/>
        <w:sz w:val="24"/>
        <w:szCs w:val="24"/>
      </w:rPr>
      <w:t>876 through 879</w:t>
    </w:r>
    <w:r w:rsidR="00F90E41">
      <w:rPr>
        <w:b/>
        <w:sz w:val="24"/>
        <w:szCs w:val="24"/>
      </w:rPr>
      <w:t>)</w:t>
    </w:r>
  </w:p>
  <w:p w:rsidR="00574106" w:rsidRDefault="00574106">
    <w:pPr>
      <w:rPr>
        <w:b/>
        <w:sz w:val="24"/>
        <w:szCs w:val="24"/>
      </w:rPr>
    </w:pPr>
  </w:p>
  <w:p w:rsidR="0096249B" w:rsidRDefault="0096249B">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1"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2A4AD2"/>
    <w:multiLevelType w:val="multilevel"/>
    <w:tmpl w:val="AFDE696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heme="minorHAnsi"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5B7628"/>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F60CDC"/>
    <w:multiLevelType w:val="hybridMultilevel"/>
    <w:tmpl w:val="EEB06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574D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5CE0E34"/>
    <w:multiLevelType w:val="hybridMultilevel"/>
    <w:tmpl w:val="190C3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5947673"/>
    <w:multiLevelType w:val="hybridMultilevel"/>
    <w:tmpl w:val="C1FE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6"/>
  </w:num>
  <w:num w:numId="5">
    <w:abstractNumId w:val="3"/>
  </w:num>
  <w:num w:numId="6">
    <w:abstractNumId w:val="0"/>
  </w:num>
  <w:num w:numId="7">
    <w:abstractNumId w:val="11"/>
  </w:num>
  <w:num w:numId="8">
    <w:abstractNumId w:val="4"/>
  </w:num>
  <w:num w:numId="9">
    <w:abstractNumId w:val="7"/>
  </w:num>
  <w:num w:numId="10">
    <w:abstractNumId w:val="9"/>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3ADC"/>
    <w:rsid w:val="00011975"/>
    <w:rsid w:val="00016251"/>
    <w:rsid w:val="00031734"/>
    <w:rsid w:val="00033370"/>
    <w:rsid w:val="0005525D"/>
    <w:rsid w:val="00056EE3"/>
    <w:rsid w:val="00066523"/>
    <w:rsid w:val="00075B80"/>
    <w:rsid w:val="00092583"/>
    <w:rsid w:val="00094157"/>
    <w:rsid w:val="000A0895"/>
    <w:rsid w:val="000A452E"/>
    <w:rsid w:val="000B452F"/>
    <w:rsid w:val="000B7BD7"/>
    <w:rsid w:val="000D2C4F"/>
    <w:rsid w:val="000D3A72"/>
    <w:rsid w:val="000D74C8"/>
    <w:rsid w:val="000E4D02"/>
    <w:rsid w:val="000E68B9"/>
    <w:rsid w:val="000F2E93"/>
    <w:rsid w:val="00107C84"/>
    <w:rsid w:val="00111C68"/>
    <w:rsid w:val="001176F7"/>
    <w:rsid w:val="0012001A"/>
    <w:rsid w:val="00121CA7"/>
    <w:rsid w:val="0012287C"/>
    <w:rsid w:val="00147164"/>
    <w:rsid w:val="001603F5"/>
    <w:rsid w:val="00163A10"/>
    <w:rsid w:val="001666F0"/>
    <w:rsid w:val="0017417F"/>
    <w:rsid w:val="0017736D"/>
    <w:rsid w:val="00181848"/>
    <w:rsid w:val="00185A8E"/>
    <w:rsid w:val="0018753D"/>
    <w:rsid w:val="00190878"/>
    <w:rsid w:val="001A129E"/>
    <w:rsid w:val="001A727A"/>
    <w:rsid w:val="001A7819"/>
    <w:rsid w:val="001B4A96"/>
    <w:rsid w:val="001B604A"/>
    <w:rsid w:val="001C1F71"/>
    <w:rsid w:val="001D2E81"/>
    <w:rsid w:val="001E49A3"/>
    <w:rsid w:val="001E5EE8"/>
    <w:rsid w:val="001F7BC9"/>
    <w:rsid w:val="00205AC3"/>
    <w:rsid w:val="002128FC"/>
    <w:rsid w:val="00220243"/>
    <w:rsid w:val="0022162A"/>
    <w:rsid w:val="00237D9E"/>
    <w:rsid w:val="0025191D"/>
    <w:rsid w:val="00254DAB"/>
    <w:rsid w:val="00255711"/>
    <w:rsid w:val="002735E3"/>
    <w:rsid w:val="00282698"/>
    <w:rsid w:val="00285C77"/>
    <w:rsid w:val="00286E6D"/>
    <w:rsid w:val="0029256C"/>
    <w:rsid w:val="00297F6C"/>
    <w:rsid w:val="002B189F"/>
    <w:rsid w:val="002B4CD8"/>
    <w:rsid w:val="002C4D73"/>
    <w:rsid w:val="002C5F9F"/>
    <w:rsid w:val="002D1EC2"/>
    <w:rsid w:val="002E3ABA"/>
    <w:rsid w:val="002F58E9"/>
    <w:rsid w:val="002F5CB4"/>
    <w:rsid w:val="002F7B48"/>
    <w:rsid w:val="003004E1"/>
    <w:rsid w:val="00306524"/>
    <w:rsid w:val="003134E7"/>
    <w:rsid w:val="00331FDB"/>
    <w:rsid w:val="003336C1"/>
    <w:rsid w:val="003410BD"/>
    <w:rsid w:val="00342EC3"/>
    <w:rsid w:val="00343BA4"/>
    <w:rsid w:val="003458BF"/>
    <w:rsid w:val="00362003"/>
    <w:rsid w:val="00362E64"/>
    <w:rsid w:val="003672FC"/>
    <w:rsid w:val="00367CD7"/>
    <w:rsid w:val="0037232E"/>
    <w:rsid w:val="00382769"/>
    <w:rsid w:val="003B171F"/>
    <w:rsid w:val="003B4966"/>
    <w:rsid w:val="003C4F48"/>
    <w:rsid w:val="003D00D6"/>
    <w:rsid w:val="003D3B3F"/>
    <w:rsid w:val="003E33D0"/>
    <w:rsid w:val="00400AAD"/>
    <w:rsid w:val="00401657"/>
    <w:rsid w:val="004062C1"/>
    <w:rsid w:val="00446196"/>
    <w:rsid w:val="0044724C"/>
    <w:rsid w:val="0046504D"/>
    <w:rsid w:val="00485687"/>
    <w:rsid w:val="004A11E9"/>
    <w:rsid w:val="004A67AA"/>
    <w:rsid w:val="004D4F79"/>
    <w:rsid w:val="004D75E1"/>
    <w:rsid w:val="004E4066"/>
    <w:rsid w:val="004E45EA"/>
    <w:rsid w:val="004F0D6D"/>
    <w:rsid w:val="004F7BB9"/>
    <w:rsid w:val="00502382"/>
    <w:rsid w:val="00502A0B"/>
    <w:rsid w:val="0051200E"/>
    <w:rsid w:val="005308DC"/>
    <w:rsid w:val="00531B15"/>
    <w:rsid w:val="005331EE"/>
    <w:rsid w:val="005341AD"/>
    <w:rsid w:val="00534EEA"/>
    <w:rsid w:val="005372BA"/>
    <w:rsid w:val="005374B6"/>
    <w:rsid w:val="0054560A"/>
    <w:rsid w:val="00553067"/>
    <w:rsid w:val="005578FA"/>
    <w:rsid w:val="00557CCE"/>
    <w:rsid w:val="00562122"/>
    <w:rsid w:val="005666B0"/>
    <w:rsid w:val="0056731C"/>
    <w:rsid w:val="00567AE7"/>
    <w:rsid w:val="00572325"/>
    <w:rsid w:val="00574106"/>
    <w:rsid w:val="00574849"/>
    <w:rsid w:val="00586013"/>
    <w:rsid w:val="00593943"/>
    <w:rsid w:val="005A159C"/>
    <w:rsid w:val="005A299B"/>
    <w:rsid w:val="005C3812"/>
    <w:rsid w:val="005E16D9"/>
    <w:rsid w:val="005E5B80"/>
    <w:rsid w:val="005E76ED"/>
    <w:rsid w:val="005F0598"/>
    <w:rsid w:val="0060042F"/>
    <w:rsid w:val="006225A8"/>
    <w:rsid w:val="006228B2"/>
    <w:rsid w:val="00625B86"/>
    <w:rsid w:val="00632DBC"/>
    <w:rsid w:val="006357EF"/>
    <w:rsid w:val="006507DB"/>
    <w:rsid w:val="00651C7B"/>
    <w:rsid w:val="0065326C"/>
    <w:rsid w:val="00661C15"/>
    <w:rsid w:val="00661D83"/>
    <w:rsid w:val="006627BF"/>
    <w:rsid w:val="006721B3"/>
    <w:rsid w:val="006876C3"/>
    <w:rsid w:val="006A378B"/>
    <w:rsid w:val="006B01F0"/>
    <w:rsid w:val="006B0678"/>
    <w:rsid w:val="006B4A62"/>
    <w:rsid w:val="006C02E8"/>
    <w:rsid w:val="006C55DB"/>
    <w:rsid w:val="006D6E02"/>
    <w:rsid w:val="006E18F9"/>
    <w:rsid w:val="006E640C"/>
    <w:rsid w:val="006E6D25"/>
    <w:rsid w:val="007105B3"/>
    <w:rsid w:val="0071456F"/>
    <w:rsid w:val="00720732"/>
    <w:rsid w:val="00720E53"/>
    <w:rsid w:val="007304AA"/>
    <w:rsid w:val="00730FC3"/>
    <w:rsid w:val="007311A2"/>
    <w:rsid w:val="00736830"/>
    <w:rsid w:val="00745C38"/>
    <w:rsid w:val="0075798E"/>
    <w:rsid w:val="007752AA"/>
    <w:rsid w:val="00777589"/>
    <w:rsid w:val="007803BF"/>
    <w:rsid w:val="00785C91"/>
    <w:rsid w:val="0078686B"/>
    <w:rsid w:val="007B3BC5"/>
    <w:rsid w:val="007B6758"/>
    <w:rsid w:val="007C3023"/>
    <w:rsid w:val="007C4ED6"/>
    <w:rsid w:val="007C6ADB"/>
    <w:rsid w:val="007D048A"/>
    <w:rsid w:val="007E0FC3"/>
    <w:rsid w:val="007E1D61"/>
    <w:rsid w:val="007E497D"/>
    <w:rsid w:val="007F3BE0"/>
    <w:rsid w:val="008017D6"/>
    <w:rsid w:val="00802D5F"/>
    <w:rsid w:val="008042C9"/>
    <w:rsid w:val="008079E1"/>
    <w:rsid w:val="00822B56"/>
    <w:rsid w:val="0082576D"/>
    <w:rsid w:val="00825C44"/>
    <w:rsid w:val="008270A5"/>
    <w:rsid w:val="00847FF0"/>
    <w:rsid w:val="00850C63"/>
    <w:rsid w:val="0085450A"/>
    <w:rsid w:val="0085749E"/>
    <w:rsid w:val="00861F6D"/>
    <w:rsid w:val="00874275"/>
    <w:rsid w:val="00875BC8"/>
    <w:rsid w:val="00876065"/>
    <w:rsid w:val="008804F5"/>
    <w:rsid w:val="008829E3"/>
    <w:rsid w:val="0089302B"/>
    <w:rsid w:val="00895C9B"/>
    <w:rsid w:val="008A07CC"/>
    <w:rsid w:val="008B05E5"/>
    <w:rsid w:val="008B1ADE"/>
    <w:rsid w:val="008C57EF"/>
    <w:rsid w:val="008D2BD5"/>
    <w:rsid w:val="008D713C"/>
    <w:rsid w:val="008F652C"/>
    <w:rsid w:val="009019B7"/>
    <w:rsid w:val="009139E3"/>
    <w:rsid w:val="00920E58"/>
    <w:rsid w:val="00930CCF"/>
    <w:rsid w:val="009346A6"/>
    <w:rsid w:val="009367B0"/>
    <w:rsid w:val="00940F52"/>
    <w:rsid w:val="00944498"/>
    <w:rsid w:val="0096249B"/>
    <w:rsid w:val="009751A7"/>
    <w:rsid w:val="009761F7"/>
    <w:rsid w:val="0098234B"/>
    <w:rsid w:val="0099137D"/>
    <w:rsid w:val="009914A9"/>
    <w:rsid w:val="00993766"/>
    <w:rsid w:val="00995826"/>
    <w:rsid w:val="009978F4"/>
    <w:rsid w:val="009A07E4"/>
    <w:rsid w:val="009A4F94"/>
    <w:rsid w:val="009A5CBC"/>
    <w:rsid w:val="009B2BD9"/>
    <w:rsid w:val="009C1EAF"/>
    <w:rsid w:val="009F6D7B"/>
    <w:rsid w:val="00A24D52"/>
    <w:rsid w:val="00A34A23"/>
    <w:rsid w:val="00A35B26"/>
    <w:rsid w:val="00A46D4D"/>
    <w:rsid w:val="00A70BA6"/>
    <w:rsid w:val="00A7408D"/>
    <w:rsid w:val="00A819F7"/>
    <w:rsid w:val="00A83A1C"/>
    <w:rsid w:val="00A91F53"/>
    <w:rsid w:val="00AA5076"/>
    <w:rsid w:val="00AA5556"/>
    <w:rsid w:val="00AB5ADB"/>
    <w:rsid w:val="00AC2BAD"/>
    <w:rsid w:val="00AC55AD"/>
    <w:rsid w:val="00AC70A6"/>
    <w:rsid w:val="00AD287E"/>
    <w:rsid w:val="00AD72EB"/>
    <w:rsid w:val="00AF046A"/>
    <w:rsid w:val="00AF4CBE"/>
    <w:rsid w:val="00B06400"/>
    <w:rsid w:val="00B206AC"/>
    <w:rsid w:val="00B31CEC"/>
    <w:rsid w:val="00B41795"/>
    <w:rsid w:val="00B55A6E"/>
    <w:rsid w:val="00B84FB7"/>
    <w:rsid w:val="00B87B6B"/>
    <w:rsid w:val="00BB47E6"/>
    <w:rsid w:val="00BC018B"/>
    <w:rsid w:val="00BD55EA"/>
    <w:rsid w:val="00BE2460"/>
    <w:rsid w:val="00BE38F6"/>
    <w:rsid w:val="00BF47D1"/>
    <w:rsid w:val="00BF54B4"/>
    <w:rsid w:val="00BF6DEB"/>
    <w:rsid w:val="00C06CEE"/>
    <w:rsid w:val="00C10264"/>
    <w:rsid w:val="00C12C9E"/>
    <w:rsid w:val="00C1372B"/>
    <w:rsid w:val="00C14D9B"/>
    <w:rsid w:val="00C15C8D"/>
    <w:rsid w:val="00C169E0"/>
    <w:rsid w:val="00C2034B"/>
    <w:rsid w:val="00C259E6"/>
    <w:rsid w:val="00C26AF8"/>
    <w:rsid w:val="00C33A9E"/>
    <w:rsid w:val="00C35C4D"/>
    <w:rsid w:val="00C37704"/>
    <w:rsid w:val="00C43A23"/>
    <w:rsid w:val="00C45B5E"/>
    <w:rsid w:val="00C469DA"/>
    <w:rsid w:val="00C512C5"/>
    <w:rsid w:val="00C517BC"/>
    <w:rsid w:val="00C66096"/>
    <w:rsid w:val="00C82611"/>
    <w:rsid w:val="00CA77CA"/>
    <w:rsid w:val="00CC4F29"/>
    <w:rsid w:val="00CD0CF2"/>
    <w:rsid w:val="00CD1900"/>
    <w:rsid w:val="00CD1CD3"/>
    <w:rsid w:val="00CF4952"/>
    <w:rsid w:val="00CF56E6"/>
    <w:rsid w:val="00CF5D21"/>
    <w:rsid w:val="00CF68F7"/>
    <w:rsid w:val="00CF6AAC"/>
    <w:rsid w:val="00CF7581"/>
    <w:rsid w:val="00D113D0"/>
    <w:rsid w:val="00D1502E"/>
    <w:rsid w:val="00D277DF"/>
    <w:rsid w:val="00D45CF7"/>
    <w:rsid w:val="00D50C6B"/>
    <w:rsid w:val="00D617EE"/>
    <w:rsid w:val="00D63EEB"/>
    <w:rsid w:val="00D67ADE"/>
    <w:rsid w:val="00D70CE2"/>
    <w:rsid w:val="00D75382"/>
    <w:rsid w:val="00D753C1"/>
    <w:rsid w:val="00D7792D"/>
    <w:rsid w:val="00D942E0"/>
    <w:rsid w:val="00D9488E"/>
    <w:rsid w:val="00DA5C59"/>
    <w:rsid w:val="00DB25EB"/>
    <w:rsid w:val="00DB44FE"/>
    <w:rsid w:val="00DB55DB"/>
    <w:rsid w:val="00DC0312"/>
    <w:rsid w:val="00DC30B8"/>
    <w:rsid w:val="00DD4F65"/>
    <w:rsid w:val="00DE2433"/>
    <w:rsid w:val="00DF7B23"/>
    <w:rsid w:val="00E00BD1"/>
    <w:rsid w:val="00E201F4"/>
    <w:rsid w:val="00E22AC6"/>
    <w:rsid w:val="00E2345E"/>
    <w:rsid w:val="00E2628E"/>
    <w:rsid w:val="00E271CB"/>
    <w:rsid w:val="00E30BEB"/>
    <w:rsid w:val="00E41834"/>
    <w:rsid w:val="00E513C6"/>
    <w:rsid w:val="00E57560"/>
    <w:rsid w:val="00E642B8"/>
    <w:rsid w:val="00E655BA"/>
    <w:rsid w:val="00E6596B"/>
    <w:rsid w:val="00E670D2"/>
    <w:rsid w:val="00E67538"/>
    <w:rsid w:val="00E72FCD"/>
    <w:rsid w:val="00E75E34"/>
    <w:rsid w:val="00E82506"/>
    <w:rsid w:val="00E854D1"/>
    <w:rsid w:val="00E874A9"/>
    <w:rsid w:val="00E9169B"/>
    <w:rsid w:val="00E95C0E"/>
    <w:rsid w:val="00EA1C33"/>
    <w:rsid w:val="00EC45E3"/>
    <w:rsid w:val="00ED3463"/>
    <w:rsid w:val="00EE6026"/>
    <w:rsid w:val="00F0710C"/>
    <w:rsid w:val="00F16D02"/>
    <w:rsid w:val="00F22D20"/>
    <w:rsid w:val="00F33120"/>
    <w:rsid w:val="00F37312"/>
    <w:rsid w:val="00F4174E"/>
    <w:rsid w:val="00F503C5"/>
    <w:rsid w:val="00F6048C"/>
    <w:rsid w:val="00F62D5F"/>
    <w:rsid w:val="00F6482B"/>
    <w:rsid w:val="00F64A73"/>
    <w:rsid w:val="00F90E41"/>
    <w:rsid w:val="00F9255D"/>
    <w:rsid w:val="00FB1280"/>
    <w:rsid w:val="00FB23BF"/>
    <w:rsid w:val="00FB4F30"/>
    <w:rsid w:val="00FC2627"/>
    <w:rsid w:val="00FC2C4A"/>
    <w:rsid w:val="00FD2633"/>
    <w:rsid w:val="00FD4C8C"/>
    <w:rsid w:val="00FE0570"/>
    <w:rsid w:val="00FE09C2"/>
    <w:rsid w:val="00FE4AF4"/>
    <w:rsid w:val="00FE5840"/>
    <w:rsid w:val="00FF0D48"/>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1F9006-11DF-4119-9F54-050DBA3A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 w:type="paragraph" w:styleId="NoSpacing">
    <w:name w:val="No Spacing"/>
    <w:uiPriority w:val="1"/>
    <w:qFormat/>
    <w:rsid w:val="0096249B"/>
  </w:style>
  <w:style w:type="character" w:customStyle="1" w:styleId="Heading2Char">
    <w:name w:val="Heading 2 Char"/>
    <w:link w:val="Heading2"/>
    <w:rsid w:val="00F503C5"/>
    <w:rPr>
      <w:b/>
      <w:sz w:val="24"/>
      <w:u w:val="single"/>
    </w:rPr>
  </w:style>
  <w:style w:type="character" w:styleId="PlaceholderText">
    <w:name w:val="Placeholder Text"/>
    <w:basedOn w:val="DefaultParagraphFont"/>
    <w:uiPriority w:val="99"/>
    <w:semiHidden/>
    <w:rsid w:val="00066523"/>
    <w:rPr>
      <w:color w:val="808080"/>
    </w:rPr>
  </w:style>
  <w:style w:type="paragraph" w:styleId="ListParagraph">
    <w:name w:val="List Paragraph"/>
    <w:basedOn w:val="Normal"/>
    <w:link w:val="ListParagraphChar"/>
    <w:uiPriority w:val="1"/>
    <w:qFormat/>
    <w:rsid w:val="003B4966"/>
    <w:pPr>
      <w:ind w:left="720"/>
      <w:contextualSpacing/>
    </w:pPr>
  </w:style>
  <w:style w:type="character" w:customStyle="1" w:styleId="ListParagraphChar">
    <w:name w:val="List Paragraph Char"/>
    <w:basedOn w:val="DefaultParagraphFont"/>
    <w:link w:val="ListParagraph"/>
    <w:uiPriority w:val="1"/>
    <w:rsid w:val="00CD1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4ED7B-8915-4388-B866-B08434B2C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4303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creator>New York City Council</dc:creator>
  <cp:lastModifiedBy>DelFranco, Ruthie</cp:lastModifiedBy>
  <cp:revision>2</cp:revision>
  <cp:lastPrinted>2010-02-03T20:52:00Z</cp:lastPrinted>
  <dcterms:created xsi:type="dcterms:W3CDTF">2019-05-10T13:50:00Z</dcterms:created>
  <dcterms:modified xsi:type="dcterms:W3CDTF">2019-05-10T13:50:00Z</dcterms:modified>
</cp:coreProperties>
</file>