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3" w:type="dxa"/>
        <w:jc w:val="center"/>
        <w:tblLook w:val="0600" w:firstRow="0" w:lastRow="0" w:firstColumn="0" w:lastColumn="0" w:noHBand="1" w:noVBand="1"/>
      </w:tblPr>
      <w:tblGrid>
        <w:gridCol w:w="6068"/>
        <w:gridCol w:w="5005"/>
      </w:tblGrid>
      <w:tr w:rsidR="005B39E6" w:rsidRPr="00012730" w14:paraId="16FBEB58" w14:textId="77777777" w:rsidTr="00947D37">
        <w:trPr>
          <w:trHeight w:val="1673"/>
          <w:jc w:val="center"/>
        </w:trPr>
        <w:tc>
          <w:tcPr>
            <w:tcW w:w="6068" w:type="dxa"/>
            <w:tcBorders>
              <w:bottom w:val="single" w:sz="4" w:space="0" w:color="auto"/>
            </w:tcBorders>
          </w:tcPr>
          <w:p w14:paraId="4B6A5429" w14:textId="77777777" w:rsidR="005B39E6" w:rsidRPr="00012730" w:rsidRDefault="005B39E6" w:rsidP="00947D37">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0B6CDB4E" wp14:editId="6A25E95E">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05" w:type="dxa"/>
            <w:tcBorders>
              <w:bottom w:val="single" w:sz="4" w:space="0" w:color="auto"/>
            </w:tcBorders>
          </w:tcPr>
          <w:p w14:paraId="492B8282" w14:textId="77777777" w:rsidR="005B39E6" w:rsidRDefault="005B39E6" w:rsidP="00947D37">
            <w:pPr>
              <w:rPr>
                <w:b/>
                <w:bCs/>
                <w:smallCaps/>
              </w:rPr>
            </w:pPr>
            <w:r>
              <w:rPr>
                <w:b/>
                <w:bCs/>
                <w:smallCaps/>
              </w:rPr>
              <w:t>The Council of the City of New York</w:t>
            </w:r>
          </w:p>
          <w:p w14:paraId="253A985C" w14:textId="77777777" w:rsidR="005B39E6" w:rsidRDefault="005B39E6" w:rsidP="00947D37">
            <w:pPr>
              <w:rPr>
                <w:b/>
                <w:bCs/>
                <w:smallCaps/>
              </w:rPr>
            </w:pPr>
            <w:r>
              <w:rPr>
                <w:b/>
                <w:bCs/>
                <w:smallCaps/>
              </w:rPr>
              <w:t>Finance Division</w:t>
            </w:r>
          </w:p>
          <w:p w14:paraId="53F3C0CF" w14:textId="77777777" w:rsidR="005B39E6" w:rsidRDefault="005B39E6" w:rsidP="00947D37">
            <w:pPr>
              <w:spacing w:before="120"/>
              <w:rPr>
                <w:b/>
                <w:bCs/>
                <w:smallCaps/>
              </w:rPr>
            </w:pPr>
            <w:r>
              <w:rPr>
                <w:b/>
                <w:bCs/>
                <w:smallCaps/>
              </w:rPr>
              <w:t>Latonia McKinney, Director</w:t>
            </w:r>
          </w:p>
          <w:p w14:paraId="4938B8AA" w14:textId="77777777" w:rsidR="005B39E6" w:rsidRDefault="005B39E6" w:rsidP="00947D37">
            <w:pPr>
              <w:spacing w:before="120"/>
            </w:pPr>
            <w:r>
              <w:rPr>
                <w:b/>
                <w:bCs/>
                <w:smallCaps/>
              </w:rPr>
              <w:t>Fiscal Impact Statement</w:t>
            </w:r>
          </w:p>
          <w:p w14:paraId="20112814" w14:textId="77777777" w:rsidR="005B39E6" w:rsidRPr="00ED74D9" w:rsidRDefault="005B39E6" w:rsidP="00947D37">
            <w:pPr>
              <w:rPr>
                <w:b/>
                <w:bCs/>
                <w:sz w:val="16"/>
                <w:szCs w:val="16"/>
              </w:rPr>
            </w:pPr>
          </w:p>
          <w:p w14:paraId="4D3B4455" w14:textId="77777777" w:rsidR="005B39E6" w:rsidRDefault="005B39E6" w:rsidP="00947D37">
            <w:pPr>
              <w:rPr>
                <w:b/>
                <w:bCs/>
              </w:rPr>
            </w:pPr>
            <w:r>
              <w:rPr>
                <w:b/>
                <w:bCs/>
                <w:smallCaps/>
              </w:rPr>
              <w:t xml:space="preserve">Proposed </w:t>
            </w:r>
            <w:r w:rsidRPr="00EE2325">
              <w:rPr>
                <w:b/>
                <w:bCs/>
                <w:smallCaps/>
              </w:rPr>
              <w:t>Intro. No</w:t>
            </w:r>
            <w:r>
              <w:rPr>
                <w:b/>
                <w:bCs/>
              </w:rPr>
              <w:t xml:space="preserve">: </w:t>
            </w:r>
            <w:r w:rsidRPr="00581C14">
              <w:rPr>
                <w:b/>
                <w:bCs/>
              </w:rPr>
              <w:t xml:space="preserve"> </w:t>
            </w:r>
            <w:r>
              <w:rPr>
                <w:b/>
                <w:bCs/>
              </w:rPr>
              <w:t>975-A</w:t>
            </w:r>
          </w:p>
          <w:p w14:paraId="75B94C23" w14:textId="77777777" w:rsidR="005B39E6" w:rsidRPr="00A267C7" w:rsidRDefault="005B39E6" w:rsidP="00947D37">
            <w:pPr>
              <w:rPr>
                <w:color w:val="FF0000"/>
                <w:sz w:val="16"/>
                <w:szCs w:val="16"/>
              </w:rPr>
            </w:pPr>
          </w:p>
          <w:p w14:paraId="60AAE40F" w14:textId="77777777" w:rsidR="005B39E6" w:rsidRPr="00A267C7" w:rsidRDefault="005B39E6" w:rsidP="00947D37">
            <w:pPr>
              <w:tabs>
                <w:tab w:val="left" w:pos="-1440"/>
              </w:tabs>
              <w:ind w:left="1440" w:hanging="1440"/>
              <w:rPr>
                <w:color w:val="FF0000"/>
              </w:rPr>
            </w:pPr>
            <w:r>
              <w:rPr>
                <w:b/>
                <w:bCs/>
                <w:smallCaps/>
              </w:rPr>
              <w:t>Committee</w:t>
            </w:r>
            <w:r>
              <w:rPr>
                <w:b/>
                <w:bCs/>
              </w:rPr>
              <w:t>: Housing and Buildings</w:t>
            </w:r>
          </w:p>
        </w:tc>
      </w:tr>
      <w:tr w:rsidR="005B39E6" w:rsidRPr="00012730" w14:paraId="50B888C6" w14:textId="77777777" w:rsidTr="00947D37">
        <w:trPr>
          <w:trHeight w:val="1048"/>
          <w:jc w:val="center"/>
        </w:trPr>
        <w:tc>
          <w:tcPr>
            <w:tcW w:w="6068" w:type="dxa"/>
            <w:tcBorders>
              <w:top w:val="single" w:sz="4" w:space="0" w:color="auto"/>
            </w:tcBorders>
          </w:tcPr>
          <w:p w14:paraId="598044EA" w14:textId="77777777" w:rsidR="005B39E6" w:rsidRPr="0063076D" w:rsidRDefault="005B39E6" w:rsidP="00947D37">
            <w:pPr>
              <w:autoSpaceDE w:val="0"/>
              <w:autoSpaceDN w:val="0"/>
              <w:adjustRightInd w:val="0"/>
              <w:rPr>
                <w:rFonts w:eastAsia="Calibri"/>
              </w:rPr>
            </w:pPr>
            <w:r w:rsidRPr="00012730">
              <w:rPr>
                <w:b/>
                <w:bCs/>
                <w:smallCaps/>
              </w:rPr>
              <w:t>Title:</w:t>
            </w:r>
            <w:r>
              <w:rPr>
                <w:bCs/>
              </w:rPr>
              <w:t xml:space="preserve"> </w:t>
            </w:r>
            <w:r w:rsidRPr="00BD56AF">
              <w:rPr>
                <w:rFonts w:eastAsia="Calibri"/>
              </w:rPr>
              <w:t xml:space="preserve">A </w:t>
            </w:r>
            <w:r>
              <w:rPr>
                <w:spacing w:val="-3"/>
              </w:rPr>
              <w:t xml:space="preserve">Local Law to </w:t>
            </w:r>
            <w:r w:rsidRPr="005B39E6">
              <w:rPr>
                <w:spacing w:val="-3"/>
              </w:rPr>
              <w:t>amend the administrative code of the city of New York, in relation to denying building permits where a residential building has an excessive number of violations</w:t>
            </w:r>
          </w:p>
        </w:tc>
        <w:tc>
          <w:tcPr>
            <w:tcW w:w="5005" w:type="dxa"/>
            <w:tcBorders>
              <w:top w:val="single" w:sz="4" w:space="0" w:color="auto"/>
            </w:tcBorders>
          </w:tcPr>
          <w:p w14:paraId="28E0BCD2" w14:textId="77777777" w:rsidR="005B39E6" w:rsidRPr="00422B5D" w:rsidRDefault="005B39E6" w:rsidP="00947D37">
            <w:r>
              <w:rPr>
                <w:b/>
                <w:bCs/>
                <w:smallCaps/>
              </w:rPr>
              <w:t>Sponsors</w:t>
            </w:r>
            <w:r>
              <w:rPr>
                <w:b/>
                <w:bCs/>
              </w:rPr>
              <w:t xml:space="preserve">: </w:t>
            </w:r>
            <w:r w:rsidRPr="002F17D9">
              <w:t xml:space="preserve">Council Members </w:t>
            </w:r>
            <w:r w:rsidRPr="005B39E6">
              <w:t>Brann</w:t>
            </w:r>
            <w:r>
              <w:t xml:space="preserve">an, Holden, </w:t>
            </w:r>
            <w:proofErr w:type="spellStart"/>
            <w:r>
              <w:t>Koslowitz</w:t>
            </w:r>
            <w:proofErr w:type="spellEnd"/>
            <w:r>
              <w:t xml:space="preserve">, </w:t>
            </w:r>
            <w:proofErr w:type="spellStart"/>
            <w:r>
              <w:t>Yeger</w:t>
            </w:r>
            <w:proofErr w:type="spellEnd"/>
            <w:r>
              <w:t>,</w:t>
            </w:r>
            <w:r w:rsidRPr="005B39E6">
              <w:t xml:space="preserve"> </w:t>
            </w:r>
            <w:proofErr w:type="spellStart"/>
            <w:r w:rsidRPr="005B39E6">
              <w:t>Lancman</w:t>
            </w:r>
            <w:proofErr w:type="spellEnd"/>
            <w:r>
              <w:t xml:space="preserve">, </w:t>
            </w:r>
            <w:proofErr w:type="spellStart"/>
            <w:r>
              <w:t>Kallos</w:t>
            </w:r>
            <w:proofErr w:type="spellEnd"/>
            <w:r>
              <w:t xml:space="preserve">, </w:t>
            </w:r>
            <w:proofErr w:type="spellStart"/>
            <w:r>
              <w:t>Vallone</w:t>
            </w:r>
            <w:proofErr w:type="spellEnd"/>
            <w:r>
              <w:t xml:space="preserve"> and Rosenthal</w:t>
            </w:r>
          </w:p>
        </w:tc>
      </w:tr>
    </w:tbl>
    <w:p w14:paraId="5263EE84" w14:textId="77777777" w:rsidR="0017796E" w:rsidRDefault="00577CF7" w:rsidP="00013298">
      <w:r>
        <w:rPr>
          <w:b/>
          <w:smallCaps/>
        </w:rPr>
        <w:t>Summary of L</w:t>
      </w:r>
      <w:bookmarkStart w:id="0" w:name="_GoBack"/>
      <w:bookmarkEnd w:id="0"/>
      <w:r>
        <w:rPr>
          <w:b/>
          <w:smallCaps/>
        </w:rPr>
        <w:t>egislation:</w:t>
      </w:r>
      <w:r>
        <w:t xml:space="preserve"> Proposed Intro. No. 975-A </w:t>
      </w:r>
      <w:r w:rsidR="00B4027B">
        <w:t xml:space="preserve">would </w:t>
      </w:r>
      <w:r w:rsidR="00B4027B" w:rsidRPr="00B4027B">
        <w:t>require the Department of Buildings</w:t>
      </w:r>
      <w:r w:rsidR="00B4027B">
        <w:t xml:space="preserve"> (DOB)</w:t>
      </w:r>
      <w:r w:rsidR="00B4027B" w:rsidRPr="00B4027B">
        <w:t xml:space="preserve"> to </w:t>
      </w:r>
      <w:r w:rsidR="00A96A23">
        <w:t xml:space="preserve">compile </w:t>
      </w:r>
      <w:r w:rsidR="001C451B">
        <w:t xml:space="preserve">a list every six months of </w:t>
      </w:r>
      <w:r w:rsidR="001C451B" w:rsidRPr="001C451B">
        <w:t xml:space="preserve">multiple dwellings </w:t>
      </w:r>
      <w:r w:rsidR="00714255">
        <w:t>with</w:t>
      </w:r>
      <w:r w:rsidR="001C451B" w:rsidRPr="001C451B">
        <w:t xml:space="preserve"> </w:t>
      </w:r>
      <w:r w:rsidR="00665503">
        <w:t xml:space="preserve">35 units or less </w:t>
      </w:r>
      <w:r w:rsidR="001C451B" w:rsidRPr="001C451B">
        <w:t>that have a ratio of</w:t>
      </w:r>
      <w:r w:rsidR="001C451B">
        <w:t xml:space="preserve"> three or more</w:t>
      </w:r>
      <w:r w:rsidR="001C451B" w:rsidRPr="001C451B">
        <w:t xml:space="preserve"> open hazardous or immediately hazardous housing maintenance code violations or immediately hazardous or major construction code violations </w:t>
      </w:r>
      <w:r w:rsidR="001C451B">
        <w:t xml:space="preserve">per unit, and </w:t>
      </w:r>
      <w:r w:rsidR="00665503">
        <w:t xml:space="preserve">of </w:t>
      </w:r>
      <w:r w:rsidR="001C451B" w:rsidRPr="001C451B">
        <w:t xml:space="preserve">multiple dwellings </w:t>
      </w:r>
      <w:r w:rsidR="00665503">
        <w:t>with</w:t>
      </w:r>
      <w:r w:rsidR="001C451B" w:rsidRPr="001C451B">
        <w:t xml:space="preserve"> 35 units or more that have a ratio of </w:t>
      </w:r>
      <w:r w:rsidR="00665503">
        <w:t xml:space="preserve">two or more </w:t>
      </w:r>
      <w:r w:rsidR="001C451B" w:rsidRPr="001C451B">
        <w:t>open hazardous or immediately hazardous housing maintenance code violations or immediately hazardous or major constru</w:t>
      </w:r>
      <w:r w:rsidR="00665503">
        <w:t xml:space="preserve">ction code violations per unit. </w:t>
      </w:r>
      <w:r w:rsidR="009373D0">
        <w:t>The bill would require DOB to</w:t>
      </w:r>
      <w:r w:rsidR="007317AC">
        <w:t xml:space="preserve"> deny building permits </w:t>
      </w:r>
      <w:r w:rsidR="007B549E">
        <w:t xml:space="preserve">for multiple dwellings on these lists. </w:t>
      </w:r>
    </w:p>
    <w:p w14:paraId="5EC22EF2" w14:textId="41E93595" w:rsidR="00B4027B" w:rsidRDefault="00B4027B" w:rsidP="00013298">
      <w:pPr>
        <w:spacing w:before="100" w:beforeAutospacing="1"/>
      </w:pPr>
      <w:r w:rsidRPr="00DC06FB">
        <w:t xml:space="preserve">The bill </w:t>
      </w:r>
      <w:r>
        <w:t>would provide</w:t>
      </w:r>
      <w:r w:rsidRPr="00DC06FB">
        <w:t xml:space="preserve"> certain exceptions to this prohibition, such as</w:t>
      </w:r>
      <w:r>
        <w:t xml:space="preserve"> </w:t>
      </w:r>
      <w:r w:rsidR="00310565">
        <w:t xml:space="preserve">for </w:t>
      </w:r>
      <w:r w:rsidRPr="00B4027B">
        <w:t xml:space="preserve">condominiums or cooperatives, and </w:t>
      </w:r>
      <w:r>
        <w:t>would exempt</w:t>
      </w:r>
      <w:r w:rsidRPr="00B4027B">
        <w:t xml:space="preserve"> permits sought to correct outstanding DOB or </w:t>
      </w:r>
      <w:r>
        <w:t>Department of Housing Preservation and Development (</w:t>
      </w:r>
      <w:r w:rsidRPr="00B4027B">
        <w:t>HPD</w:t>
      </w:r>
      <w:r>
        <w:t>)</w:t>
      </w:r>
      <w:r w:rsidRPr="00B4027B">
        <w:t xml:space="preserve"> violations, permits necessary to protect public health and safety, properties that are the subject of certain court proceedings, and permits required for certain DOB or HPD programs.</w:t>
      </w:r>
    </w:p>
    <w:p w14:paraId="5A8FD074" w14:textId="77777777" w:rsidR="00577CF7" w:rsidRPr="007A41B9" w:rsidRDefault="00577CF7" w:rsidP="00013298">
      <w:pPr>
        <w:rPr>
          <w:rFonts w:eastAsia="Calibri"/>
        </w:rPr>
      </w:pPr>
    </w:p>
    <w:p w14:paraId="5A3CEA79" w14:textId="20F96965" w:rsidR="00577CF7" w:rsidRDefault="00577CF7" w:rsidP="00577CF7">
      <w:pPr>
        <w:pStyle w:val="FlushLeft"/>
        <w:rPr>
          <w:spacing w:val="-3"/>
        </w:rPr>
      </w:pPr>
      <w:r w:rsidRPr="00012730">
        <w:rPr>
          <w:b/>
          <w:smallCaps/>
        </w:rPr>
        <w:t>Effective Date:</w:t>
      </w:r>
      <w:r>
        <w:t xml:space="preserve"> </w:t>
      </w:r>
      <w:r w:rsidRPr="00937CEC">
        <w:rPr>
          <w:spacing w:val="-3"/>
        </w:rPr>
        <w:t xml:space="preserve">This local law </w:t>
      </w:r>
      <w:r>
        <w:rPr>
          <w:spacing w:val="-3"/>
        </w:rPr>
        <w:t>would take</w:t>
      </w:r>
      <w:r w:rsidR="00686840">
        <w:rPr>
          <w:spacing w:val="-3"/>
        </w:rPr>
        <w:t xml:space="preserve"> effect 210</w:t>
      </w:r>
      <w:r w:rsidRPr="00937CEC">
        <w:rPr>
          <w:spacing w:val="-3"/>
        </w:rPr>
        <w:t xml:space="preserve"> days after i</w:t>
      </w:r>
      <w:r>
        <w:rPr>
          <w:spacing w:val="-3"/>
        </w:rPr>
        <w:t xml:space="preserve">t becomes law, except that the </w:t>
      </w:r>
      <w:r w:rsidR="0008237E">
        <w:rPr>
          <w:spacing w:val="-3"/>
        </w:rPr>
        <w:t xml:space="preserve">DOB </w:t>
      </w:r>
      <w:r>
        <w:rPr>
          <w:spacing w:val="-3"/>
        </w:rPr>
        <w:t xml:space="preserve">Commissioner </w:t>
      </w:r>
      <w:r w:rsidRPr="00937CEC">
        <w:rPr>
          <w:spacing w:val="-3"/>
        </w:rPr>
        <w:t>may take such measures as are necessary for its implementation, including the promulgation of rules, before such date.</w:t>
      </w:r>
    </w:p>
    <w:p w14:paraId="6DFC1938" w14:textId="77777777" w:rsidR="00577CF7" w:rsidRPr="00012730" w:rsidRDefault="00577CF7" w:rsidP="00577CF7">
      <w:pPr>
        <w:pStyle w:val="FlushLeft"/>
      </w:pPr>
      <w:r w:rsidRPr="00012730">
        <w:rPr>
          <w:b/>
          <w:smallCaps/>
        </w:rPr>
        <w:t>Fiscal Year In Which Full Fiscal Impact Anticipated:</w:t>
      </w:r>
      <w:r>
        <w:t xml:space="preserve"> Fiscal 2021</w:t>
      </w:r>
    </w:p>
    <w:p w14:paraId="7B605D72" w14:textId="77777777" w:rsidR="00577CF7" w:rsidRDefault="00577CF7" w:rsidP="00577CF7">
      <w:pPr>
        <w:pBdr>
          <w:top w:val="single" w:sz="4" w:space="1" w:color="auto"/>
        </w:pBdr>
        <w:spacing w:before="240"/>
        <w:rPr>
          <w:b/>
          <w:smallCaps/>
        </w:rPr>
      </w:pPr>
      <w:r w:rsidRPr="00012730">
        <w:rPr>
          <w:b/>
          <w:smallCaps/>
        </w:rPr>
        <w:t>Fiscal Impact Statement:</w:t>
      </w:r>
    </w:p>
    <w:p w14:paraId="3AEDD207" w14:textId="77777777" w:rsidR="00577CF7" w:rsidRPr="00012730" w:rsidRDefault="00577CF7" w:rsidP="00577CF7">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577CF7" w:rsidRPr="00012730" w14:paraId="6CF17770" w14:textId="77777777" w:rsidTr="00947D37">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509F3ADF" w14:textId="77777777" w:rsidR="00577CF7" w:rsidRPr="001A6C74" w:rsidRDefault="00577CF7" w:rsidP="00947D37">
            <w:pPr>
              <w:spacing w:line="201" w:lineRule="exact"/>
              <w:jc w:val="center"/>
              <w:rPr>
                <w:sz w:val="22"/>
                <w:szCs w:val="22"/>
              </w:rPr>
            </w:pPr>
          </w:p>
          <w:p w14:paraId="07A25F2C" w14:textId="77777777" w:rsidR="00577CF7" w:rsidRPr="001A6C74" w:rsidRDefault="00577CF7" w:rsidP="00947D37">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B29CC82" w14:textId="77777777" w:rsidR="00577CF7" w:rsidRPr="001A6C74" w:rsidRDefault="00577CF7" w:rsidP="00947D37">
            <w:pPr>
              <w:jc w:val="center"/>
              <w:rPr>
                <w:b/>
                <w:bCs/>
                <w:sz w:val="22"/>
                <w:szCs w:val="22"/>
              </w:rPr>
            </w:pPr>
            <w:r>
              <w:rPr>
                <w:b/>
                <w:bCs/>
                <w:sz w:val="22"/>
                <w:szCs w:val="22"/>
              </w:rPr>
              <w:t>Effective FY20</w:t>
            </w:r>
          </w:p>
          <w:p w14:paraId="0D9799E8" w14:textId="77777777" w:rsidR="00577CF7" w:rsidRPr="001A6C74" w:rsidRDefault="00577CF7" w:rsidP="00947D37">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BF8045E" w14:textId="77777777" w:rsidR="00577CF7" w:rsidRPr="001A6C74" w:rsidRDefault="00577CF7" w:rsidP="00947D37">
            <w:pPr>
              <w:jc w:val="center"/>
              <w:rPr>
                <w:b/>
                <w:bCs/>
                <w:sz w:val="22"/>
                <w:szCs w:val="22"/>
              </w:rPr>
            </w:pPr>
            <w:r>
              <w:rPr>
                <w:b/>
                <w:bCs/>
                <w:sz w:val="22"/>
                <w:szCs w:val="22"/>
              </w:rPr>
              <w:t>FY Succeeding Effective FY21</w:t>
            </w:r>
          </w:p>
        </w:tc>
        <w:tc>
          <w:tcPr>
            <w:tcW w:w="1754" w:type="dxa"/>
            <w:tcBorders>
              <w:top w:val="double" w:sz="7" w:space="0" w:color="000000"/>
              <w:left w:val="single" w:sz="7" w:space="0" w:color="000000"/>
              <w:bottom w:val="single" w:sz="6" w:space="0" w:color="FFFFFF"/>
              <w:right w:val="double" w:sz="7" w:space="0" w:color="000000"/>
            </w:tcBorders>
            <w:vAlign w:val="center"/>
          </w:tcPr>
          <w:p w14:paraId="44CC4EA2" w14:textId="77777777" w:rsidR="00577CF7" w:rsidRPr="001A6C74" w:rsidRDefault="00577CF7" w:rsidP="00947D37">
            <w:pPr>
              <w:jc w:val="center"/>
              <w:rPr>
                <w:b/>
                <w:bCs/>
                <w:sz w:val="22"/>
                <w:szCs w:val="22"/>
              </w:rPr>
            </w:pPr>
            <w:r w:rsidRPr="001A6C74">
              <w:rPr>
                <w:b/>
                <w:bCs/>
                <w:sz w:val="22"/>
                <w:szCs w:val="22"/>
              </w:rPr>
              <w:t xml:space="preserve">Full Fiscal </w:t>
            </w:r>
            <w:r>
              <w:rPr>
                <w:b/>
                <w:bCs/>
                <w:sz w:val="22"/>
                <w:szCs w:val="22"/>
              </w:rPr>
              <w:t>Impact FY21</w:t>
            </w:r>
          </w:p>
        </w:tc>
      </w:tr>
      <w:tr w:rsidR="00577CF7" w:rsidRPr="00012730" w14:paraId="7D632FAC" w14:textId="77777777" w:rsidTr="00947D37">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67FF4AF" w14:textId="77777777" w:rsidR="00577CF7" w:rsidRPr="001A6C74" w:rsidRDefault="00577CF7" w:rsidP="00947D37">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5DA8DC0" w14:textId="3C9A8E86" w:rsidR="00577CF7" w:rsidRPr="001A6C74" w:rsidRDefault="00C570AF">
            <w:pPr>
              <w:jc w:val="center"/>
              <w:rPr>
                <w:bCs/>
                <w:sz w:val="22"/>
                <w:szCs w:val="22"/>
              </w:rPr>
            </w:pPr>
            <w:r>
              <w:rPr>
                <w:bCs/>
                <w:sz w:val="22"/>
                <w:szCs w:val="22"/>
              </w:rPr>
              <w:t xml:space="preserve">De </w:t>
            </w:r>
            <w:proofErr w:type="spellStart"/>
            <w:r>
              <w:rPr>
                <w:bCs/>
                <w:sz w:val="22"/>
                <w:szCs w:val="22"/>
              </w:rPr>
              <w:t>minimis</w:t>
            </w:r>
            <w:proofErr w:type="spellEnd"/>
            <w:r w:rsidR="00577CF7">
              <w:rPr>
                <w:bCs/>
                <w:sz w:val="22"/>
                <w:szCs w:val="22"/>
              </w:rPr>
              <w:t xml:space="preserve"> </w:t>
            </w:r>
          </w:p>
        </w:tc>
        <w:tc>
          <w:tcPr>
            <w:tcW w:w="1754" w:type="dxa"/>
            <w:tcBorders>
              <w:top w:val="single" w:sz="7" w:space="0" w:color="000000"/>
              <w:left w:val="single" w:sz="7" w:space="0" w:color="000000"/>
              <w:bottom w:val="single" w:sz="6" w:space="0" w:color="FFFFFF"/>
              <w:right w:val="single" w:sz="6" w:space="0" w:color="FFFFFF"/>
            </w:tcBorders>
          </w:tcPr>
          <w:p w14:paraId="5C7CF715" w14:textId="105A7AC8" w:rsidR="00577CF7" w:rsidRDefault="00C570AF" w:rsidP="00947D37">
            <w:pPr>
              <w:jc w:val="center"/>
            </w:pPr>
            <w:r>
              <w:rPr>
                <w:bCs/>
                <w:sz w:val="22"/>
                <w:szCs w:val="22"/>
              </w:rPr>
              <w:t xml:space="preserve">De </w:t>
            </w:r>
            <w:proofErr w:type="spellStart"/>
            <w:r>
              <w:rPr>
                <w:bCs/>
                <w:sz w:val="22"/>
                <w:szCs w:val="22"/>
              </w:rPr>
              <w:t>minimis</w:t>
            </w:r>
            <w:proofErr w:type="spellEnd"/>
          </w:p>
        </w:tc>
        <w:tc>
          <w:tcPr>
            <w:tcW w:w="1754" w:type="dxa"/>
            <w:tcBorders>
              <w:top w:val="single" w:sz="7" w:space="0" w:color="000000"/>
              <w:left w:val="single" w:sz="7" w:space="0" w:color="000000"/>
              <w:bottom w:val="single" w:sz="6" w:space="0" w:color="FFFFFF"/>
              <w:right w:val="double" w:sz="7" w:space="0" w:color="000000"/>
            </w:tcBorders>
          </w:tcPr>
          <w:p w14:paraId="411FD60B" w14:textId="7A2504CC" w:rsidR="00577CF7" w:rsidRDefault="00C570AF" w:rsidP="00947D37">
            <w:pPr>
              <w:jc w:val="center"/>
            </w:pPr>
            <w:r>
              <w:rPr>
                <w:bCs/>
                <w:sz w:val="22"/>
                <w:szCs w:val="22"/>
              </w:rPr>
              <w:t xml:space="preserve">De </w:t>
            </w:r>
            <w:proofErr w:type="spellStart"/>
            <w:r>
              <w:rPr>
                <w:bCs/>
                <w:sz w:val="22"/>
                <w:szCs w:val="22"/>
              </w:rPr>
              <w:t>minimis</w:t>
            </w:r>
            <w:proofErr w:type="spellEnd"/>
          </w:p>
        </w:tc>
      </w:tr>
      <w:tr w:rsidR="00577CF7" w:rsidRPr="00B56409" w14:paraId="40E64702" w14:textId="77777777" w:rsidTr="00947D37">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6128C4DB" w14:textId="77777777" w:rsidR="00577CF7" w:rsidRPr="001A6C74" w:rsidRDefault="00577CF7" w:rsidP="00947D37">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414EAA2" w14:textId="77777777" w:rsidR="00577CF7" w:rsidRPr="00B56409" w:rsidRDefault="00577CF7" w:rsidP="00947D37">
            <w:pPr>
              <w:jc w:val="center"/>
              <w:rPr>
                <w:bCs/>
                <w:sz w:val="22"/>
                <w:szCs w:val="22"/>
              </w:rPr>
            </w:pPr>
            <w:r>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tcPr>
          <w:p w14:paraId="617A4A53" w14:textId="77777777" w:rsidR="00577CF7" w:rsidRDefault="00577CF7" w:rsidP="00947D37">
            <w:pPr>
              <w:jc w:val="center"/>
            </w:pPr>
            <w:r w:rsidRPr="00932BFA">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tcPr>
          <w:p w14:paraId="2B824D90" w14:textId="77777777" w:rsidR="00577CF7" w:rsidRDefault="00577CF7" w:rsidP="00947D37">
            <w:pPr>
              <w:jc w:val="center"/>
            </w:pPr>
            <w:r w:rsidRPr="00932BFA">
              <w:rPr>
                <w:bCs/>
                <w:sz w:val="22"/>
                <w:szCs w:val="22"/>
              </w:rPr>
              <w:t>$0</w:t>
            </w:r>
          </w:p>
        </w:tc>
      </w:tr>
      <w:tr w:rsidR="00577CF7" w:rsidRPr="00012730" w14:paraId="568DF965" w14:textId="77777777" w:rsidTr="00947D37">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5D3EEC52" w14:textId="77777777" w:rsidR="00577CF7" w:rsidRPr="001A6C74" w:rsidRDefault="00577CF7" w:rsidP="00947D37">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51FCE266" w14:textId="79360483" w:rsidR="00577CF7" w:rsidRDefault="00C570AF" w:rsidP="00947D37">
            <w:pPr>
              <w:jc w:val="center"/>
            </w:pPr>
            <w:r>
              <w:rPr>
                <w:bCs/>
                <w:sz w:val="22"/>
                <w:szCs w:val="22"/>
              </w:rPr>
              <w:t xml:space="preserve">De </w:t>
            </w:r>
            <w:proofErr w:type="spellStart"/>
            <w:r>
              <w:rPr>
                <w:bCs/>
                <w:sz w:val="22"/>
                <w:szCs w:val="22"/>
              </w:rPr>
              <w:t>minimis</w:t>
            </w:r>
            <w:proofErr w:type="spellEnd"/>
          </w:p>
        </w:tc>
        <w:tc>
          <w:tcPr>
            <w:tcW w:w="1754" w:type="dxa"/>
            <w:tcBorders>
              <w:top w:val="single" w:sz="7" w:space="0" w:color="000000"/>
              <w:left w:val="single" w:sz="7" w:space="0" w:color="000000"/>
              <w:bottom w:val="single" w:sz="7" w:space="0" w:color="000000"/>
              <w:right w:val="single" w:sz="6" w:space="0" w:color="FFFFFF"/>
            </w:tcBorders>
          </w:tcPr>
          <w:p w14:paraId="6D86505F" w14:textId="2857FFEA" w:rsidR="00577CF7" w:rsidRDefault="00C570AF" w:rsidP="00947D37">
            <w:pPr>
              <w:jc w:val="center"/>
            </w:pPr>
            <w:r>
              <w:rPr>
                <w:bCs/>
                <w:sz w:val="22"/>
                <w:szCs w:val="22"/>
              </w:rPr>
              <w:t xml:space="preserve">De </w:t>
            </w:r>
            <w:proofErr w:type="spellStart"/>
            <w:r>
              <w:rPr>
                <w:bCs/>
                <w:sz w:val="22"/>
                <w:szCs w:val="22"/>
              </w:rPr>
              <w:t>minimis</w:t>
            </w:r>
            <w:proofErr w:type="spellEnd"/>
          </w:p>
        </w:tc>
        <w:tc>
          <w:tcPr>
            <w:tcW w:w="1754" w:type="dxa"/>
            <w:tcBorders>
              <w:top w:val="single" w:sz="7" w:space="0" w:color="000000"/>
              <w:left w:val="single" w:sz="7" w:space="0" w:color="000000"/>
              <w:bottom w:val="single" w:sz="7" w:space="0" w:color="000000"/>
              <w:right w:val="double" w:sz="7" w:space="0" w:color="000000"/>
            </w:tcBorders>
          </w:tcPr>
          <w:p w14:paraId="54C64D3D" w14:textId="53018441" w:rsidR="00577CF7" w:rsidRDefault="00C570AF" w:rsidP="00947D37">
            <w:pPr>
              <w:jc w:val="center"/>
            </w:pPr>
            <w:r>
              <w:rPr>
                <w:bCs/>
                <w:sz w:val="22"/>
                <w:szCs w:val="22"/>
              </w:rPr>
              <w:t xml:space="preserve">De </w:t>
            </w:r>
            <w:proofErr w:type="spellStart"/>
            <w:r>
              <w:rPr>
                <w:bCs/>
                <w:sz w:val="22"/>
                <w:szCs w:val="22"/>
              </w:rPr>
              <w:t>minimis</w:t>
            </w:r>
            <w:proofErr w:type="spellEnd"/>
          </w:p>
        </w:tc>
      </w:tr>
    </w:tbl>
    <w:p w14:paraId="1FA58889" w14:textId="77777777" w:rsidR="005B39E6" w:rsidRPr="00012730" w:rsidRDefault="005B39E6" w:rsidP="005B39E6">
      <w:pPr>
        <w:spacing w:before="120"/>
      </w:pPr>
    </w:p>
    <w:p w14:paraId="2C73B860" w14:textId="77777777" w:rsidR="000711F8" w:rsidRDefault="005B39E6" w:rsidP="000711F8">
      <w:r w:rsidRPr="00012730">
        <w:rPr>
          <w:b/>
          <w:smallCaps/>
        </w:rPr>
        <w:t xml:space="preserve">Impact on Revenues: </w:t>
      </w:r>
      <w:r>
        <w:rPr>
          <w:b/>
          <w:smallCaps/>
        </w:rPr>
        <w:t xml:space="preserve"> </w:t>
      </w:r>
      <w:r w:rsidR="000711F8" w:rsidRPr="00551912">
        <w:t xml:space="preserve">DOB collects revenue from </w:t>
      </w:r>
      <w:r w:rsidR="000711F8">
        <w:t xml:space="preserve">the issuance of building permits, including new buildings and major and minor alterations to existing buildings. </w:t>
      </w:r>
      <w:r w:rsidR="000711F8" w:rsidRPr="003B7B1F">
        <w:t>According to information availabl</w:t>
      </w:r>
      <w:r w:rsidR="000711F8">
        <w:t>e on NYC Open Data, from January 2018</w:t>
      </w:r>
      <w:r w:rsidR="000711F8" w:rsidRPr="003B7B1F">
        <w:t xml:space="preserve"> to </w:t>
      </w:r>
      <w:r w:rsidR="000711F8">
        <w:t xml:space="preserve">December 2018, DOB issued approximately 97,824 building permits for major and minor alterations of existing buildings. Of these, 89,320 permits were issued </w:t>
      </w:r>
      <w:r w:rsidR="003F348D">
        <w:t>to</w:t>
      </w:r>
      <w:r w:rsidR="000711F8">
        <w:t xml:space="preserve"> residential buildings. In 2018, on average, each permit issued by DOB generated about $1,704 in revenue for the City. However, due to data limitations, it is not known how many</w:t>
      </w:r>
      <w:r w:rsidR="00DD2A36">
        <w:t xml:space="preserve"> </w:t>
      </w:r>
      <w:r w:rsidR="005300BD">
        <w:t xml:space="preserve">multiple dwellings </w:t>
      </w:r>
      <w:r w:rsidR="00BD0F21">
        <w:t xml:space="preserve">would be captured under the violation criteria </w:t>
      </w:r>
      <w:r w:rsidR="004C798A">
        <w:t xml:space="preserve">outlined under the bill. </w:t>
      </w:r>
      <w:r w:rsidR="000711F8">
        <w:t xml:space="preserve">In addition, it is not known how many building owners might be denied a building permit in accordance with the legislation. To the extent that this legislation would cause an entity to be denied a permit it would have received in the absence of this legislation, this would result in a loss of revenue to the City. </w:t>
      </w:r>
      <w:r w:rsidR="000711F8" w:rsidRPr="007B4782">
        <w:t xml:space="preserve">Assuming the number of </w:t>
      </w:r>
      <w:r w:rsidR="000711F8">
        <w:t>permits issued</w:t>
      </w:r>
      <w:r w:rsidR="000711F8" w:rsidRPr="007B4782">
        <w:t xml:space="preserve"> </w:t>
      </w:r>
      <w:r w:rsidR="000711F8">
        <w:t xml:space="preserve">and the collection rate </w:t>
      </w:r>
      <w:r w:rsidR="000711F8" w:rsidRPr="007B4782">
        <w:t xml:space="preserve">remains relatively constant, it is estimated that foregone </w:t>
      </w:r>
      <w:r w:rsidR="000711F8" w:rsidRPr="007B4782">
        <w:lastRenderedPageBreak/>
        <w:t xml:space="preserve">revenue </w:t>
      </w:r>
      <w:r w:rsidR="000711F8">
        <w:t xml:space="preserve">from qualifying owners </w:t>
      </w:r>
      <w:r w:rsidR="00074121">
        <w:t xml:space="preserve">under this legislation </w:t>
      </w:r>
      <w:r w:rsidR="000711F8" w:rsidRPr="003C00D5">
        <w:t xml:space="preserve">would </w:t>
      </w:r>
      <w:r w:rsidR="000711F8">
        <w:t>result in</w:t>
      </w:r>
      <w:r w:rsidR="000711F8" w:rsidRPr="00087B67">
        <w:t xml:space="preserve"> minimal to no impact on </w:t>
      </w:r>
      <w:r w:rsidR="000711F8">
        <w:t>revenues</w:t>
      </w:r>
      <w:r w:rsidR="000711F8" w:rsidRPr="00087B67">
        <w:t xml:space="preserve"> </w:t>
      </w:r>
      <w:r w:rsidR="00C172E4">
        <w:t>following</w:t>
      </w:r>
      <w:r w:rsidR="000711F8" w:rsidRPr="00087B67">
        <w:t xml:space="preserve"> the enactment of this legislation</w:t>
      </w:r>
      <w:r w:rsidR="000711F8">
        <w:t xml:space="preserve">. </w:t>
      </w:r>
    </w:p>
    <w:p w14:paraId="6E751516" w14:textId="77777777" w:rsidR="005B39E6" w:rsidRPr="00DC06FB" w:rsidRDefault="005B39E6" w:rsidP="005B39E6">
      <w:pPr>
        <w:spacing w:before="240"/>
      </w:pPr>
      <w:r w:rsidRPr="005D3344">
        <w:rPr>
          <w:b/>
          <w:smallCaps/>
        </w:rPr>
        <w:t>Impact on Expenditures:</w:t>
      </w:r>
      <w:r w:rsidRPr="005D3344">
        <w:t xml:space="preserve"> </w:t>
      </w:r>
      <w:r w:rsidRPr="009657E1">
        <w:t xml:space="preserve">It is </w:t>
      </w:r>
      <w:r>
        <w:t xml:space="preserve">estimated </w:t>
      </w:r>
      <w:r w:rsidRPr="009657E1">
        <w:t>that there would be no impact on expenditures resulting from the enactment of this legislation because existing resources would be used by DOB to implement the provisions of this local law.</w:t>
      </w:r>
    </w:p>
    <w:p w14:paraId="1CB6E182" w14:textId="77777777" w:rsidR="005B39E6" w:rsidRDefault="005B39E6" w:rsidP="005B39E6">
      <w:pPr>
        <w:spacing w:before="240"/>
      </w:pPr>
      <w:r w:rsidRPr="00012730">
        <w:rPr>
          <w:b/>
          <w:smallCaps/>
        </w:rPr>
        <w:t>Source of Funds To Cover Estimated Costs:</w:t>
      </w:r>
      <w:r>
        <w:t xml:space="preserve"> General Fund</w:t>
      </w:r>
    </w:p>
    <w:p w14:paraId="2EF5FD16" w14:textId="77777777" w:rsidR="005B39E6" w:rsidRDefault="005B39E6" w:rsidP="005B39E6">
      <w:pPr>
        <w:pStyle w:val="NoSpacing"/>
        <w:rPr>
          <w:b/>
          <w:smallCaps/>
        </w:rPr>
      </w:pPr>
    </w:p>
    <w:p w14:paraId="2DFB0C0F" w14:textId="3745AA72" w:rsidR="005B39E6" w:rsidRDefault="005B39E6" w:rsidP="005B39E6">
      <w:pPr>
        <w:pStyle w:val="NoSpacing"/>
      </w:pPr>
      <w:r w:rsidRPr="00ED532F">
        <w:rPr>
          <w:b/>
          <w:smallCaps/>
        </w:rPr>
        <w:t>Source of Information:</w:t>
      </w:r>
      <w:r w:rsidRPr="00ED532F">
        <w:t xml:space="preserve">  </w:t>
      </w:r>
      <w:r w:rsidR="00F705C4">
        <w:tab/>
      </w:r>
      <w:r w:rsidRPr="00ED532F">
        <w:t>New</w:t>
      </w:r>
      <w:r w:rsidRPr="006941EE">
        <w:t xml:space="preserve"> York City Council Finance Division</w:t>
      </w:r>
      <w:r w:rsidRPr="00BD56AF">
        <w:tab/>
      </w:r>
    </w:p>
    <w:p w14:paraId="130A77D7" w14:textId="06A8A904" w:rsidR="005B39E6" w:rsidRDefault="005B39E6" w:rsidP="005B39E6">
      <w:pPr>
        <w:pStyle w:val="NoSpacing"/>
      </w:pPr>
      <w:r>
        <w:tab/>
      </w:r>
      <w:r>
        <w:tab/>
      </w:r>
      <w:r>
        <w:tab/>
        <w:t xml:space="preserve">           </w:t>
      </w:r>
      <w:r w:rsidR="00F705C4">
        <w:tab/>
      </w:r>
      <w:r>
        <w:t xml:space="preserve">Department of Buildings </w:t>
      </w:r>
    </w:p>
    <w:p w14:paraId="13A42529" w14:textId="0F68AA84" w:rsidR="005B39E6" w:rsidRDefault="005B39E6" w:rsidP="005B39E6">
      <w:pPr>
        <w:pStyle w:val="NoSpacing"/>
      </w:pPr>
      <w:r>
        <w:tab/>
      </w:r>
      <w:r>
        <w:tab/>
      </w:r>
      <w:r>
        <w:tab/>
        <w:t xml:space="preserve">           </w:t>
      </w:r>
      <w:r w:rsidR="00F705C4">
        <w:tab/>
      </w:r>
      <w:r>
        <w:t xml:space="preserve">NYC Open Data </w:t>
      </w:r>
    </w:p>
    <w:p w14:paraId="1B325643" w14:textId="77777777" w:rsidR="005B39E6" w:rsidRDefault="005B39E6" w:rsidP="005B39E6">
      <w:pPr>
        <w:pStyle w:val="NoSpacing"/>
        <w:rPr>
          <w:b/>
          <w:color w:val="FF0000"/>
        </w:rPr>
      </w:pPr>
      <w:r>
        <w:tab/>
      </w:r>
      <w:r>
        <w:tab/>
      </w:r>
      <w:r>
        <w:tab/>
        <w:t xml:space="preserve">            </w:t>
      </w:r>
      <w:r>
        <w:tab/>
      </w:r>
      <w:r>
        <w:tab/>
      </w:r>
      <w:r>
        <w:tab/>
      </w:r>
      <w:r w:rsidRPr="000B41A6">
        <w:rPr>
          <w:b/>
          <w:color w:val="FF0000"/>
        </w:rPr>
        <w:t xml:space="preserve">         </w:t>
      </w:r>
    </w:p>
    <w:p w14:paraId="7523FCF0" w14:textId="77777777" w:rsidR="005B39E6" w:rsidRPr="00012730" w:rsidRDefault="005B39E6" w:rsidP="005B39E6">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14:paraId="00AB70A9" w14:textId="77777777" w:rsidR="005B39E6" w:rsidRPr="00012730" w:rsidRDefault="005B39E6" w:rsidP="005B39E6">
      <w:r w:rsidRPr="00012730">
        <w:rPr>
          <w:b/>
          <w:smallCaps/>
        </w:rPr>
        <w:tab/>
      </w:r>
      <w:r w:rsidRPr="00012730">
        <w:rPr>
          <w:b/>
          <w:smallCaps/>
        </w:rPr>
        <w:tab/>
      </w:r>
      <w:r w:rsidRPr="00012730">
        <w:rPr>
          <w:b/>
          <w:smallCaps/>
        </w:rPr>
        <w:tab/>
      </w:r>
      <w:r w:rsidRPr="00012730">
        <w:rPr>
          <w:b/>
          <w:smallCaps/>
        </w:rPr>
        <w:tab/>
      </w:r>
      <w:r w:rsidRPr="00012730">
        <w:rPr>
          <w:b/>
          <w:smallCaps/>
        </w:rPr>
        <w:tab/>
      </w:r>
    </w:p>
    <w:p w14:paraId="4C0DC568" w14:textId="77777777" w:rsidR="005B39E6" w:rsidRDefault="005B39E6" w:rsidP="005B39E6">
      <w:pPr>
        <w:rPr>
          <w:b/>
          <w:smallCaps/>
        </w:rPr>
      </w:pPr>
      <w:r w:rsidRPr="00012730">
        <w:rPr>
          <w:b/>
          <w:smallCaps/>
        </w:rPr>
        <w:t xml:space="preserve">Estimated Reviewed </w:t>
      </w:r>
      <w:r>
        <w:rPr>
          <w:b/>
          <w:smallCaps/>
        </w:rPr>
        <w:t>b</w:t>
      </w:r>
      <w:r w:rsidRPr="00012730">
        <w:rPr>
          <w:b/>
          <w:smallCaps/>
        </w:rPr>
        <w:t>y:</w:t>
      </w:r>
      <w:r w:rsidRPr="00012730">
        <w:rPr>
          <w:b/>
          <w:smallCaps/>
        </w:rPr>
        <w:tab/>
      </w:r>
      <w:r>
        <w:t>Chima Obichere</w:t>
      </w:r>
      <w:r w:rsidRPr="00012730">
        <w:t xml:space="preserve">, </w:t>
      </w:r>
      <w:r>
        <w:t>Unit Head</w:t>
      </w:r>
    </w:p>
    <w:p w14:paraId="475B0198" w14:textId="77777777" w:rsidR="005B39E6" w:rsidRDefault="005B39E6" w:rsidP="005B39E6">
      <w:pPr>
        <w:ind w:left="2160" w:firstLine="720"/>
      </w:pPr>
      <w:r>
        <w:t>Noah Brick, Assistant Counsel</w:t>
      </w:r>
    </w:p>
    <w:p w14:paraId="09590F38" w14:textId="77777777" w:rsidR="005B39E6" w:rsidRDefault="005B39E6" w:rsidP="005B39E6">
      <w:pPr>
        <w:rPr>
          <w:b/>
          <w:smallCaps/>
        </w:rPr>
      </w:pPr>
    </w:p>
    <w:p w14:paraId="38A99982" w14:textId="77777777" w:rsidR="005B39E6" w:rsidRPr="00CC7A88" w:rsidRDefault="005B39E6" w:rsidP="005B39E6">
      <w:r w:rsidRPr="00012730">
        <w:rPr>
          <w:b/>
          <w:smallCaps/>
        </w:rPr>
        <w:t>Legislative History:</w:t>
      </w:r>
      <w:r>
        <w:t xml:space="preserve"> </w:t>
      </w:r>
      <w:r w:rsidRPr="00CE66C1">
        <w:t xml:space="preserve">This legislation was introduced to the full </w:t>
      </w:r>
      <w:r>
        <w:t>C</w:t>
      </w:r>
      <w:r w:rsidRPr="00CE66C1">
        <w:t>ouncil on</w:t>
      </w:r>
      <w:r>
        <w:t xml:space="preserve"> </w:t>
      </w:r>
      <w:r w:rsidR="00577CF7">
        <w:t>June 7</w:t>
      </w:r>
      <w:r>
        <w:t xml:space="preserve">, 2018 </w:t>
      </w:r>
      <w:r w:rsidRPr="00CE66C1">
        <w:t>as Intro.</w:t>
      </w:r>
      <w:r>
        <w:t xml:space="preserve"> No.</w:t>
      </w:r>
      <w:r w:rsidRPr="00CE66C1">
        <w:t xml:space="preserve"> </w:t>
      </w:r>
      <w:r w:rsidR="00577CF7">
        <w:t>9</w:t>
      </w:r>
      <w:r>
        <w:t xml:space="preserve">75 </w:t>
      </w:r>
      <w:r w:rsidRPr="00CE66C1">
        <w:t>and was referred to the Committee on Housing and Buildings</w:t>
      </w:r>
      <w:r>
        <w:t xml:space="preserve"> (Committee)</w:t>
      </w:r>
      <w:r w:rsidRPr="00CE66C1">
        <w:t xml:space="preserve">. </w:t>
      </w:r>
      <w:r>
        <w:t xml:space="preserve">A </w:t>
      </w:r>
      <w:r w:rsidRPr="00CC7A88">
        <w:t>hearing was held by the</w:t>
      </w:r>
      <w:r>
        <w:t xml:space="preserve"> </w:t>
      </w:r>
      <w:r w:rsidRPr="00CC7A88">
        <w:t>Com</w:t>
      </w:r>
      <w:r>
        <w:t xml:space="preserve">mittee </w:t>
      </w:r>
      <w:r w:rsidRPr="00CC7A88">
        <w:t xml:space="preserve">on </w:t>
      </w:r>
      <w:r>
        <w:t xml:space="preserve">December 13, 2018, </w:t>
      </w:r>
      <w:r w:rsidRPr="00CC7A88">
        <w:t>and the bill was laid over. The legislation was</w:t>
      </w:r>
      <w:r>
        <w:t xml:space="preserve"> subsequently</w:t>
      </w:r>
      <w:r w:rsidRPr="00CC7A88">
        <w:t xml:space="preserve"> amended, and the amended version, Proposed Intro.</w:t>
      </w:r>
      <w:r>
        <w:t xml:space="preserve"> No.</w:t>
      </w:r>
      <w:r w:rsidRPr="00CC7A88">
        <w:t xml:space="preserve"> </w:t>
      </w:r>
      <w:r w:rsidR="00577CF7">
        <w:t>9</w:t>
      </w:r>
      <w:r>
        <w:t>75</w:t>
      </w:r>
      <w:r w:rsidRPr="00CC7A88">
        <w:t>-A, will be</w:t>
      </w:r>
      <w:r>
        <w:t xml:space="preserve"> </w:t>
      </w:r>
      <w:r w:rsidRPr="004C10C3">
        <w:t xml:space="preserve">considered by the </w:t>
      </w:r>
      <w:r w:rsidRPr="006F4129">
        <w:t xml:space="preserve">Committee on </w:t>
      </w:r>
      <w:r w:rsidR="00577CF7">
        <w:t xml:space="preserve">May </w:t>
      </w:r>
      <w:r w:rsidRPr="006F4129">
        <w:t>7, 2019. Upon</w:t>
      </w:r>
      <w:r>
        <w:t xml:space="preserve"> </w:t>
      </w:r>
      <w:r w:rsidRPr="004C10C3">
        <w:t xml:space="preserve">a successful </w:t>
      </w:r>
      <w:r>
        <w:t xml:space="preserve">vote by the </w:t>
      </w:r>
      <w:r w:rsidRPr="004C10C3">
        <w:t xml:space="preserve">Committee, </w:t>
      </w:r>
      <w:r w:rsidRPr="00CC7A88">
        <w:t>Proposed Intro.</w:t>
      </w:r>
      <w:r>
        <w:t xml:space="preserve"> No.</w:t>
      </w:r>
      <w:r w:rsidRPr="00CC7A88">
        <w:t xml:space="preserve"> </w:t>
      </w:r>
      <w:r w:rsidR="00577CF7">
        <w:t>9</w:t>
      </w:r>
      <w:r>
        <w:t>75</w:t>
      </w:r>
      <w:r w:rsidRPr="00CC7A88">
        <w:t>-A</w:t>
      </w:r>
      <w:r w:rsidRPr="004C10C3">
        <w:t xml:space="preserve"> will be submitted to the full Council for a vote on </w:t>
      </w:r>
      <w:r>
        <w:t>May 8, 2019.</w:t>
      </w:r>
    </w:p>
    <w:p w14:paraId="5D72D29D" w14:textId="77777777" w:rsidR="005B39E6" w:rsidRDefault="005B39E6" w:rsidP="005B39E6"/>
    <w:p w14:paraId="1906A854" w14:textId="77777777" w:rsidR="005B39E6" w:rsidRDefault="005B39E6" w:rsidP="005B39E6">
      <w:r>
        <w:rPr>
          <w:b/>
          <w:smallCaps/>
        </w:rPr>
        <w:t>Date</w:t>
      </w:r>
      <w:r w:rsidRPr="00012730">
        <w:rPr>
          <w:b/>
          <w:smallCaps/>
        </w:rPr>
        <w:t xml:space="preserve"> Prepared</w:t>
      </w:r>
      <w:r>
        <w:rPr>
          <w:b/>
          <w:smallCaps/>
        </w:rPr>
        <w:t>:</w:t>
      </w:r>
      <w:r w:rsidRPr="00685FE7">
        <w:t xml:space="preserve"> </w:t>
      </w:r>
      <w:r>
        <w:t>May 5, 2019</w:t>
      </w:r>
    </w:p>
    <w:p w14:paraId="2F746972" w14:textId="77777777" w:rsidR="005B39E6" w:rsidRDefault="005B39E6" w:rsidP="005B39E6"/>
    <w:p w14:paraId="1FFE0678" w14:textId="77777777" w:rsidR="005B39E6" w:rsidRDefault="005B39E6" w:rsidP="005B39E6"/>
    <w:p w14:paraId="6F4AEB14" w14:textId="77777777" w:rsidR="005B39E6" w:rsidRDefault="005B39E6" w:rsidP="005B39E6"/>
    <w:p w14:paraId="28295507" w14:textId="77777777" w:rsidR="005B39E6" w:rsidRDefault="005B39E6" w:rsidP="005B39E6"/>
    <w:p w14:paraId="54AFC3A2" w14:textId="77777777" w:rsidR="005B39E6" w:rsidRDefault="005B39E6" w:rsidP="005B39E6"/>
    <w:p w14:paraId="75F112BD" w14:textId="77777777" w:rsidR="005B39E6" w:rsidRDefault="005B39E6" w:rsidP="005B39E6"/>
    <w:p w14:paraId="3C68C449" w14:textId="77777777" w:rsidR="005B39E6" w:rsidRDefault="005B39E6" w:rsidP="005B39E6"/>
    <w:p w14:paraId="1A3F0674" w14:textId="77777777" w:rsidR="005B39E6" w:rsidRDefault="005B39E6" w:rsidP="005B39E6"/>
    <w:p w14:paraId="7EE7531F" w14:textId="77777777" w:rsidR="006474F4" w:rsidRDefault="00013298"/>
    <w:sectPr w:rsidR="006474F4" w:rsidSect="006A0996">
      <w:headerReference w:type="default" r:id="rId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FD20" w14:textId="77777777" w:rsidR="0057159C" w:rsidRDefault="0057159C" w:rsidP="005B39E6">
      <w:r>
        <w:separator/>
      </w:r>
    </w:p>
  </w:endnote>
  <w:endnote w:type="continuationSeparator" w:id="0">
    <w:p w14:paraId="39908782" w14:textId="77777777" w:rsidR="0057159C" w:rsidRDefault="0057159C" w:rsidP="005B39E6">
      <w:r>
        <w:continuationSeparator/>
      </w:r>
    </w:p>
  </w:endnote>
  <w:endnote w:type="continuationNotice" w:id="1">
    <w:p w14:paraId="60664B4C" w14:textId="77777777" w:rsidR="0057159C" w:rsidRDefault="00571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C056" w14:textId="21E96AA7" w:rsidR="00284CB5" w:rsidRPr="0080234B" w:rsidRDefault="00C172E4">
    <w:pPr>
      <w:pStyle w:val="Footer"/>
      <w:pBdr>
        <w:top w:val="thinThickSmallGap" w:sz="24" w:space="1" w:color="823B0B" w:themeColor="accent2" w:themeShade="7F"/>
      </w:pBdr>
      <w:rPr>
        <w:rFonts w:eastAsiaTheme="majorEastAsia"/>
      </w:rPr>
    </w:pPr>
    <w:r>
      <w:t xml:space="preserve">Proposed Intro. No. </w:t>
    </w:r>
    <w:r w:rsidR="005B39E6">
      <w:t>975</w:t>
    </w:r>
    <w:r w:rsidRPr="0080234B">
      <w:t>-A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013298" w:rsidRPr="00013298">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830CA" w14:textId="77777777" w:rsidR="0057159C" w:rsidRDefault="0057159C" w:rsidP="005B39E6">
      <w:r>
        <w:separator/>
      </w:r>
    </w:p>
  </w:footnote>
  <w:footnote w:type="continuationSeparator" w:id="0">
    <w:p w14:paraId="2DC96828" w14:textId="77777777" w:rsidR="0057159C" w:rsidRDefault="0057159C" w:rsidP="005B39E6">
      <w:r>
        <w:continuationSeparator/>
      </w:r>
    </w:p>
  </w:footnote>
  <w:footnote w:type="continuationNotice" w:id="1">
    <w:p w14:paraId="7508E691" w14:textId="77777777" w:rsidR="0057159C" w:rsidRDefault="005715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AE68" w14:textId="77777777" w:rsidR="00F705C4" w:rsidRDefault="00F70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E6"/>
    <w:rsid w:val="00013298"/>
    <w:rsid w:val="000711F8"/>
    <w:rsid w:val="00074121"/>
    <w:rsid w:val="0008237E"/>
    <w:rsid w:val="000E5F6E"/>
    <w:rsid w:val="00120CA5"/>
    <w:rsid w:val="00154F1F"/>
    <w:rsid w:val="0017796E"/>
    <w:rsid w:val="001C451B"/>
    <w:rsid w:val="001E362F"/>
    <w:rsid w:val="002F2AB1"/>
    <w:rsid w:val="002F35DF"/>
    <w:rsid w:val="003029EC"/>
    <w:rsid w:val="00310565"/>
    <w:rsid w:val="003A69C9"/>
    <w:rsid w:val="003B0A0B"/>
    <w:rsid w:val="003F348D"/>
    <w:rsid w:val="004C798A"/>
    <w:rsid w:val="00517E49"/>
    <w:rsid w:val="005300BD"/>
    <w:rsid w:val="0057159C"/>
    <w:rsid w:val="00575D32"/>
    <w:rsid w:val="00577CF7"/>
    <w:rsid w:val="005B39E6"/>
    <w:rsid w:val="005E5841"/>
    <w:rsid w:val="00665503"/>
    <w:rsid w:val="00686840"/>
    <w:rsid w:val="00714255"/>
    <w:rsid w:val="007317AC"/>
    <w:rsid w:val="00733218"/>
    <w:rsid w:val="00755879"/>
    <w:rsid w:val="007B549E"/>
    <w:rsid w:val="008610BB"/>
    <w:rsid w:val="009373D0"/>
    <w:rsid w:val="00995ECE"/>
    <w:rsid w:val="00A464D0"/>
    <w:rsid w:val="00A96A23"/>
    <w:rsid w:val="00AB3679"/>
    <w:rsid w:val="00AE2064"/>
    <w:rsid w:val="00B4027B"/>
    <w:rsid w:val="00BD0F21"/>
    <w:rsid w:val="00C172E4"/>
    <w:rsid w:val="00C570AF"/>
    <w:rsid w:val="00C76D7D"/>
    <w:rsid w:val="00CC2A8E"/>
    <w:rsid w:val="00CE0763"/>
    <w:rsid w:val="00D37367"/>
    <w:rsid w:val="00DD2A36"/>
    <w:rsid w:val="00E602CA"/>
    <w:rsid w:val="00E62DB3"/>
    <w:rsid w:val="00F7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425C8"/>
  <w15:docId w15:val="{E85EB6DE-82DA-4047-B473-CF7B79B5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E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9E6"/>
    <w:pPr>
      <w:tabs>
        <w:tab w:val="center" w:pos="4680"/>
        <w:tab w:val="right" w:pos="9360"/>
      </w:tabs>
    </w:pPr>
  </w:style>
  <w:style w:type="character" w:customStyle="1" w:styleId="FooterChar">
    <w:name w:val="Footer Char"/>
    <w:basedOn w:val="DefaultParagraphFont"/>
    <w:link w:val="Footer"/>
    <w:uiPriority w:val="99"/>
    <w:rsid w:val="005B39E6"/>
    <w:rPr>
      <w:rFonts w:ascii="Times New Roman" w:eastAsia="Times New Roman" w:hAnsi="Times New Roman" w:cs="Times New Roman"/>
      <w:sz w:val="24"/>
      <w:szCs w:val="24"/>
    </w:rPr>
  </w:style>
  <w:style w:type="paragraph" w:styleId="NoSpacing">
    <w:name w:val="No Spacing"/>
    <w:uiPriority w:val="1"/>
    <w:qFormat/>
    <w:rsid w:val="005B39E6"/>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5B39E6"/>
    <w:pPr>
      <w:suppressAutoHyphens/>
      <w:spacing w:after="240"/>
    </w:pPr>
    <w:rPr>
      <w:szCs w:val="20"/>
    </w:rPr>
  </w:style>
  <w:style w:type="paragraph" w:styleId="Header">
    <w:name w:val="header"/>
    <w:basedOn w:val="Normal"/>
    <w:link w:val="HeaderChar"/>
    <w:uiPriority w:val="99"/>
    <w:unhideWhenUsed/>
    <w:rsid w:val="005B39E6"/>
    <w:pPr>
      <w:tabs>
        <w:tab w:val="center" w:pos="4680"/>
        <w:tab w:val="right" w:pos="9360"/>
      </w:tabs>
    </w:pPr>
  </w:style>
  <w:style w:type="character" w:customStyle="1" w:styleId="HeaderChar">
    <w:name w:val="Header Char"/>
    <w:basedOn w:val="DefaultParagraphFont"/>
    <w:link w:val="Header"/>
    <w:uiPriority w:val="99"/>
    <w:rsid w:val="005B39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7E"/>
    <w:rPr>
      <w:sz w:val="18"/>
      <w:szCs w:val="18"/>
    </w:rPr>
  </w:style>
  <w:style w:type="character" w:customStyle="1" w:styleId="BalloonTextChar">
    <w:name w:val="Balloon Text Char"/>
    <w:basedOn w:val="DefaultParagraphFont"/>
    <w:link w:val="BalloonText"/>
    <w:uiPriority w:val="99"/>
    <w:semiHidden/>
    <w:rsid w:val="0008237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029EC"/>
    <w:rPr>
      <w:sz w:val="18"/>
      <w:szCs w:val="18"/>
    </w:rPr>
  </w:style>
  <w:style w:type="paragraph" w:styleId="CommentText">
    <w:name w:val="annotation text"/>
    <w:basedOn w:val="Normal"/>
    <w:link w:val="CommentTextChar"/>
    <w:uiPriority w:val="99"/>
    <w:semiHidden/>
    <w:unhideWhenUsed/>
    <w:rsid w:val="003029EC"/>
  </w:style>
  <w:style w:type="character" w:customStyle="1" w:styleId="CommentTextChar">
    <w:name w:val="Comment Text Char"/>
    <w:basedOn w:val="DefaultParagraphFont"/>
    <w:link w:val="CommentText"/>
    <w:uiPriority w:val="99"/>
    <w:semiHidden/>
    <w:rsid w:val="003029E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29EC"/>
    <w:rPr>
      <w:b/>
      <w:bCs/>
      <w:sz w:val="20"/>
      <w:szCs w:val="20"/>
    </w:rPr>
  </w:style>
  <w:style w:type="character" w:customStyle="1" w:styleId="CommentSubjectChar">
    <w:name w:val="Comment Subject Char"/>
    <w:basedOn w:val="CommentTextChar"/>
    <w:link w:val="CommentSubject"/>
    <w:uiPriority w:val="99"/>
    <w:semiHidden/>
    <w:rsid w:val="003029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cp:lastPrinted>2019-05-07T13:20:00Z</cp:lastPrinted>
  <dcterms:created xsi:type="dcterms:W3CDTF">2019-05-07T13:20:00Z</dcterms:created>
  <dcterms:modified xsi:type="dcterms:W3CDTF">2019-05-07T18:12:00Z</dcterms:modified>
</cp:coreProperties>
</file>