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A0F1" w14:textId="5B8B6F8C" w:rsidR="00F81290" w:rsidRPr="0053456A" w:rsidRDefault="00D1448F" w:rsidP="00432397">
      <w:pPr>
        <w:ind w:firstLine="720"/>
        <w:jc w:val="right"/>
      </w:pPr>
      <w:bookmarkStart w:id="0" w:name="_GoBack"/>
      <w:bookmarkEnd w:id="0"/>
      <w:r>
        <w:t xml:space="preserve">May </w:t>
      </w:r>
      <w:r w:rsidR="007B2E4E">
        <w:t>7</w:t>
      </w:r>
      <w:r>
        <w:t>, 2019</w:t>
      </w:r>
    </w:p>
    <w:p w14:paraId="77A91032" w14:textId="77777777" w:rsidR="00F81290" w:rsidRPr="0053456A" w:rsidRDefault="00F81290" w:rsidP="00432397">
      <w:r w:rsidRPr="0053456A">
        <w:t>TO:</w:t>
      </w:r>
      <w:r w:rsidRPr="0053456A">
        <w:tab/>
      </w:r>
      <w:r w:rsidRPr="0053456A">
        <w:tab/>
        <w:t xml:space="preserve">Hon. </w:t>
      </w:r>
      <w:r w:rsidR="00B66967" w:rsidRPr="0053456A">
        <w:t>Daniel Dromm</w:t>
      </w:r>
    </w:p>
    <w:p w14:paraId="2BDF356B" w14:textId="77777777" w:rsidR="00F81290" w:rsidRPr="0053456A" w:rsidRDefault="00F81290" w:rsidP="00432397">
      <w:r w:rsidRPr="0053456A">
        <w:tab/>
      </w:r>
      <w:r w:rsidRPr="0053456A">
        <w:tab/>
        <w:t>Chair, Finance Committee</w:t>
      </w:r>
    </w:p>
    <w:p w14:paraId="2D11090A" w14:textId="77777777" w:rsidR="00F81290" w:rsidRPr="0053456A" w:rsidRDefault="00F81290" w:rsidP="00432397">
      <w:pPr>
        <w:ind w:left="720" w:firstLine="720"/>
      </w:pPr>
      <w:r w:rsidRPr="0053456A">
        <w:t>Members of the Finance Committee</w:t>
      </w:r>
    </w:p>
    <w:p w14:paraId="01947CD5" w14:textId="77777777" w:rsidR="00F81290" w:rsidRPr="0053456A" w:rsidRDefault="00F81290" w:rsidP="00432397"/>
    <w:p w14:paraId="3885B3B2" w14:textId="77777777" w:rsidR="00740D8C" w:rsidRDefault="00F81290" w:rsidP="00432397">
      <w:r w:rsidRPr="0053456A">
        <w:t>FROM:</w:t>
      </w:r>
      <w:r w:rsidRPr="0053456A">
        <w:tab/>
      </w:r>
      <w:r w:rsidR="00740D8C" w:rsidRPr="0053456A">
        <w:t xml:space="preserve">Rebecca Chasan, </w:t>
      </w:r>
      <w:r w:rsidR="00F572C6">
        <w:t xml:space="preserve">Senior </w:t>
      </w:r>
      <w:r w:rsidR="00740D8C" w:rsidRPr="0053456A">
        <w:t>Counsel, Finance Division</w:t>
      </w:r>
    </w:p>
    <w:p w14:paraId="76B75900" w14:textId="77777777" w:rsidR="002A554F" w:rsidRDefault="00F572C6" w:rsidP="00201876">
      <w:r>
        <w:tab/>
      </w:r>
      <w:r>
        <w:tab/>
      </w:r>
      <w:r w:rsidR="00D1448F">
        <w:t>Stephanie Ruiz</w:t>
      </w:r>
      <w:r w:rsidR="00AC4B5A">
        <w:t>, Assistant Counsel, Finance Division</w:t>
      </w:r>
    </w:p>
    <w:p w14:paraId="7C4B95F8" w14:textId="6C1811A2" w:rsidR="00F572C6" w:rsidRDefault="002A554F" w:rsidP="00201876">
      <w:r>
        <w:tab/>
      </w:r>
      <w:r>
        <w:tab/>
        <w:t>Noah Brick, Assistant Counsel, Finance Division</w:t>
      </w:r>
      <w:r w:rsidR="00AC4B5A">
        <w:t xml:space="preserve"> </w:t>
      </w:r>
    </w:p>
    <w:p w14:paraId="7AC53C62" w14:textId="77777777" w:rsidR="00F81290" w:rsidRPr="0053456A" w:rsidRDefault="00BF0D4D" w:rsidP="00432397">
      <w:r>
        <w:tab/>
      </w:r>
      <w:r>
        <w:tab/>
      </w:r>
    </w:p>
    <w:p w14:paraId="7BAA6E04" w14:textId="2BE213CC" w:rsidR="004E4A63" w:rsidRPr="00A52002" w:rsidRDefault="00F572C6" w:rsidP="00130863">
      <w:pPr>
        <w:ind w:left="1440" w:hanging="1440"/>
      </w:pPr>
      <w:r w:rsidRPr="00A52002">
        <w:t>RE:</w:t>
      </w:r>
      <w:r w:rsidRPr="00A52002">
        <w:tab/>
        <w:t xml:space="preserve">Finance Committee Agenda of </w:t>
      </w:r>
      <w:r w:rsidR="00D1448F" w:rsidRPr="00A52002">
        <w:t xml:space="preserve">May </w:t>
      </w:r>
      <w:r w:rsidR="007B2E4E">
        <w:t>7</w:t>
      </w:r>
      <w:r w:rsidR="00C50C47" w:rsidRPr="00A52002">
        <w:t>, 201</w:t>
      </w:r>
      <w:r w:rsidR="00AC4B5A" w:rsidRPr="00A52002">
        <w:t xml:space="preserve">9 </w:t>
      </w:r>
      <w:r w:rsidR="00F81290" w:rsidRPr="00A52002">
        <w:t>- Resolution</w:t>
      </w:r>
      <w:r w:rsidR="003D1B8E" w:rsidRPr="00A52002">
        <w:t xml:space="preserve"> </w:t>
      </w:r>
      <w:r w:rsidR="00E27CE1" w:rsidRPr="00A52002">
        <w:t>approving a</w:t>
      </w:r>
      <w:r w:rsidR="007B1402" w:rsidRPr="00A52002">
        <w:t xml:space="preserve"> </w:t>
      </w:r>
      <w:r w:rsidR="00C02020" w:rsidRPr="00A52002">
        <w:t xml:space="preserve">tax exemption for </w:t>
      </w:r>
      <w:r w:rsidR="002A554F" w:rsidRPr="00A52002">
        <w:t>five</w:t>
      </w:r>
      <w:r w:rsidR="005B67CD" w:rsidRPr="00A52002">
        <w:t xml:space="preserve"> </w:t>
      </w:r>
      <w:r w:rsidR="00C02020" w:rsidRPr="00A52002">
        <w:t>Land Use item</w:t>
      </w:r>
      <w:r w:rsidR="00D1448F" w:rsidRPr="00A52002">
        <w:t>s</w:t>
      </w:r>
      <w:r w:rsidR="00C02020" w:rsidRPr="00A52002">
        <w:t xml:space="preserve"> (C</w:t>
      </w:r>
      <w:r w:rsidR="00AC4B5A" w:rsidRPr="00A52002">
        <w:t>ouncil District</w:t>
      </w:r>
      <w:r w:rsidR="002A554F" w:rsidRPr="00A52002">
        <w:t xml:space="preserve">s 11, </w:t>
      </w:r>
      <w:r w:rsidR="009E346B" w:rsidRPr="00A52002">
        <w:t xml:space="preserve">18, and </w:t>
      </w:r>
      <w:r w:rsidR="00E14574" w:rsidRPr="00A52002">
        <w:t>29</w:t>
      </w:r>
      <w:r w:rsidR="00D10820" w:rsidRPr="00A52002">
        <w:t>)</w:t>
      </w:r>
    </w:p>
    <w:p w14:paraId="11E4DFAB" w14:textId="77777777" w:rsidR="00A63CEA" w:rsidRDefault="00A63CEA" w:rsidP="002824A5">
      <w:pPr>
        <w:rPr>
          <w:b/>
          <w:u w:val="single"/>
        </w:rPr>
      </w:pPr>
    </w:p>
    <w:p w14:paraId="6E2F9BAD" w14:textId="0E5641A8" w:rsidR="002E51A3" w:rsidRPr="002824A5" w:rsidRDefault="00B86AA1" w:rsidP="002824A5">
      <w:pPr>
        <w:rPr>
          <w:b/>
          <w:u w:val="single"/>
        </w:rPr>
      </w:pPr>
      <w:r w:rsidRPr="00072EAC">
        <w:rPr>
          <w:b/>
          <w:u w:val="single"/>
        </w:rPr>
        <w:t xml:space="preserve">Item </w:t>
      </w:r>
      <w:r w:rsidR="00A63CEA">
        <w:rPr>
          <w:b/>
          <w:u w:val="single"/>
        </w:rPr>
        <w:t>1</w:t>
      </w:r>
      <w:r w:rsidR="00D91704" w:rsidRPr="00072EAC">
        <w:rPr>
          <w:b/>
          <w:u w:val="single"/>
        </w:rPr>
        <w:t xml:space="preserve">: </w:t>
      </w:r>
      <w:r w:rsidR="00D1448F">
        <w:rPr>
          <w:b/>
          <w:u w:val="single"/>
        </w:rPr>
        <w:t>Putnam Garden</w:t>
      </w:r>
      <w:r w:rsidR="00680262">
        <w:rPr>
          <w:b/>
          <w:u w:val="single"/>
        </w:rPr>
        <w:t>s</w:t>
      </w:r>
      <w:r w:rsidR="002824A5" w:rsidRPr="002824A5">
        <w:rPr>
          <w:b/>
          <w:u w:val="single"/>
        </w:rPr>
        <w:t xml:space="preserve"> Portfolio</w:t>
      </w:r>
    </w:p>
    <w:p w14:paraId="33743B14" w14:textId="77777777" w:rsidR="009A2BA9" w:rsidRPr="00F572C6" w:rsidRDefault="009A2BA9" w:rsidP="00432397">
      <w:pPr>
        <w:rPr>
          <w:b/>
          <w:highlight w:val="yellow"/>
          <w:u w:val="single"/>
        </w:rPr>
      </w:pPr>
    </w:p>
    <w:p w14:paraId="74AADD92" w14:textId="767F7CFC" w:rsidR="00EF7D21" w:rsidRDefault="00D549D1" w:rsidP="009E143E">
      <w:pPr>
        <w:jc w:val="both"/>
      </w:pPr>
      <w:r w:rsidRPr="00D549D1">
        <w:t xml:space="preserve">The </w:t>
      </w:r>
      <w:r w:rsidR="000F56B0" w:rsidRPr="000F56B0">
        <w:t xml:space="preserve">Putnam Gardens </w:t>
      </w:r>
      <w:r w:rsidR="00D1448F">
        <w:t>project is a</w:t>
      </w:r>
      <w:r w:rsidRPr="00D549D1">
        <w:t xml:space="preserve"> </w:t>
      </w:r>
      <w:r w:rsidR="00D1448F">
        <w:t>single</w:t>
      </w:r>
      <w:r w:rsidR="00DD3DDE">
        <w:t>-building portfolio comprised</w:t>
      </w:r>
      <w:r w:rsidRPr="00D549D1">
        <w:t xml:space="preserve"> of </w:t>
      </w:r>
      <w:r w:rsidR="00D1448F">
        <w:t>90</w:t>
      </w:r>
      <w:r w:rsidRPr="00D549D1">
        <w:t xml:space="preserve"> residential units</w:t>
      </w:r>
      <w:r w:rsidR="00D1448F">
        <w:t xml:space="preserve"> located at </w:t>
      </w:r>
      <w:r w:rsidR="00D1448F" w:rsidRPr="00D1448F">
        <w:t>3815 Putnam Avenue West in the Bronx</w:t>
      </w:r>
      <w:r w:rsidR="00BF253B">
        <w:t xml:space="preserve">, consisting of </w:t>
      </w:r>
      <w:r w:rsidR="00D1448F">
        <w:t>13</w:t>
      </w:r>
      <w:r w:rsidR="00EF7D21" w:rsidRPr="00EF7D21">
        <w:t xml:space="preserve"> one-bedroom apartments, </w:t>
      </w:r>
      <w:r w:rsidR="00D1448F">
        <w:t>76 two-bedroom apartments, and one</w:t>
      </w:r>
      <w:r w:rsidR="00EF7D21" w:rsidRPr="00EF7D21">
        <w:t xml:space="preserve"> s</w:t>
      </w:r>
      <w:r w:rsidR="00D1448F">
        <w:t xml:space="preserve">uperintendent </w:t>
      </w:r>
      <w:r w:rsidR="00C5556E">
        <w:t>unit</w:t>
      </w:r>
      <w:r w:rsidR="00EF7D21" w:rsidRPr="00EF7D21">
        <w:t>.</w:t>
      </w:r>
    </w:p>
    <w:p w14:paraId="0192AB3F" w14:textId="77777777" w:rsidR="00753BA1" w:rsidRDefault="00753BA1" w:rsidP="009E143E">
      <w:pPr>
        <w:jc w:val="both"/>
      </w:pPr>
    </w:p>
    <w:p w14:paraId="1010036D" w14:textId="1AC4577E" w:rsidR="001C5268" w:rsidRDefault="001C5268" w:rsidP="00D1448F">
      <w:pPr>
        <w:jc w:val="both"/>
      </w:pPr>
      <w:r w:rsidRPr="001C5268">
        <w:t>Under the proposed project, 3815 Putnam</w:t>
      </w:r>
      <w:r w:rsidR="007B2E4E">
        <w:t xml:space="preserve"> Housing Development Fund Corporation</w:t>
      </w:r>
      <w:r w:rsidRPr="001C5268">
        <w:t xml:space="preserve"> </w:t>
      </w:r>
      <w:r w:rsidR="007B2E4E">
        <w:t>(</w:t>
      </w:r>
      <w:r w:rsidRPr="001C5268">
        <w:t>HDFC</w:t>
      </w:r>
      <w:r w:rsidR="007B2E4E">
        <w:t>)</w:t>
      </w:r>
      <w:r w:rsidRPr="001C5268">
        <w:t xml:space="preserve"> will acquire the </w:t>
      </w:r>
      <w:r w:rsidR="00E0154E">
        <w:t>referenced property</w:t>
      </w:r>
      <w:r w:rsidRPr="001C5268">
        <w:t xml:space="preserve"> and Putnam-Deegan, L.P. will be the beneficial owner and will operate the </w:t>
      </w:r>
      <w:r w:rsidR="00E0154E">
        <w:t>property</w:t>
      </w:r>
      <w:r w:rsidRPr="001C5268">
        <w:t xml:space="preserve">. The HDFC and the </w:t>
      </w:r>
      <w:r w:rsidR="00AB7076">
        <w:t xml:space="preserve">L.P. </w:t>
      </w:r>
      <w:r w:rsidRPr="001C5268">
        <w:t xml:space="preserve">will finance the rehabilitation of the </w:t>
      </w:r>
      <w:r w:rsidR="00E0154E">
        <w:t>property</w:t>
      </w:r>
      <w:r w:rsidRPr="001C5268">
        <w:t xml:space="preserve"> with a loan from the New York City Housing Development Corporation (HDC).</w:t>
      </w:r>
    </w:p>
    <w:p w14:paraId="21A6D933" w14:textId="55CD18D3" w:rsidR="00D1448F" w:rsidRPr="00D1448F" w:rsidRDefault="00D1448F" w:rsidP="00D1448F">
      <w:pPr>
        <w:jc w:val="both"/>
      </w:pPr>
    </w:p>
    <w:p w14:paraId="41DAF360" w14:textId="1B1E3787" w:rsidR="00EE2773" w:rsidRDefault="007B2E4E" w:rsidP="009147C4">
      <w:pPr>
        <w:jc w:val="both"/>
      </w:pPr>
      <w:r>
        <w:t>The Department of Housing Preservation and Development (</w:t>
      </w:r>
      <w:r w:rsidR="00BB0AF1">
        <w:t>HPD</w:t>
      </w:r>
      <w:r>
        <w:t>)</w:t>
      </w:r>
      <w:r w:rsidR="0029571D">
        <w:t xml:space="preserve"> is requesting that the Council approve</w:t>
      </w:r>
      <w:r w:rsidR="00EE2773" w:rsidRPr="00EE2773">
        <w:t xml:space="preserve"> a</w:t>
      </w:r>
      <w:r w:rsidR="00890041">
        <w:t xml:space="preserve"> 30</w:t>
      </w:r>
      <w:r w:rsidR="00002669">
        <w:t>-year,</w:t>
      </w:r>
      <w:r w:rsidR="00EE2773" w:rsidRPr="00EE2773">
        <w:t xml:space="preserve"> partial Article XI</w:t>
      </w:r>
      <w:r w:rsidR="00002669">
        <w:t xml:space="preserve"> property</w:t>
      </w:r>
      <w:r w:rsidR="00EE2773" w:rsidRPr="00EE2773">
        <w:t xml:space="preserve"> tax exemption for the portfolio</w:t>
      </w:r>
      <w:r w:rsidR="00002669">
        <w:t>. HPD</w:t>
      </w:r>
      <w:r w:rsidR="00055F5C">
        <w:t>, HDC,</w:t>
      </w:r>
      <w:r w:rsidR="00002669">
        <w:t xml:space="preserve"> and the HDFC will </w:t>
      </w:r>
      <w:r w:rsidR="00EE2773" w:rsidRPr="00EE2773">
        <w:t>enter into a regulatory agreement that</w:t>
      </w:r>
      <w:r w:rsidR="00002669">
        <w:t xml:space="preserve"> will require that the units be leased only to households within </w:t>
      </w:r>
      <w:r w:rsidR="00D31DE8">
        <w:t xml:space="preserve">income </w:t>
      </w:r>
      <w:r w:rsidR="00EE2773" w:rsidRPr="00EE2773">
        <w:t xml:space="preserve">tiers </w:t>
      </w:r>
      <w:r w:rsidR="00FF4471">
        <w:t xml:space="preserve">between </w:t>
      </w:r>
      <w:r w:rsidR="00C13497">
        <w:t>80</w:t>
      </w:r>
      <w:r w:rsidR="00FF4471">
        <w:t>%</w:t>
      </w:r>
      <w:r w:rsidR="00EE2773" w:rsidRPr="00EE2773">
        <w:t xml:space="preserve"> </w:t>
      </w:r>
      <w:r w:rsidR="00C13497">
        <w:t>and 95</w:t>
      </w:r>
      <w:r w:rsidR="00FF4471">
        <w:t>%</w:t>
      </w:r>
      <w:r w:rsidR="00EE2773" w:rsidRPr="00EE2773">
        <w:t xml:space="preserve"> of </w:t>
      </w:r>
      <w:r>
        <w:t>Area Median Income (</w:t>
      </w:r>
      <w:r w:rsidR="00D31DE8">
        <w:t>AMI</w:t>
      </w:r>
      <w:r>
        <w:t>)</w:t>
      </w:r>
      <w:r w:rsidR="00FF4471">
        <w:t xml:space="preserve">. Additionally, </w:t>
      </w:r>
      <w:r w:rsidR="00277EF2">
        <w:t>the</w:t>
      </w:r>
      <w:r w:rsidR="00FF4471">
        <w:t xml:space="preserve"> project will</w:t>
      </w:r>
      <w:r w:rsidR="00FF4471" w:rsidRPr="00FF4471">
        <w:t xml:space="preserve"> include a </w:t>
      </w:r>
      <w:r w:rsidR="00FF4471">
        <w:t xml:space="preserve">homeless set aside requirement </w:t>
      </w:r>
      <w:r w:rsidR="00FF4471" w:rsidRPr="00FF4471">
        <w:t xml:space="preserve">in which 10% of </w:t>
      </w:r>
      <w:r w:rsidR="00277EF2">
        <w:t xml:space="preserve">the </w:t>
      </w:r>
      <w:r w:rsidR="00FF4471" w:rsidRPr="00FF4471">
        <w:t xml:space="preserve">units (or </w:t>
      </w:r>
      <w:r>
        <w:t>nine</w:t>
      </w:r>
      <w:r w:rsidR="00FF4471" w:rsidRPr="00FF4471">
        <w:t xml:space="preserve"> units), upon turnover, will be required to be filled with referrals of eligible homeless tenants. </w:t>
      </w:r>
    </w:p>
    <w:p w14:paraId="63FCEFA2" w14:textId="1C209343" w:rsidR="00EE2773" w:rsidRDefault="00EE2773" w:rsidP="009147C4">
      <w:pPr>
        <w:jc w:val="both"/>
      </w:pPr>
    </w:p>
    <w:p w14:paraId="21D5BA70" w14:textId="4DB28EDE" w:rsidR="00EE2773" w:rsidRPr="00A67FC1" w:rsidRDefault="00A67FC1" w:rsidP="00A67FC1">
      <w:pPr>
        <w:jc w:val="both"/>
      </w:pPr>
      <w:r>
        <w:t xml:space="preserve">The </w:t>
      </w:r>
      <w:r w:rsidR="006E7E6D">
        <w:t>building</w:t>
      </w:r>
      <w:r>
        <w:t xml:space="preserve"> </w:t>
      </w:r>
      <w:r w:rsidR="00DC65A2">
        <w:t xml:space="preserve">currently receives a 421-a tax </w:t>
      </w:r>
      <w:r w:rsidRPr="00A67FC1">
        <w:t xml:space="preserve">exemption that will </w:t>
      </w:r>
      <w:r>
        <w:t xml:space="preserve">expire in 2027. </w:t>
      </w:r>
      <w:r w:rsidRPr="00A67FC1">
        <w:t xml:space="preserve">In order to facilitate the project, HPD will authorize the termination of the </w:t>
      </w:r>
      <w:r>
        <w:t>421-a tax exemption</w:t>
      </w:r>
      <w:r w:rsidRPr="00A67FC1">
        <w:t xml:space="preserve"> so that it may be replaced with </w:t>
      </w:r>
      <w:r>
        <w:t>the Article XI exemption, if approved.</w:t>
      </w:r>
      <w:r w:rsidRPr="00A67FC1">
        <w:t xml:space="preserve"> </w:t>
      </w:r>
      <w:r>
        <w:t xml:space="preserve">Upon </w:t>
      </w:r>
      <w:r w:rsidR="00DC65A2">
        <w:t xml:space="preserve">being approved </w:t>
      </w:r>
      <w:r>
        <w:t xml:space="preserve">by the Council, the </w:t>
      </w:r>
      <w:r w:rsidR="00002669">
        <w:t>Article XI exemption</w:t>
      </w:r>
      <w:r>
        <w:t xml:space="preserve"> will become effective on the fifth</w:t>
      </w:r>
      <w:r w:rsidR="00401D1F">
        <w:t>-</w:t>
      </w:r>
      <w:r>
        <w:t xml:space="preserve">anniversary of the date that </w:t>
      </w:r>
      <w:r w:rsidRPr="00A67FC1">
        <w:t xml:space="preserve">HPD, HDC, and the </w:t>
      </w:r>
      <w:r w:rsidR="00BA7201">
        <w:t>HDFC</w:t>
      </w:r>
      <w:r w:rsidRPr="00A67FC1">
        <w:t xml:space="preserve"> ente</w:t>
      </w:r>
      <w:r w:rsidR="00EC1B28">
        <w:t>r into the regulatory a</w:t>
      </w:r>
      <w:r>
        <w:t>greement</w:t>
      </w:r>
      <w:r w:rsidRPr="00A67FC1">
        <w:t>.</w:t>
      </w:r>
    </w:p>
    <w:p w14:paraId="0431E568" w14:textId="77777777" w:rsidR="009E143E" w:rsidRDefault="009E143E" w:rsidP="009E143E">
      <w:pPr>
        <w:jc w:val="both"/>
      </w:pPr>
    </w:p>
    <w:p w14:paraId="093A88F2" w14:textId="77777777" w:rsidR="00D874A9" w:rsidRPr="0053456A" w:rsidRDefault="00D874A9" w:rsidP="00432397">
      <w:pPr>
        <w:rPr>
          <w:u w:val="single"/>
        </w:rPr>
      </w:pPr>
      <w:r w:rsidRPr="0053456A">
        <w:rPr>
          <w:u w:val="single"/>
        </w:rPr>
        <w:t>Summary:</w:t>
      </w:r>
    </w:p>
    <w:p w14:paraId="3989B745" w14:textId="5FFCD90D" w:rsidR="00A67FC1" w:rsidRDefault="00A67FC1" w:rsidP="00A67FC1">
      <w:pPr>
        <w:pStyle w:val="MediumGrid1-Accent21"/>
        <w:numPr>
          <w:ilvl w:val="0"/>
          <w:numId w:val="33"/>
        </w:numPr>
      </w:pPr>
      <w:r>
        <w:t>Borough – Bronx</w:t>
      </w:r>
    </w:p>
    <w:p w14:paraId="332835D9" w14:textId="5E21F0E1" w:rsidR="00A67FC1" w:rsidRDefault="00A67FC1" w:rsidP="00A67FC1">
      <w:pPr>
        <w:pStyle w:val="MediumGrid1-Accent21"/>
        <w:numPr>
          <w:ilvl w:val="0"/>
          <w:numId w:val="33"/>
        </w:numPr>
      </w:pPr>
      <w:r w:rsidRPr="00A67FC1">
        <w:t>Block 3271, Lot 125</w:t>
      </w:r>
    </w:p>
    <w:p w14:paraId="5722D249" w14:textId="7B22530A" w:rsidR="00890041" w:rsidRDefault="00890041" w:rsidP="00A67FC1">
      <w:pPr>
        <w:pStyle w:val="MediumGrid1-Accent21"/>
        <w:numPr>
          <w:ilvl w:val="0"/>
          <w:numId w:val="33"/>
        </w:numPr>
      </w:pPr>
      <w:r>
        <w:t>Council District – 11</w:t>
      </w:r>
    </w:p>
    <w:p w14:paraId="3ED7A87C" w14:textId="3902E301" w:rsidR="00890041" w:rsidRDefault="00890041" w:rsidP="00890041">
      <w:pPr>
        <w:pStyle w:val="MediumGrid1-Accent21"/>
        <w:numPr>
          <w:ilvl w:val="0"/>
          <w:numId w:val="33"/>
        </w:numPr>
      </w:pPr>
      <w:r>
        <w:t>Council Member – Cohen</w:t>
      </w:r>
    </w:p>
    <w:p w14:paraId="734899B2" w14:textId="5A98A29D" w:rsidR="00A67FC1" w:rsidRDefault="00A67FC1" w:rsidP="00A67FC1">
      <w:pPr>
        <w:pStyle w:val="MediumGrid1-Accent21"/>
        <w:numPr>
          <w:ilvl w:val="0"/>
          <w:numId w:val="33"/>
        </w:numPr>
      </w:pPr>
      <w:r>
        <w:t xml:space="preserve">Council Member approval – </w:t>
      </w:r>
      <w:r w:rsidR="00890041">
        <w:t>Yes</w:t>
      </w:r>
    </w:p>
    <w:p w14:paraId="433D3461" w14:textId="1F213DD3" w:rsidR="00A67FC1" w:rsidRDefault="00A67FC1" w:rsidP="00A67FC1">
      <w:pPr>
        <w:pStyle w:val="MediumGrid1-Accent21"/>
        <w:numPr>
          <w:ilvl w:val="0"/>
          <w:numId w:val="33"/>
        </w:numPr>
      </w:pPr>
      <w:r>
        <w:t>Number of buildings – 1</w:t>
      </w:r>
    </w:p>
    <w:p w14:paraId="1E0F4AAD" w14:textId="594D785B" w:rsidR="00A67FC1" w:rsidRDefault="00A67FC1" w:rsidP="00A67FC1">
      <w:pPr>
        <w:pStyle w:val="MediumGrid1-Accent21"/>
        <w:numPr>
          <w:ilvl w:val="0"/>
          <w:numId w:val="33"/>
        </w:numPr>
      </w:pPr>
      <w:r>
        <w:t>Number of units – 90</w:t>
      </w:r>
    </w:p>
    <w:p w14:paraId="4BB095BB" w14:textId="4067FA49" w:rsidR="00A67FC1" w:rsidRDefault="00A67FC1" w:rsidP="00A67FC1">
      <w:pPr>
        <w:pStyle w:val="MediumGrid1-Accent21"/>
        <w:numPr>
          <w:ilvl w:val="0"/>
          <w:numId w:val="33"/>
        </w:numPr>
      </w:pPr>
      <w:r>
        <w:t xml:space="preserve">Type of exemption – Article XI, partial, </w:t>
      </w:r>
      <w:r w:rsidR="00890041">
        <w:t>30</w:t>
      </w:r>
      <w:r>
        <w:t xml:space="preserve"> years</w:t>
      </w:r>
    </w:p>
    <w:p w14:paraId="506CFA54" w14:textId="6544BA69" w:rsidR="00A67FC1" w:rsidRDefault="00A67FC1" w:rsidP="00A67FC1">
      <w:pPr>
        <w:pStyle w:val="MediumGrid1-Accent21"/>
        <w:numPr>
          <w:ilvl w:val="0"/>
          <w:numId w:val="33"/>
        </w:numPr>
      </w:pPr>
      <w:r>
        <w:lastRenderedPageBreak/>
        <w:t xml:space="preserve">Population – affordable rental housing </w:t>
      </w:r>
    </w:p>
    <w:p w14:paraId="2609C5E2" w14:textId="14230C54" w:rsidR="00890041" w:rsidRPr="00890041" w:rsidRDefault="00890041" w:rsidP="00890041">
      <w:pPr>
        <w:pStyle w:val="MediumGrid1-Accent21"/>
        <w:numPr>
          <w:ilvl w:val="0"/>
          <w:numId w:val="33"/>
        </w:numPr>
      </w:pPr>
      <w:r>
        <w:t>Sponsor</w:t>
      </w:r>
      <w:r w:rsidR="004E3600">
        <w:t>(s)</w:t>
      </w:r>
      <w:r>
        <w:t xml:space="preserve"> – </w:t>
      </w:r>
      <w:r w:rsidRPr="00890041">
        <w:t xml:space="preserve">3815 Putnam </w:t>
      </w:r>
      <w:r w:rsidR="005E0D1E">
        <w:t>HDFC</w:t>
      </w:r>
      <w:r>
        <w:t xml:space="preserve">; </w:t>
      </w:r>
      <w:r w:rsidRPr="00890041">
        <w:t>Putnam-Deegan, L.P</w:t>
      </w:r>
    </w:p>
    <w:p w14:paraId="7FCC48B8" w14:textId="2B0DD3BE" w:rsidR="00A67FC1" w:rsidRDefault="00A67FC1" w:rsidP="00A67FC1">
      <w:pPr>
        <w:pStyle w:val="MediumGrid1-Accent21"/>
        <w:numPr>
          <w:ilvl w:val="0"/>
          <w:numId w:val="33"/>
        </w:numPr>
      </w:pPr>
      <w:r>
        <w:t xml:space="preserve">Purpose – preservation </w:t>
      </w:r>
    </w:p>
    <w:p w14:paraId="5B0EC3BD" w14:textId="2AC95C44" w:rsidR="00A67FC1" w:rsidRDefault="00432C15" w:rsidP="00A67FC1">
      <w:pPr>
        <w:pStyle w:val="MediumGrid1-Accent21"/>
        <w:numPr>
          <w:ilvl w:val="0"/>
          <w:numId w:val="33"/>
        </w:numPr>
      </w:pPr>
      <w:r>
        <w:t>Cost to the C</w:t>
      </w:r>
      <w:r w:rsidR="00A67FC1">
        <w:t xml:space="preserve">ity - $4.2 million </w:t>
      </w:r>
    </w:p>
    <w:p w14:paraId="6077FE1A" w14:textId="0B298305" w:rsidR="00A67FC1" w:rsidRDefault="00A67FC1" w:rsidP="00A67FC1">
      <w:pPr>
        <w:pStyle w:val="MediumGrid1-Accent21"/>
        <w:numPr>
          <w:ilvl w:val="0"/>
          <w:numId w:val="33"/>
        </w:numPr>
      </w:pPr>
      <w:r>
        <w:t>Housing Code Violations –</w:t>
      </w:r>
    </w:p>
    <w:p w14:paraId="765C207B" w14:textId="529418C1" w:rsidR="00A67FC1" w:rsidRDefault="00A67FC1" w:rsidP="00A67FC1">
      <w:pPr>
        <w:pStyle w:val="MediumGrid1-Accent21"/>
        <w:numPr>
          <w:ilvl w:val="1"/>
          <w:numId w:val="33"/>
        </w:numPr>
      </w:pPr>
      <w:r>
        <w:t>Class A: 3</w:t>
      </w:r>
    </w:p>
    <w:p w14:paraId="4757043F" w14:textId="270B0162" w:rsidR="00A67FC1" w:rsidRDefault="00A67FC1" w:rsidP="00A67FC1">
      <w:pPr>
        <w:pStyle w:val="MediumGrid1-Accent21"/>
        <w:numPr>
          <w:ilvl w:val="1"/>
          <w:numId w:val="33"/>
        </w:numPr>
      </w:pPr>
      <w:r>
        <w:t>Class B: 12</w:t>
      </w:r>
    </w:p>
    <w:p w14:paraId="040DAB91" w14:textId="40EDA36C" w:rsidR="00D31DE8" w:rsidRDefault="00A67FC1" w:rsidP="00A67FC1">
      <w:pPr>
        <w:pStyle w:val="MediumGrid1-Accent21"/>
        <w:numPr>
          <w:ilvl w:val="0"/>
          <w:numId w:val="33"/>
        </w:numPr>
      </w:pPr>
      <w:r>
        <w:t>AMI targets – 56 units up to 80% AMI, and 33 units up to 95%</w:t>
      </w:r>
      <w:r w:rsidR="00CE4B0A">
        <w:t xml:space="preserve"> of AMI</w:t>
      </w:r>
    </w:p>
    <w:p w14:paraId="60918B1E" w14:textId="4A92F688" w:rsidR="003A4474" w:rsidRDefault="003A4474" w:rsidP="000C00F9">
      <w:pPr>
        <w:pStyle w:val="MediumGrid1-Accent21"/>
        <w:ind w:left="0"/>
      </w:pPr>
    </w:p>
    <w:p w14:paraId="1E216FB9" w14:textId="5373F83F" w:rsidR="00A63CEA" w:rsidRDefault="00A63CEA" w:rsidP="00A63CEA">
      <w:pPr>
        <w:rPr>
          <w:b/>
          <w:u w:val="single"/>
        </w:rPr>
      </w:pPr>
      <w:r w:rsidRPr="00A52002">
        <w:rPr>
          <w:b/>
          <w:u w:val="single"/>
        </w:rPr>
        <w:t xml:space="preserve">Item </w:t>
      </w:r>
      <w:r>
        <w:rPr>
          <w:b/>
          <w:u w:val="single"/>
        </w:rPr>
        <w:t>2</w:t>
      </w:r>
      <w:r w:rsidRPr="00A52002">
        <w:rPr>
          <w:b/>
          <w:u w:val="single"/>
        </w:rPr>
        <w:t>: 2997 Marion Avenue</w:t>
      </w:r>
    </w:p>
    <w:p w14:paraId="03C7CDB3" w14:textId="77777777" w:rsidR="00A63CEA" w:rsidRDefault="00A63CEA" w:rsidP="00A63CEA">
      <w:pPr>
        <w:rPr>
          <w:b/>
          <w:u w:val="single"/>
        </w:rPr>
      </w:pPr>
    </w:p>
    <w:p w14:paraId="232AF610" w14:textId="77777777" w:rsidR="00A63CEA" w:rsidRDefault="00A63CEA" w:rsidP="00401D1F">
      <w:pPr>
        <w:jc w:val="both"/>
      </w:pPr>
      <w:r w:rsidRPr="008A6C11">
        <w:t xml:space="preserve">The 2997 Marion Avenue project </w:t>
      </w:r>
      <w:r>
        <w:t xml:space="preserve">will be a </w:t>
      </w:r>
      <w:r w:rsidRPr="007D2E8D">
        <w:t>newly</w:t>
      </w:r>
      <w:r>
        <w:t>-</w:t>
      </w:r>
      <w:r w:rsidRPr="007D2E8D">
        <w:t>constructed 1</w:t>
      </w:r>
      <w:r>
        <w:t xml:space="preserve">8-unit </w:t>
      </w:r>
      <w:r w:rsidRPr="007D2E8D">
        <w:t>building</w:t>
      </w:r>
      <w:r w:rsidRPr="008A6C11">
        <w:t xml:space="preserve"> located in the Bedford Park neighborhood of the Bronx</w:t>
      </w:r>
      <w:r>
        <w:t xml:space="preserve">, consisting of </w:t>
      </w:r>
      <w:r w:rsidRPr="008A6C11">
        <w:t xml:space="preserve">13 studios and </w:t>
      </w:r>
      <w:r>
        <w:t>five</w:t>
      </w:r>
      <w:r w:rsidRPr="008A6C11">
        <w:t xml:space="preserve"> one-bedroom apartments.</w:t>
      </w:r>
    </w:p>
    <w:p w14:paraId="422E99D5" w14:textId="77777777" w:rsidR="00A63CEA" w:rsidRPr="008A6C11" w:rsidRDefault="00A63CEA" w:rsidP="00401D1F">
      <w:pPr>
        <w:jc w:val="both"/>
      </w:pPr>
    </w:p>
    <w:p w14:paraId="10D047F0" w14:textId="11346564" w:rsidR="00A63CEA" w:rsidRDefault="00A63CEA" w:rsidP="00401D1F">
      <w:pPr>
        <w:jc w:val="both"/>
      </w:pPr>
      <w:r w:rsidRPr="008A6C11">
        <w:t xml:space="preserve">Under the proposed project, NFW Marion HDFC will acquire the property and NFW Marion LLC will be the beneficial owner and operate the property. The HDFC and the </w:t>
      </w:r>
      <w:r>
        <w:t xml:space="preserve">LLC, </w:t>
      </w:r>
      <w:r w:rsidRPr="008A6C11">
        <w:t xml:space="preserve">will finance the acquisition and construction of the Exemption Area with a loan from </w:t>
      </w:r>
      <w:r>
        <w:t>HPD.</w:t>
      </w:r>
      <w:r w:rsidRPr="008A6C11">
        <w:t xml:space="preserve"> </w:t>
      </w:r>
    </w:p>
    <w:p w14:paraId="21648793" w14:textId="77777777" w:rsidR="00A63CEA" w:rsidRDefault="00A63CEA" w:rsidP="00A63CEA"/>
    <w:p w14:paraId="28B1CD86" w14:textId="5F1991F0" w:rsidR="00A63CEA" w:rsidRPr="005E0D41" w:rsidRDefault="00A63CEA" w:rsidP="00A63CEA">
      <w:pPr>
        <w:jc w:val="both"/>
      </w:pPr>
      <w:r>
        <w:t xml:space="preserve">HPD is requesting that </w:t>
      </w:r>
      <w:r w:rsidRPr="005E0D41">
        <w:t xml:space="preserve">the Council approve a 40-year, full Article XI property tax exemption for the portfolio. HPD </w:t>
      </w:r>
      <w:r>
        <w:t xml:space="preserve">and the HDFC </w:t>
      </w:r>
      <w:r w:rsidRPr="005E0D41">
        <w:t>will</w:t>
      </w:r>
      <w:r>
        <w:t xml:space="preserve"> then</w:t>
      </w:r>
      <w:r w:rsidRPr="005E0D41">
        <w:t xml:space="preserve"> enter into a regulatory agreement that will require the units be leased only to households within income tiers between 77% and 95% of AMI.</w:t>
      </w:r>
    </w:p>
    <w:p w14:paraId="48264D38" w14:textId="77777777" w:rsidR="00A63CEA" w:rsidRPr="005E0D41" w:rsidRDefault="00A63CEA" w:rsidP="00A63CEA">
      <w:pPr>
        <w:jc w:val="both"/>
      </w:pPr>
    </w:p>
    <w:p w14:paraId="006D3863" w14:textId="77777777" w:rsidR="00A63CEA" w:rsidRPr="005E0D41" w:rsidRDefault="00A63CEA" w:rsidP="00A63CEA">
      <w:pPr>
        <w:rPr>
          <w:u w:val="single"/>
        </w:rPr>
      </w:pPr>
      <w:r w:rsidRPr="005E0D41">
        <w:rPr>
          <w:u w:val="single"/>
        </w:rPr>
        <w:t>Summary:</w:t>
      </w:r>
    </w:p>
    <w:p w14:paraId="7918D5AC" w14:textId="77777777" w:rsidR="00A63CEA" w:rsidRPr="005E0D41" w:rsidRDefault="00A63CEA" w:rsidP="00A63CEA">
      <w:pPr>
        <w:rPr>
          <w:u w:val="single"/>
        </w:rPr>
      </w:pPr>
    </w:p>
    <w:p w14:paraId="48CA3207" w14:textId="77777777" w:rsidR="00A63CEA" w:rsidRPr="005E0D41" w:rsidRDefault="00A63CEA" w:rsidP="00A63CEA">
      <w:pPr>
        <w:pStyle w:val="MediumGrid1-Accent21"/>
        <w:numPr>
          <w:ilvl w:val="0"/>
          <w:numId w:val="33"/>
        </w:numPr>
      </w:pPr>
      <w:r w:rsidRPr="005E0D41">
        <w:t>Borough – Bronx</w:t>
      </w:r>
    </w:p>
    <w:p w14:paraId="0FEE1661" w14:textId="77777777" w:rsidR="00A63CEA" w:rsidRPr="005E0D41" w:rsidRDefault="00A63CEA" w:rsidP="00A63CEA">
      <w:pPr>
        <w:pStyle w:val="MediumGrid1-Accent21"/>
        <w:numPr>
          <w:ilvl w:val="0"/>
          <w:numId w:val="33"/>
        </w:numPr>
      </w:pPr>
      <w:r w:rsidRPr="005E0D41">
        <w:t>Block 3281, Lot 23</w:t>
      </w:r>
    </w:p>
    <w:p w14:paraId="3BDD46EE" w14:textId="77777777" w:rsidR="00A63CEA" w:rsidRPr="005E0D41" w:rsidRDefault="00A63CEA" w:rsidP="00A63CEA">
      <w:pPr>
        <w:pStyle w:val="MediumGrid1-Accent21"/>
        <w:numPr>
          <w:ilvl w:val="0"/>
          <w:numId w:val="33"/>
        </w:numPr>
      </w:pPr>
      <w:r w:rsidRPr="005E0D41">
        <w:t>Council District – 11</w:t>
      </w:r>
    </w:p>
    <w:p w14:paraId="32F6DB13" w14:textId="77777777" w:rsidR="00A63CEA" w:rsidRPr="005E0D41" w:rsidRDefault="00A63CEA" w:rsidP="00A63CEA">
      <w:pPr>
        <w:pStyle w:val="MediumGrid1-Accent21"/>
        <w:numPr>
          <w:ilvl w:val="0"/>
          <w:numId w:val="33"/>
        </w:numPr>
      </w:pPr>
      <w:r w:rsidRPr="005E0D41">
        <w:t>Council Member – Cohen</w:t>
      </w:r>
    </w:p>
    <w:p w14:paraId="433F2DBC" w14:textId="77777777" w:rsidR="00A63CEA" w:rsidRPr="005E0D41" w:rsidRDefault="00A63CEA" w:rsidP="00A63CEA">
      <w:pPr>
        <w:pStyle w:val="MediumGrid1-Accent21"/>
        <w:numPr>
          <w:ilvl w:val="0"/>
          <w:numId w:val="33"/>
        </w:numPr>
      </w:pPr>
      <w:r w:rsidRPr="005E0D41">
        <w:t>Council Member approval – Yes</w:t>
      </w:r>
    </w:p>
    <w:p w14:paraId="69CA6A39" w14:textId="77777777" w:rsidR="00A63CEA" w:rsidRPr="005E0D41" w:rsidRDefault="00A63CEA" w:rsidP="00A63CEA">
      <w:pPr>
        <w:pStyle w:val="MediumGrid1-Accent21"/>
        <w:numPr>
          <w:ilvl w:val="0"/>
          <w:numId w:val="33"/>
        </w:numPr>
      </w:pPr>
      <w:r w:rsidRPr="005E0D41">
        <w:t>Number of buildings – 1</w:t>
      </w:r>
    </w:p>
    <w:p w14:paraId="155A0040" w14:textId="77777777" w:rsidR="00A63CEA" w:rsidRPr="005E0D41" w:rsidRDefault="00A63CEA" w:rsidP="00A63CEA">
      <w:pPr>
        <w:pStyle w:val="MediumGrid1-Accent21"/>
        <w:numPr>
          <w:ilvl w:val="0"/>
          <w:numId w:val="33"/>
        </w:numPr>
      </w:pPr>
      <w:r w:rsidRPr="005E0D41">
        <w:t>Number of units – 18</w:t>
      </w:r>
    </w:p>
    <w:p w14:paraId="38C84E2C" w14:textId="77777777" w:rsidR="00A63CEA" w:rsidRPr="005E0D41" w:rsidRDefault="00A63CEA" w:rsidP="00A63CEA">
      <w:pPr>
        <w:pStyle w:val="MediumGrid1-Accent21"/>
        <w:numPr>
          <w:ilvl w:val="0"/>
          <w:numId w:val="33"/>
        </w:numPr>
      </w:pPr>
      <w:r w:rsidRPr="005E0D41">
        <w:t>Type of exemption – Article XI, full, 40 years</w:t>
      </w:r>
    </w:p>
    <w:p w14:paraId="776BCD4A" w14:textId="77777777" w:rsidR="00A63CEA" w:rsidRPr="005E0D41" w:rsidRDefault="00A63CEA" w:rsidP="00A63CEA">
      <w:pPr>
        <w:pStyle w:val="MediumGrid1-Accent21"/>
        <w:numPr>
          <w:ilvl w:val="0"/>
          <w:numId w:val="33"/>
        </w:numPr>
      </w:pPr>
      <w:r w:rsidRPr="005E0D41">
        <w:t xml:space="preserve">Population – affordable rental housing </w:t>
      </w:r>
    </w:p>
    <w:p w14:paraId="7DAF91E1" w14:textId="77777777" w:rsidR="00A63CEA" w:rsidRPr="005E0D41" w:rsidRDefault="00A63CEA" w:rsidP="00A63CEA">
      <w:pPr>
        <w:pStyle w:val="MediumGrid1-Accent21"/>
        <w:numPr>
          <w:ilvl w:val="0"/>
          <w:numId w:val="33"/>
        </w:numPr>
      </w:pPr>
      <w:r w:rsidRPr="005E0D41">
        <w:t>Sponsor(s) – NFW Marion LLC</w:t>
      </w:r>
      <w:r>
        <w:t>;</w:t>
      </w:r>
      <w:r w:rsidRPr="005E0D41">
        <w:t xml:space="preserve"> NFW Group LLC</w:t>
      </w:r>
      <w:r>
        <w:t xml:space="preserve">; </w:t>
      </w:r>
      <w:r w:rsidRPr="005E0D41">
        <w:t>Erin Development Member LLC</w:t>
      </w:r>
      <w:r>
        <w:t xml:space="preserve">; </w:t>
      </w:r>
      <w:r w:rsidRPr="005E0D41">
        <w:t xml:space="preserve">Forsyth Street Advisors; </w:t>
      </w:r>
      <w:r w:rsidRPr="005E0D41">
        <w:rPr>
          <w:rFonts w:eastAsia="Arial"/>
        </w:rPr>
        <w:t>NFW Marion HDFC</w:t>
      </w:r>
    </w:p>
    <w:p w14:paraId="537C6AA2" w14:textId="77777777" w:rsidR="00A63CEA" w:rsidRPr="005E0D41" w:rsidRDefault="00A63CEA" w:rsidP="00A63CEA">
      <w:pPr>
        <w:pStyle w:val="MediumGrid1-Accent21"/>
        <w:numPr>
          <w:ilvl w:val="0"/>
          <w:numId w:val="33"/>
        </w:numPr>
      </w:pPr>
      <w:r w:rsidRPr="005E0D41">
        <w:t xml:space="preserve">Purpose – new construction </w:t>
      </w:r>
    </w:p>
    <w:p w14:paraId="6713B977" w14:textId="77777777" w:rsidR="00A63CEA" w:rsidRDefault="00A63CEA" w:rsidP="00A63CEA">
      <w:pPr>
        <w:pStyle w:val="MediumGrid1-Accent21"/>
        <w:numPr>
          <w:ilvl w:val="0"/>
          <w:numId w:val="33"/>
        </w:numPr>
      </w:pPr>
      <w:r w:rsidRPr="005E0D41">
        <w:t>Cost to the City - $</w:t>
      </w:r>
      <w:r>
        <w:t>977,000</w:t>
      </w:r>
    </w:p>
    <w:p w14:paraId="7ABF0AA8" w14:textId="77777777" w:rsidR="00A63CEA" w:rsidRPr="005E0D41" w:rsidRDefault="00A63CEA" w:rsidP="00A63CEA">
      <w:pPr>
        <w:pStyle w:val="MediumGrid1-Accent21"/>
        <w:numPr>
          <w:ilvl w:val="0"/>
          <w:numId w:val="33"/>
        </w:numPr>
      </w:pPr>
      <w:r>
        <w:t>Housing Code Violations – N/A</w:t>
      </w:r>
    </w:p>
    <w:p w14:paraId="0E08B59D" w14:textId="77777777" w:rsidR="00A63CEA" w:rsidRPr="005E0D41" w:rsidRDefault="00A63CEA" w:rsidP="00A63CEA">
      <w:pPr>
        <w:pStyle w:val="MediumGrid1-Accent21"/>
        <w:numPr>
          <w:ilvl w:val="0"/>
          <w:numId w:val="33"/>
        </w:numPr>
      </w:pPr>
      <w:r w:rsidRPr="005E0D41">
        <w:t xml:space="preserve">AMI targets – </w:t>
      </w:r>
      <w:r>
        <w:t>2</w:t>
      </w:r>
      <w:r w:rsidRPr="005E0D41">
        <w:t xml:space="preserve"> units up to </w:t>
      </w:r>
      <w:r>
        <w:t>77</w:t>
      </w:r>
      <w:r w:rsidRPr="005E0D41">
        <w:t>% AMI</w:t>
      </w:r>
      <w:r>
        <w:t>; 16</w:t>
      </w:r>
      <w:r w:rsidRPr="005E0D41">
        <w:t xml:space="preserve"> units up to 95% of AMI</w:t>
      </w:r>
    </w:p>
    <w:p w14:paraId="0308AA2F" w14:textId="7E757A54" w:rsidR="003A4474" w:rsidRDefault="003A4474" w:rsidP="000C00F9">
      <w:pPr>
        <w:pStyle w:val="MediumGrid1-Accent21"/>
        <w:ind w:left="0"/>
      </w:pPr>
    </w:p>
    <w:p w14:paraId="1CD25DE6" w14:textId="66522F69" w:rsidR="003A4474" w:rsidRDefault="003A4474" w:rsidP="000C00F9">
      <w:pPr>
        <w:pStyle w:val="MediumGrid1-Accent21"/>
        <w:ind w:left="0"/>
      </w:pPr>
    </w:p>
    <w:p w14:paraId="79F1B39F" w14:textId="3F3A10BA" w:rsidR="007570FF" w:rsidRDefault="007570FF" w:rsidP="000C00F9">
      <w:pPr>
        <w:pStyle w:val="MediumGrid1-Accent21"/>
        <w:ind w:left="0"/>
      </w:pPr>
    </w:p>
    <w:p w14:paraId="31A07A5A" w14:textId="77777777" w:rsidR="007570FF" w:rsidRDefault="007570FF" w:rsidP="000C00F9">
      <w:pPr>
        <w:pStyle w:val="MediumGrid1-Accent21"/>
        <w:ind w:left="0"/>
      </w:pPr>
    </w:p>
    <w:p w14:paraId="6ED33AB0" w14:textId="77777777" w:rsidR="00A63CEA" w:rsidRDefault="00A63CEA" w:rsidP="000C00F9">
      <w:pPr>
        <w:pStyle w:val="MediumGrid1-Accent21"/>
        <w:ind w:left="0"/>
      </w:pPr>
    </w:p>
    <w:p w14:paraId="67BD3B68" w14:textId="77C834D9" w:rsidR="009E346B" w:rsidRPr="00461E87" w:rsidRDefault="009E346B" w:rsidP="0025701C">
      <w:pPr>
        <w:jc w:val="both"/>
        <w:rPr>
          <w:b/>
          <w:u w:val="single"/>
        </w:rPr>
      </w:pPr>
      <w:r w:rsidRPr="00072EAC">
        <w:rPr>
          <w:b/>
          <w:u w:val="single"/>
        </w:rPr>
        <w:t xml:space="preserve">Item </w:t>
      </w:r>
      <w:r>
        <w:rPr>
          <w:b/>
          <w:u w:val="single"/>
        </w:rPr>
        <w:t>3</w:t>
      </w:r>
      <w:r w:rsidRPr="00072EAC">
        <w:rPr>
          <w:b/>
          <w:u w:val="single"/>
        </w:rPr>
        <w:t xml:space="preserve">: </w:t>
      </w:r>
      <w:r w:rsidRPr="00461E87">
        <w:rPr>
          <w:b/>
          <w:u w:val="single"/>
        </w:rPr>
        <w:t>Soundview Homeownership – Phase III</w:t>
      </w:r>
    </w:p>
    <w:p w14:paraId="710EF319" w14:textId="236D2618" w:rsidR="003A4474" w:rsidRPr="00461E87" w:rsidRDefault="003A4474" w:rsidP="0025701C">
      <w:pPr>
        <w:pStyle w:val="MediumGrid1-Accent21"/>
        <w:ind w:left="0"/>
        <w:jc w:val="both"/>
      </w:pPr>
    </w:p>
    <w:p w14:paraId="527DE9D5" w14:textId="19C0E455" w:rsidR="00F35EF4" w:rsidRPr="00461E87" w:rsidRDefault="00F35EF4" w:rsidP="0025701C">
      <w:pPr>
        <w:jc w:val="both"/>
      </w:pPr>
      <w:r w:rsidRPr="00461E87">
        <w:t xml:space="preserve">The Soundview Homeownership – Phase III project will </w:t>
      </w:r>
      <w:r w:rsidR="007570FF">
        <w:t>consist of</w:t>
      </w:r>
      <w:r w:rsidR="003550E1" w:rsidRPr="00461E87">
        <w:t xml:space="preserve"> ten</w:t>
      </w:r>
      <w:r w:rsidR="007570FF">
        <w:t xml:space="preserve">, </w:t>
      </w:r>
      <w:r w:rsidRPr="00461E87">
        <w:t xml:space="preserve">four-story multifamily buildings </w:t>
      </w:r>
      <w:r w:rsidR="00294C62" w:rsidRPr="00461E87">
        <w:t xml:space="preserve">on </w:t>
      </w:r>
      <w:r w:rsidR="00AD03A8">
        <w:t>land presently owned by the</w:t>
      </w:r>
      <w:r w:rsidR="00A63CEA">
        <w:t xml:space="preserve"> </w:t>
      </w:r>
      <w:r w:rsidR="00AD03A8" w:rsidRPr="00AD03A8">
        <w:t>New York City Housing Authority</w:t>
      </w:r>
      <w:r w:rsidR="00AD03A8">
        <w:t xml:space="preserve"> (NYCHA) </w:t>
      </w:r>
      <w:r w:rsidR="003550E1" w:rsidRPr="00461E87">
        <w:t>at 1715-1739 Lacombe Av</w:t>
      </w:r>
      <w:r w:rsidR="00EE1C18" w:rsidRPr="00461E87">
        <w:t>e</w:t>
      </w:r>
      <w:r w:rsidR="003550E1" w:rsidRPr="00461E87">
        <w:t xml:space="preserve">nue and 351-359 Bronx River Avenue in the Bronx. </w:t>
      </w:r>
      <w:r w:rsidRPr="00461E87">
        <w:t xml:space="preserve">The project will consist of 27 one-bedrooms, 33 two-bedrooms and 12 three-bedrooms, </w:t>
      </w:r>
      <w:r w:rsidR="00EE1C18" w:rsidRPr="00461E87">
        <w:t>as well as</w:t>
      </w:r>
      <w:r w:rsidRPr="00461E87">
        <w:t xml:space="preserve"> 19 onsite residential parking spaces and 25 offsite residential parking spaces within the NYCHA campus. </w:t>
      </w:r>
    </w:p>
    <w:p w14:paraId="51046A72" w14:textId="31E521A8" w:rsidR="003A4474" w:rsidRPr="00461E87" w:rsidRDefault="003A4474" w:rsidP="0025701C">
      <w:pPr>
        <w:pStyle w:val="MediumGrid1-Accent21"/>
        <w:ind w:left="0"/>
        <w:jc w:val="both"/>
      </w:pPr>
    </w:p>
    <w:p w14:paraId="69FFD0AE" w14:textId="3BF67114" w:rsidR="00461E87" w:rsidRPr="00461E87" w:rsidRDefault="00461E87" w:rsidP="0025701C">
      <w:pPr>
        <w:pStyle w:val="MediumGrid1-Accent21"/>
        <w:ind w:left="0"/>
        <w:jc w:val="both"/>
      </w:pPr>
      <w:r w:rsidRPr="00461E87">
        <w:t>Under the proposed project, Soundview Park Townhomes</w:t>
      </w:r>
      <w:r w:rsidR="00401D1F">
        <w:t xml:space="preserve"> HDFC </w:t>
      </w:r>
      <w:r w:rsidRPr="00461E87">
        <w:t>will acquire the property and</w:t>
      </w:r>
      <w:r w:rsidR="0025701C">
        <w:t xml:space="preserve"> </w:t>
      </w:r>
      <w:r w:rsidRPr="00461E87">
        <w:t>Soundview Park Townhomes LLC will be the beneficial owner</w:t>
      </w:r>
      <w:r w:rsidRPr="00461E87">
        <w:rPr>
          <w:b/>
        </w:rPr>
        <w:t xml:space="preserve"> </w:t>
      </w:r>
      <w:r w:rsidRPr="00461E87">
        <w:t>and will</w:t>
      </w:r>
      <w:r w:rsidRPr="00461E87">
        <w:rPr>
          <w:b/>
        </w:rPr>
        <w:t xml:space="preserve"> </w:t>
      </w:r>
      <w:r w:rsidRPr="00461E87">
        <w:t xml:space="preserve">operate the property. The HDFC and the </w:t>
      </w:r>
      <w:r w:rsidR="0015076D">
        <w:t xml:space="preserve">LLC </w:t>
      </w:r>
      <w:r w:rsidRPr="00461E87">
        <w:t xml:space="preserve">will finance the construction of the </w:t>
      </w:r>
      <w:r w:rsidR="007570FF">
        <w:t>project</w:t>
      </w:r>
      <w:r w:rsidRPr="00461E87">
        <w:t xml:space="preserve"> with loans from HPD and the New York State Affordable Housing Corporation. </w:t>
      </w:r>
    </w:p>
    <w:p w14:paraId="52849A16" w14:textId="4418174F" w:rsidR="00564507" w:rsidRDefault="00564507" w:rsidP="0025701C">
      <w:pPr>
        <w:pStyle w:val="MediumGrid1-Accent21"/>
        <w:ind w:left="0"/>
        <w:jc w:val="both"/>
      </w:pPr>
    </w:p>
    <w:p w14:paraId="095640A5" w14:textId="40237A85" w:rsidR="00564507" w:rsidRDefault="00564507" w:rsidP="00564507">
      <w:pPr>
        <w:pStyle w:val="MediumGrid1-Accent21"/>
        <w:ind w:left="0"/>
        <w:jc w:val="both"/>
      </w:pPr>
      <w:r w:rsidRPr="00564507">
        <w:t xml:space="preserve">As NYCHA-owned property, it is not currently subject to real property taxation. This tax-exempt status will terminate upon NYCHA’s conveyance of the project to the HDFC. In order to facilitate the project, HPD is requesting that the Council approve a 40-year, full Article XI property tax exemption for the portfolio. HPD and the HDFC will then enter into a regulatory agreement that will require that the units be sold only to households within income tiers of </w:t>
      </w:r>
      <w:r w:rsidR="009B20D9">
        <w:t>85</w:t>
      </w:r>
      <w:r w:rsidRPr="00564507">
        <w:t>% and 9</w:t>
      </w:r>
      <w:r w:rsidR="009B20D9">
        <w:t>3</w:t>
      </w:r>
      <w:r w:rsidRPr="00564507">
        <w:t>% of AMI.</w:t>
      </w:r>
    </w:p>
    <w:p w14:paraId="702B6693" w14:textId="18143461" w:rsidR="001F054E" w:rsidRDefault="001F054E" w:rsidP="0025701C">
      <w:pPr>
        <w:pStyle w:val="MediumGrid1-Accent21"/>
        <w:ind w:left="0"/>
        <w:jc w:val="both"/>
      </w:pPr>
    </w:p>
    <w:p w14:paraId="7DA705AC" w14:textId="77777777" w:rsidR="0061009B" w:rsidRPr="00091344" w:rsidRDefault="0061009B" w:rsidP="0061009B">
      <w:pPr>
        <w:pStyle w:val="MediumGrid1-Accent21"/>
        <w:ind w:left="0"/>
        <w:rPr>
          <w:u w:val="single"/>
        </w:rPr>
      </w:pPr>
      <w:r w:rsidRPr="00091344">
        <w:rPr>
          <w:u w:val="single"/>
        </w:rPr>
        <w:t>Summary:</w:t>
      </w:r>
    </w:p>
    <w:p w14:paraId="0B91A015" w14:textId="4586998B" w:rsidR="0061009B" w:rsidRPr="004B7611" w:rsidRDefault="0061009B" w:rsidP="0061009B">
      <w:pPr>
        <w:pStyle w:val="MediumGrid1-Accent21"/>
        <w:numPr>
          <w:ilvl w:val="0"/>
          <w:numId w:val="33"/>
        </w:numPr>
      </w:pPr>
      <w:r w:rsidRPr="004B7611">
        <w:t>Borough – Bronx</w:t>
      </w:r>
    </w:p>
    <w:p w14:paraId="6CB6FE33" w14:textId="4351C846" w:rsidR="0061009B" w:rsidRPr="004B7611" w:rsidRDefault="0061009B" w:rsidP="0061009B">
      <w:pPr>
        <w:pStyle w:val="MediumGrid1-Accent21"/>
        <w:numPr>
          <w:ilvl w:val="0"/>
          <w:numId w:val="33"/>
        </w:numPr>
      </w:pPr>
      <w:r w:rsidRPr="004B7611">
        <w:t xml:space="preserve">Block </w:t>
      </w:r>
      <w:r w:rsidR="004B7611" w:rsidRPr="004B7611">
        <w:t>3515</w:t>
      </w:r>
      <w:r w:rsidRPr="004B7611">
        <w:t xml:space="preserve">, Lot </w:t>
      </w:r>
      <w:r w:rsidR="004B7611" w:rsidRPr="004B7611">
        <w:t>20</w:t>
      </w:r>
    </w:p>
    <w:p w14:paraId="4342C9B0" w14:textId="621E8CC2" w:rsidR="0061009B" w:rsidRPr="004B7611" w:rsidRDefault="0061009B" w:rsidP="0061009B">
      <w:pPr>
        <w:pStyle w:val="MediumGrid1-Accent21"/>
        <w:numPr>
          <w:ilvl w:val="0"/>
          <w:numId w:val="33"/>
        </w:numPr>
      </w:pPr>
      <w:r w:rsidRPr="004B7611">
        <w:t xml:space="preserve">Council District – </w:t>
      </w:r>
      <w:r w:rsidR="004B7611">
        <w:t>18</w:t>
      </w:r>
    </w:p>
    <w:p w14:paraId="744032C9" w14:textId="6562F6E9" w:rsidR="0061009B" w:rsidRDefault="0061009B" w:rsidP="0061009B">
      <w:pPr>
        <w:pStyle w:val="MediumGrid1-Accent21"/>
        <w:numPr>
          <w:ilvl w:val="0"/>
          <w:numId w:val="33"/>
        </w:numPr>
      </w:pPr>
      <w:r w:rsidRPr="004B7611">
        <w:t>Council</w:t>
      </w:r>
      <w:r>
        <w:t xml:space="preserve"> Member – </w:t>
      </w:r>
      <w:r w:rsidR="004B7611">
        <w:t>Diaz</w:t>
      </w:r>
    </w:p>
    <w:p w14:paraId="5DE93EA8" w14:textId="77777777" w:rsidR="0061009B" w:rsidRDefault="0061009B" w:rsidP="0061009B">
      <w:pPr>
        <w:pStyle w:val="MediumGrid1-Accent21"/>
        <w:numPr>
          <w:ilvl w:val="0"/>
          <w:numId w:val="33"/>
        </w:numPr>
      </w:pPr>
      <w:r>
        <w:t>Council Member approval – Yes</w:t>
      </w:r>
    </w:p>
    <w:p w14:paraId="581593C3" w14:textId="64B5F480" w:rsidR="0061009B" w:rsidRDefault="0061009B" w:rsidP="0061009B">
      <w:pPr>
        <w:pStyle w:val="MediumGrid1-Accent21"/>
        <w:numPr>
          <w:ilvl w:val="0"/>
          <w:numId w:val="33"/>
        </w:numPr>
      </w:pPr>
      <w:r>
        <w:t xml:space="preserve">Number of buildings – </w:t>
      </w:r>
      <w:r w:rsidR="00AC7DE1">
        <w:t>10</w:t>
      </w:r>
    </w:p>
    <w:p w14:paraId="4ED28CC9" w14:textId="595D39DA" w:rsidR="0061009B" w:rsidRPr="0041120C" w:rsidRDefault="0061009B" w:rsidP="0061009B">
      <w:pPr>
        <w:pStyle w:val="MediumGrid1-Accent21"/>
        <w:numPr>
          <w:ilvl w:val="0"/>
          <w:numId w:val="33"/>
        </w:numPr>
      </w:pPr>
      <w:r>
        <w:t xml:space="preserve">Number of units – </w:t>
      </w:r>
      <w:r w:rsidR="00AC7DE1">
        <w:t>72</w:t>
      </w:r>
    </w:p>
    <w:p w14:paraId="7E6FD8E7" w14:textId="77777777" w:rsidR="0061009B" w:rsidRPr="0041120C" w:rsidRDefault="0061009B" w:rsidP="0061009B">
      <w:pPr>
        <w:pStyle w:val="MediumGrid1-Accent21"/>
        <w:numPr>
          <w:ilvl w:val="0"/>
          <w:numId w:val="33"/>
        </w:numPr>
      </w:pPr>
      <w:r w:rsidRPr="0041120C">
        <w:t>Type of exemption – Article XI, full, 40 years</w:t>
      </w:r>
    </w:p>
    <w:p w14:paraId="23E1069D" w14:textId="42E0B93B" w:rsidR="0061009B" w:rsidRPr="0041120C" w:rsidRDefault="0061009B" w:rsidP="0061009B">
      <w:pPr>
        <w:pStyle w:val="MediumGrid1-Accent21"/>
        <w:numPr>
          <w:ilvl w:val="0"/>
          <w:numId w:val="33"/>
        </w:numPr>
      </w:pPr>
      <w:r w:rsidRPr="0041120C">
        <w:t xml:space="preserve">Population – affordable </w:t>
      </w:r>
      <w:r w:rsidR="00AC7DE1" w:rsidRPr="0041120C">
        <w:t>homeownership</w:t>
      </w:r>
    </w:p>
    <w:p w14:paraId="0AC76FB5" w14:textId="400E8543" w:rsidR="0061009B" w:rsidRPr="0041120C" w:rsidRDefault="0061009B" w:rsidP="0061009B">
      <w:pPr>
        <w:pStyle w:val="MediumGrid1-Accent21"/>
        <w:numPr>
          <w:ilvl w:val="0"/>
          <w:numId w:val="33"/>
        </w:numPr>
      </w:pPr>
      <w:r w:rsidRPr="0041120C">
        <w:t xml:space="preserve">Sponsor(s) – </w:t>
      </w:r>
      <w:r w:rsidR="00AC7DE1" w:rsidRPr="0041120C">
        <w:t>Lemle &amp; Wolff, Inc.</w:t>
      </w:r>
    </w:p>
    <w:p w14:paraId="20152ED9" w14:textId="77777777" w:rsidR="0061009B" w:rsidRPr="0041120C" w:rsidRDefault="0061009B" w:rsidP="0061009B">
      <w:pPr>
        <w:pStyle w:val="MediumGrid1-Accent21"/>
        <w:numPr>
          <w:ilvl w:val="0"/>
          <w:numId w:val="33"/>
        </w:numPr>
      </w:pPr>
      <w:r w:rsidRPr="0041120C">
        <w:t>Purpose – new construction</w:t>
      </w:r>
    </w:p>
    <w:p w14:paraId="67B3083B" w14:textId="513B4DB6" w:rsidR="0061009B" w:rsidRPr="0041120C" w:rsidRDefault="0061009B" w:rsidP="0061009B">
      <w:pPr>
        <w:pStyle w:val="MediumGrid1-Accent21"/>
        <w:numPr>
          <w:ilvl w:val="0"/>
          <w:numId w:val="33"/>
        </w:numPr>
      </w:pPr>
      <w:r w:rsidRPr="0041120C">
        <w:t>Cost to the City - $1</w:t>
      </w:r>
      <w:r w:rsidR="00AC7DE1" w:rsidRPr="0041120C">
        <w:t>.46</w:t>
      </w:r>
      <w:r w:rsidRPr="0041120C">
        <w:t xml:space="preserve"> million </w:t>
      </w:r>
    </w:p>
    <w:p w14:paraId="5A4FB19F" w14:textId="77777777" w:rsidR="0061009B" w:rsidRPr="0041120C" w:rsidRDefault="0061009B" w:rsidP="0061009B">
      <w:pPr>
        <w:pStyle w:val="MediumGrid1-Accent21"/>
        <w:numPr>
          <w:ilvl w:val="0"/>
          <w:numId w:val="33"/>
        </w:numPr>
      </w:pPr>
      <w:r w:rsidRPr="0041120C">
        <w:t>Housing Code Violations – N/A</w:t>
      </w:r>
    </w:p>
    <w:p w14:paraId="2E99A2B0" w14:textId="06898982" w:rsidR="0061009B" w:rsidRPr="0041120C" w:rsidRDefault="0061009B" w:rsidP="0041120C">
      <w:pPr>
        <w:pStyle w:val="MediumGrid1-Accent21"/>
        <w:numPr>
          <w:ilvl w:val="0"/>
          <w:numId w:val="33"/>
        </w:numPr>
      </w:pPr>
      <w:r w:rsidRPr="0041120C">
        <w:t xml:space="preserve">AMI targets – </w:t>
      </w:r>
      <w:r w:rsidR="0041120C" w:rsidRPr="0041120C">
        <w:rPr>
          <w:rFonts w:eastAsia="Arial"/>
        </w:rPr>
        <w:t>10 units at up to 85% AMI, 50 units at up to 90% AMI, and 12 units at up to at 93% AMI.</w:t>
      </w:r>
      <w:r w:rsidR="0041120C" w:rsidRPr="0041120C">
        <w:t xml:space="preserve"> </w:t>
      </w:r>
    </w:p>
    <w:p w14:paraId="5AED3F00" w14:textId="77777777" w:rsidR="003A4474" w:rsidRPr="0041120C" w:rsidRDefault="003A4474" w:rsidP="000C00F9">
      <w:pPr>
        <w:pStyle w:val="MediumGrid1-Accent21"/>
        <w:ind w:left="0"/>
      </w:pPr>
    </w:p>
    <w:p w14:paraId="46BBC33E" w14:textId="0FD9F01E" w:rsidR="000C00F9" w:rsidRPr="0041120C" w:rsidRDefault="000C00F9" w:rsidP="000C00F9">
      <w:pPr>
        <w:rPr>
          <w:b/>
          <w:u w:val="single"/>
        </w:rPr>
      </w:pPr>
      <w:r w:rsidRPr="0041120C">
        <w:rPr>
          <w:b/>
          <w:u w:val="single"/>
        </w:rPr>
        <w:t xml:space="preserve">Item </w:t>
      </w:r>
      <w:r w:rsidR="009E346B" w:rsidRPr="0041120C">
        <w:rPr>
          <w:b/>
          <w:u w:val="single"/>
        </w:rPr>
        <w:t>4</w:t>
      </w:r>
      <w:r w:rsidRPr="0041120C">
        <w:rPr>
          <w:b/>
          <w:u w:val="single"/>
        </w:rPr>
        <w:t xml:space="preserve">: </w:t>
      </w:r>
      <w:r w:rsidR="00301B53" w:rsidRPr="0041120C">
        <w:rPr>
          <w:b/>
          <w:u w:val="single"/>
        </w:rPr>
        <w:t>Apex Place Phase I</w:t>
      </w:r>
      <w:r w:rsidRPr="0041120C">
        <w:rPr>
          <w:b/>
          <w:u w:val="single"/>
        </w:rPr>
        <w:t xml:space="preserve"> Portfolio</w:t>
      </w:r>
    </w:p>
    <w:p w14:paraId="5286B6EB" w14:textId="1B325F37" w:rsidR="000C00F9" w:rsidRPr="0041120C" w:rsidRDefault="000C00F9" w:rsidP="000C00F9">
      <w:pPr>
        <w:pStyle w:val="MediumGrid1-Accent21"/>
        <w:ind w:left="0"/>
      </w:pPr>
    </w:p>
    <w:p w14:paraId="4F3598DB" w14:textId="544ACED5" w:rsidR="000C00F9" w:rsidRPr="000C00F9" w:rsidRDefault="000C00F9" w:rsidP="000C00F9">
      <w:pPr>
        <w:jc w:val="both"/>
      </w:pPr>
      <w:r w:rsidRPr="0041120C">
        <w:t>The Apex Place Phase I project</w:t>
      </w:r>
      <w:r w:rsidR="004D2588" w:rsidRPr="0041120C">
        <w:t xml:space="preserve"> will be a newly-constructed</w:t>
      </w:r>
      <w:r w:rsidR="004D2588" w:rsidRPr="007D2E8D">
        <w:t xml:space="preserve"> buildin</w:t>
      </w:r>
      <w:r w:rsidR="004D2588">
        <w:t xml:space="preserve">g </w:t>
      </w:r>
      <w:r w:rsidR="00DD3DDE">
        <w:t>comprised</w:t>
      </w:r>
      <w:r w:rsidRPr="00D549D1">
        <w:t xml:space="preserve"> of </w:t>
      </w:r>
      <w:r>
        <w:t>183</w:t>
      </w:r>
      <w:r w:rsidRPr="00D549D1">
        <w:t xml:space="preserve"> residential units</w:t>
      </w:r>
      <w:r>
        <w:t xml:space="preserve">, a </w:t>
      </w:r>
      <w:r w:rsidRPr="000C00F9">
        <w:t xml:space="preserve">community facility space, </w:t>
      </w:r>
      <w:r>
        <w:t>garage and surface</w:t>
      </w:r>
      <w:r w:rsidR="00CB2E95">
        <w:t xml:space="preserve"> parking</w:t>
      </w:r>
      <w:r>
        <w:t xml:space="preserve">, located at </w:t>
      </w:r>
      <w:r w:rsidRPr="000C00F9">
        <w:t xml:space="preserve">62-11 108th Street </w:t>
      </w:r>
      <w:r w:rsidRPr="00D1448F">
        <w:t xml:space="preserve">in </w:t>
      </w:r>
      <w:r>
        <w:t xml:space="preserve">Queens. </w:t>
      </w:r>
      <w:r w:rsidRPr="00EF7D21">
        <w:t xml:space="preserve">The </w:t>
      </w:r>
      <w:r w:rsidR="004D2588">
        <w:t xml:space="preserve">building </w:t>
      </w:r>
      <w:r w:rsidR="00E13AD3">
        <w:t>will</w:t>
      </w:r>
      <w:r w:rsidRPr="00EF7D21">
        <w:t xml:space="preserve"> consist of </w:t>
      </w:r>
      <w:r>
        <w:t xml:space="preserve">16 </w:t>
      </w:r>
      <w:r w:rsidRPr="000C00F9">
        <w:t>st</w:t>
      </w:r>
      <w:r>
        <w:t>udio apartments, 77</w:t>
      </w:r>
      <w:r w:rsidRPr="000C00F9">
        <w:t xml:space="preserve"> one-bedroom apartments, </w:t>
      </w:r>
      <w:r>
        <w:t>74</w:t>
      </w:r>
      <w:r w:rsidRPr="000C00F9">
        <w:t xml:space="preserve"> two-bedroom apartments</w:t>
      </w:r>
      <w:r w:rsidR="007570FF">
        <w:t>,</w:t>
      </w:r>
      <w:r w:rsidRPr="000C00F9">
        <w:t xml:space="preserve"> and </w:t>
      </w:r>
      <w:r>
        <w:t>16</w:t>
      </w:r>
      <w:r w:rsidRPr="000C00F9">
        <w:t xml:space="preserve"> three-bedroom apartments.</w:t>
      </w:r>
    </w:p>
    <w:p w14:paraId="5635F17C" w14:textId="77777777" w:rsidR="000C00F9" w:rsidRDefault="000C00F9" w:rsidP="000C00F9">
      <w:pPr>
        <w:jc w:val="both"/>
      </w:pPr>
    </w:p>
    <w:p w14:paraId="6E7DF969" w14:textId="6881FCF8" w:rsidR="000C00F9" w:rsidRDefault="000C00F9" w:rsidP="000C00F9">
      <w:pPr>
        <w:jc w:val="both"/>
      </w:pPr>
      <w:r w:rsidRPr="001C5268">
        <w:t xml:space="preserve">Under the proposed project, </w:t>
      </w:r>
      <w:r w:rsidRPr="000C00F9">
        <w:t xml:space="preserve">Apex Place HDFC will acquire the </w:t>
      </w:r>
      <w:r>
        <w:t>property</w:t>
      </w:r>
      <w:r w:rsidRPr="000C00F9">
        <w:t xml:space="preserve"> and Apex Place Associates, L.P. will be the beneficial owner and will operate the </w:t>
      </w:r>
      <w:r>
        <w:t>property</w:t>
      </w:r>
      <w:r w:rsidRPr="000C00F9">
        <w:t xml:space="preserve">. The HDFC and the </w:t>
      </w:r>
      <w:r w:rsidR="0045682B">
        <w:t xml:space="preserve">L.P. </w:t>
      </w:r>
      <w:r w:rsidRPr="000C00F9">
        <w:t xml:space="preserve">will finance the acquisition and construction of the </w:t>
      </w:r>
      <w:r>
        <w:t>property</w:t>
      </w:r>
      <w:r w:rsidRPr="000C00F9">
        <w:t xml:space="preserve"> with loans from HDC and HPD and low</w:t>
      </w:r>
      <w:r w:rsidR="00AF72A2">
        <w:t>-</w:t>
      </w:r>
      <w:r w:rsidRPr="000C00F9">
        <w:t>income housing tax credits.</w:t>
      </w:r>
    </w:p>
    <w:p w14:paraId="35A92DE4" w14:textId="786CB14F" w:rsidR="00A54262" w:rsidRPr="00D1448F" w:rsidRDefault="00A54262" w:rsidP="000C00F9">
      <w:pPr>
        <w:jc w:val="both"/>
      </w:pPr>
    </w:p>
    <w:p w14:paraId="3FFF42CA" w14:textId="16E09A27" w:rsidR="000C00F9" w:rsidRPr="00DD3DDE" w:rsidRDefault="00DD3DDE" w:rsidP="00DD3DDE">
      <w:pPr>
        <w:jc w:val="both"/>
      </w:pPr>
      <w:r>
        <w:t>HPD</w:t>
      </w:r>
      <w:r w:rsidR="000C00F9">
        <w:t xml:space="preserve"> is requesting that the Council approve</w:t>
      </w:r>
      <w:r w:rsidR="000C00F9" w:rsidRPr="00EE2773">
        <w:t xml:space="preserve"> a</w:t>
      </w:r>
      <w:r w:rsidR="00B06842">
        <w:t xml:space="preserve"> 4</w:t>
      </w:r>
      <w:r w:rsidR="000C00F9">
        <w:t>0-year,</w:t>
      </w:r>
      <w:r w:rsidR="000C00F9" w:rsidRPr="00EE2773">
        <w:t xml:space="preserve"> </w:t>
      </w:r>
      <w:r w:rsidR="00B06842">
        <w:t>full</w:t>
      </w:r>
      <w:r w:rsidR="000C00F9" w:rsidRPr="00EE2773">
        <w:t xml:space="preserve"> Article XI</w:t>
      </w:r>
      <w:r w:rsidR="000C00F9">
        <w:t xml:space="preserve"> property</w:t>
      </w:r>
      <w:r w:rsidR="000C00F9" w:rsidRPr="00EE2773">
        <w:t xml:space="preserve"> tax exemption for the portfolio</w:t>
      </w:r>
      <w:r w:rsidR="000C00F9">
        <w:t>. HPD</w:t>
      </w:r>
      <w:r w:rsidR="00B14E39">
        <w:t xml:space="preserve">, HDC, and </w:t>
      </w:r>
      <w:r w:rsidR="000C00F9">
        <w:t>the HDFC will then</w:t>
      </w:r>
      <w:r w:rsidR="000C00F9" w:rsidRPr="00EE2773">
        <w:t xml:space="preserve"> enter into a regulatory agreement that</w:t>
      </w:r>
      <w:r w:rsidR="000C00F9">
        <w:t xml:space="preserve"> will require that the units be leased only to households within income </w:t>
      </w:r>
      <w:r w:rsidR="000C00F9" w:rsidRPr="00EE2773">
        <w:t xml:space="preserve">tiers </w:t>
      </w:r>
      <w:r w:rsidR="00B06842">
        <w:t>of 40%, 50%, 70%</w:t>
      </w:r>
      <w:r>
        <w:t>,</w:t>
      </w:r>
      <w:r w:rsidR="00B06842">
        <w:t xml:space="preserve"> 110% and 130%</w:t>
      </w:r>
      <w:r w:rsidR="000C00F9" w:rsidRPr="00EE2773">
        <w:t xml:space="preserve"> </w:t>
      </w:r>
      <w:r w:rsidR="00B06842">
        <w:t>of</w:t>
      </w:r>
      <w:r w:rsidR="000C00F9" w:rsidRPr="00EE2773">
        <w:t xml:space="preserve"> </w:t>
      </w:r>
      <w:r w:rsidR="000C00F9">
        <w:t xml:space="preserve">AMI. </w:t>
      </w:r>
      <w:r w:rsidR="003623D5">
        <w:t>Of the 183 residential units, 18</w:t>
      </w:r>
      <w:r w:rsidR="003623D5" w:rsidRPr="003623D5">
        <w:t xml:space="preserve"> </w:t>
      </w:r>
      <w:r w:rsidR="003623D5">
        <w:t>units</w:t>
      </w:r>
      <w:r w:rsidR="003623D5" w:rsidRPr="003623D5">
        <w:t xml:space="preserve"> will be set aside for homeless families </w:t>
      </w:r>
      <w:r w:rsidR="003623D5">
        <w:t>under the Our Space initiative and 74</w:t>
      </w:r>
      <w:r w:rsidR="003623D5" w:rsidRPr="003623D5">
        <w:t xml:space="preserve"> </w:t>
      </w:r>
      <w:r w:rsidR="003623D5">
        <w:t xml:space="preserve">units, which will be tax credit units, </w:t>
      </w:r>
      <w:r w:rsidR="00EE7CD3">
        <w:t>will</w:t>
      </w:r>
      <w:r w:rsidR="003623D5">
        <w:t xml:space="preserve"> be designated as affordable </w:t>
      </w:r>
      <w:r w:rsidR="00EE7CD3">
        <w:t xml:space="preserve">with </w:t>
      </w:r>
      <w:r w:rsidR="003623D5">
        <w:t>37 units to</w:t>
      </w:r>
      <w:r w:rsidR="003623D5" w:rsidRPr="003623D5">
        <w:t xml:space="preserve"> households earning </w:t>
      </w:r>
      <w:r w:rsidR="003623D5">
        <w:t xml:space="preserve">up to 50% of </w:t>
      </w:r>
      <w:r w:rsidR="00EE7CD3">
        <w:t xml:space="preserve">AMI and </w:t>
      </w:r>
      <w:r w:rsidR="003623D5">
        <w:t>37 units to</w:t>
      </w:r>
      <w:r w:rsidR="003623D5" w:rsidRPr="003623D5">
        <w:t xml:space="preserve"> households earning up to 70% of AMI</w:t>
      </w:r>
      <w:r w:rsidR="00640ABF">
        <w:t>.</w:t>
      </w:r>
      <w:r w:rsidR="003623D5">
        <w:t xml:space="preserve"> </w:t>
      </w:r>
      <w:r w:rsidR="00EE7CD3">
        <w:t>The remaining 91</w:t>
      </w:r>
      <w:r w:rsidR="00143658">
        <w:t xml:space="preserve"> units will be </w:t>
      </w:r>
      <w:r w:rsidR="007550A2">
        <w:t>designated as affordable, with 46</w:t>
      </w:r>
      <w:r w:rsidR="00EE7CD3">
        <w:t xml:space="preserve"> units</w:t>
      </w:r>
      <w:r w:rsidR="007550A2">
        <w:t xml:space="preserve"> </w:t>
      </w:r>
      <w:r w:rsidRPr="00DD3DDE">
        <w:t xml:space="preserve">at income levels up to 110% </w:t>
      </w:r>
      <w:r w:rsidR="007550A2">
        <w:t xml:space="preserve">of </w:t>
      </w:r>
      <w:r w:rsidRPr="00DD3DDE">
        <w:t xml:space="preserve">AMI </w:t>
      </w:r>
      <w:r w:rsidR="00EE7CD3">
        <w:t>and 45 units of income levels up to</w:t>
      </w:r>
      <w:r w:rsidRPr="00DD3DDE">
        <w:t xml:space="preserve"> 130% </w:t>
      </w:r>
      <w:r w:rsidR="007550A2">
        <w:t xml:space="preserve">of </w:t>
      </w:r>
      <w:r w:rsidRPr="00DD3DDE">
        <w:t>AMI.</w:t>
      </w:r>
    </w:p>
    <w:p w14:paraId="3EB2084A" w14:textId="77777777" w:rsidR="000C00F9" w:rsidRDefault="000C00F9" w:rsidP="000C00F9">
      <w:pPr>
        <w:jc w:val="both"/>
      </w:pPr>
    </w:p>
    <w:p w14:paraId="5E45DB05" w14:textId="04846C74" w:rsidR="002C06D3" w:rsidRPr="00D92BAA" w:rsidRDefault="006E0A4B" w:rsidP="00D92BAA">
      <w:pPr>
        <w:jc w:val="both"/>
      </w:pPr>
      <w:r w:rsidRPr="006E0A4B">
        <w:t>On November 16, 2017, Council approved an Article XI</w:t>
      </w:r>
      <w:r>
        <w:t xml:space="preserve"> exemption on Block 2159, Lot 2, which stated that the</w:t>
      </w:r>
      <w:r w:rsidRPr="006E0A4B">
        <w:t xml:space="preserve"> exemption </w:t>
      </w:r>
      <w:r>
        <w:t xml:space="preserve">applied to all land in the Exemption Area </w:t>
      </w:r>
      <w:r w:rsidRPr="006E0A4B">
        <w:t xml:space="preserve">but </w:t>
      </w:r>
      <w:r>
        <w:t>only applied to buildings on the Exemption A</w:t>
      </w:r>
      <w:r w:rsidRPr="006E0A4B">
        <w:t>rea that exist on the effective date</w:t>
      </w:r>
      <w:r>
        <w:t xml:space="preserve"> of the exemption</w:t>
      </w:r>
      <w:r w:rsidRPr="006E0A4B">
        <w:t xml:space="preserve">. As of August 17, 2018, Lot 2 split into Lots 2, 20, 50, and 80. </w:t>
      </w:r>
      <w:r w:rsidR="006F13FA" w:rsidRPr="006F13FA">
        <w:t>In order to facilitate the proposed project</w:t>
      </w:r>
      <w:r w:rsidR="006F13FA">
        <w:t xml:space="preserve"> and extend the exemption to the new construction</w:t>
      </w:r>
      <w:r w:rsidR="006F13FA" w:rsidRPr="006F13FA">
        <w:t>, the prior exemption will be terminated and replaced with the new Article XI exemption, if approved.</w:t>
      </w:r>
    </w:p>
    <w:p w14:paraId="767B80E4" w14:textId="02D2C4B6" w:rsidR="000C00F9" w:rsidRDefault="000C00F9" w:rsidP="000C00F9">
      <w:pPr>
        <w:pStyle w:val="MediumGrid1-Accent21"/>
        <w:ind w:left="0"/>
      </w:pPr>
    </w:p>
    <w:p w14:paraId="2521584F" w14:textId="77777777" w:rsidR="00091344" w:rsidRPr="00091344" w:rsidRDefault="00091344" w:rsidP="000C00F9">
      <w:pPr>
        <w:pStyle w:val="MediumGrid1-Accent21"/>
        <w:ind w:left="0"/>
        <w:rPr>
          <w:u w:val="single"/>
        </w:rPr>
      </w:pPr>
      <w:r w:rsidRPr="00091344">
        <w:rPr>
          <w:u w:val="single"/>
        </w:rPr>
        <w:t>Summary:</w:t>
      </w:r>
    </w:p>
    <w:p w14:paraId="115BFA37" w14:textId="294BF234" w:rsidR="00091344" w:rsidRDefault="00091344" w:rsidP="00091344">
      <w:pPr>
        <w:pStyle w:val="MediumGrid1-Accent21"/>
        <w:numPr>
          <w:ilvl w:val="0"/>
          <w:numId w:val="33"/>
        </w:numPr>
      </w:pPr>
      <w:r>
        <w:t>Borough – Queens</w:t>
      </w:r>
    </w:p>
    <w:p w14:paraId="3F2C1804" w14:textId="77777777" w:rsidR="00091344" w:rsidRDefault="00091344" w:rsidP="00091344">
      <w:pPr>
        <w:pStyle w:val="MediumGrid1-Accent21"/>
        <w:numPr>
          <w:ilvl w:val="0"/>
          <w:numId w:val="33"/>
        </w:numPr>
      </w:pPr>
      <w:r w:rsidRPr="00091344">
        <w:t>Block 2159, Lot 80</w:t>
      </w:r>
    </w:p>
    <w:p w14:paraId="1FE3E7AA" w14:textId="1F1BAB63" w:rsidR="00091344" w:rsidRDefault="00091344" w:rsidP="00091344">
      <w:pPr>
        <w:pStyle w:val="MediumGrid1-Accent21"/>
        <w:numPr>
          <w:ilvl w:val="0"/>
          <w:numId w:val="33"/>
        </w:numPr>
      </w:pPr>
      <w:r>
        <w:t>Council District – 29</w:t>
      </w:r>
    </w:p>
    <w:p w14:paraId="053B2BA5" w14:textId="58ED16BA" w:rsidR="00091344" w:rsidRDefault="00091344" w:rsidP="00091344">
      <w:pPr>
        <w:pStyle w:val="MediumGrid1-Accent21"/>
        <w:numPr>
          <w:ilvl w:val="0"/>
          <w:numId w:val="33"/>
        </w:numPr>
      </w:pPr>
      <w:r>
        <w:t xml:space="preserve">Council Member – </w:t>
      </w:r>
      <w:r w:rsidRPr="00091344">
        <w:t>Koslowitz</w:t>
      </w:r>
    </w:p>
    <w:p w14:paraId="4A0605F9" w14:textId="77777777" w:rsidR="00091344" w:rsidRDefault="00091344" w:rsidP="00091344">
      <w:pPr>
        <w:pStyle w:val="MediumGrid1-Accent21"/>
        <w:numPr>
          <w:ilvl w:val="0"/>
          <w:numId w:val="33"/>
        </w:numPr>
      </w:pPr>
      <w:r>
        <w:t>Council Member approval – Yes</w:t>
      </w:r>
    </w:p>
    <w:p w14:paraId="642001AA" w14:textId="77777777" w:rsidR="00091344" w:rsidRDefault="00091344" w:rsidP="00091344">
      <w:pPr>
        <w:pStyle w:val="MediumGrid1-Accent21"/>
        <w:numPr>
          <w:ilvl w:val="0"/>
          <w:numId w:val="33"/>
        </w:numPr>
      </w:pPr>
      <w:r>
        <w:t>Number of buildings – 1</w:t>
      </w:r>
    </w:p>
    <w:p w14:paraId="3AECB94A" w14:textId="6984F78D" w:rsidR="00091344" w:rsidRDefault="00091344" w:rsidP="00091344">
      <w:pPr>
        <w:pStyle w:val="MediumGrid1-Accent21"/>
        <w:numPr>
          <w:ilvl w:val="0"/>
          <w:numId w:val="33"/>
        </w:numPr>
      </w:pPr>
      <w:r>
        <w:t>Number of units – 183</w:t>
      </w:r>
    </w:p>
    <w:p w14:paraId="268D2041" w14:textId="114ACC25" w:rsidR="00091344" w:rsidRDefault="00091344" w:rsidP="00091344">
      <w:pPr>
        <w:pStyle w:val="MediumGrid1-Accent21"/>
        <w:numPr>
          <w:ilvl w:val="0"/>
          <w:numId w:val="33"/>
        </w:numPr>
      </w:pPr>
      <w:r>
        <w:t>Type of exemption – Article XI, full, 40 years</w:t>
      </w:r>
    </w:p>
    <w:p w14:paraId="0F1B2553" w14:textId="77777777" w:rsidR="00091344" w:rsidRDefault="00091344" w:rsidP="00091344">
      <w:pPr>
        <w:pStyle w:val="MediumGrid1-Accent21"/>
        <w:numPr>
          <w:ilvl w:val="0"/>
          <w:numId w:val="33"/>
        </w:numPr>
      </w:pPr>
      <w:r>
        <w:t xml:space="preserve">Population – affordable rental housing </w:t>
      </w:r>
    </w:p>
    <w:p w14:paraId="1F738E1D" w14:textId="690F3A67" w:rsidR="00091344" w:rsidRPr="00091344" w:rsidRDefault="00091344" w:rsidP="00091344">
      <w:pPr>
        <w:pStyle w:val="MediumGrid1-Accent21"/>
        <w:numPr>
          <w:ilvl w:val="0"/>
          <w:numId w:val="33"/>
        </w:numPr>
      </w:pPr>
      <w:r>
        <w:t xml:space="preserve">Sponsor(s) – </w:t>
      </w:r>
      <w:r w:rsidRPr="00091344">
        <w:t xml:space="preserve">Apex Place </w:t>
      </w:r>
      <w:r w:rsidR="005E0D1E">
        <w:t>HDFC</w:t>
      </w:r>
      <w:r>
        <w:t xml:space="preserve">; </w:t>
      </w:r>
      <w:r w:rsidRPr="00091344">
        <w:t>Apex Place Associates, L.P.</w:t>
      </w:r>
    </w:p>
    <w:p w14:paraId="2F1FA16A" w14:textId="28859A92" w:rsidR="00091344" w:rsidRDefault="00091344" w:rsidP="00091344">
      <w:pPr>
        <w:pStyle w:val="MediumGrid1-Accent21"/>
        <w:numPr>
          <w:ilvl w:val="0"/>
          <w:numId w:val="33"/>
        </w:numPr>
      </w:pPr>
      <w:r>
        <w:t>Purpose – new construction</w:t>
      </w:r>
    </w:p>
    <w:p w14:paraId="6B801FCB" w14:textId="19B31DD0" w:rsidR="00091344" w:rsidRDefault="00091344" w:rsidP="00091344">
      <w:pPr>
        <w:pStyle w:val="MediumGrid1-Accent21"/>
        <w:numPr>
          <w:ilvl w:val="0"/>
          <w:numId w:val="33"/>
        </w:numPr>
      </w:pPr>
      <w:r>
        <w:t xml:space="preserve">Cost to the City - $16.5 million </w:t>
      </w:r>
    </w:p>
    <w:p w14:paraId="2D50A91B" w14:textId="5705C7AA" w:rsidR="00091344" w:rsidRDefault="00091344" w:rsidP="00091344">
      <w:pPr>
        <w:pStyle w:val="MediumGrid1-Accent21"/>
        <w:numPr>
          <w:ilvl w:val="0"/>
          <w:numId w:val="33"/>
        </w:numPr>
      </w:pPr>
      <w:r>
        <w:t>Housing Code Violations – N/A</w:t>
      </w:r>
    </w:p>
    <w:p w14:paraId="33C19982" w14:textId="0851498B" w:rsidR="00091344" w:rsidRDefault="00091344" w:rsidP="00091344">
      <w:pPr>
        <w:pStyle w:val="MediumGrid1-Accent21"/>
        <w:numPr>
          <w:ilvl w:val="0"/>
          <w:numId w:val="33"/>
        </w:numPr>
      </w:pPr>
      <w:r>
        <w:t xml:space="preserve">AMI targets – </w:t>
      </w:r>
      <w:r w:rsidR="008E5348">
        <w:t xml:space="preserve">18 units up to 40% of AMI, </w:t>
      </w:r>
      <w:r w:rsidRPr="00091344">
        <w:t>37 units up to 50% AMI, 37 units up to 70% AMI, 46 units up to 110% AMI and 45 units up to 130% AMI</w:t>
      </w:r>
    </w:p>
    <w:p w14:paraId="4A86A109" w14:textId="77777777" w:rsidR="00BC7054" w:rsidRDefault="00091344" w:rsidP="00BC7054">
      <w:r>
        <w:t xml:space="preserve"> </w:t>
      </w:r>
    </w:p>
    <w:p w14:paraId="11932615" w14:textId="57A08A6B" w:rsidR="00BC7054" w:rsidRPr="002824A5" w:rsidRDefault="00BC7054" w:rsidP="00BC7054">
      <w:pPr>
        <w:rPr>
          <w:b/>
          <w:u w:val="single"/>
        </w:rPr>
      </w:pPr>
      <w:r w:rsidRPr="00072EAC">
        <w:rPr>
          <w:b/>
          <w:u w:val="single"/>
        </w:rPr>
        <w:t xml:space="preserve">Item </w:t>
      </w:r>
      <w:r w:rsidR="009F38B2">
        <w:rPr>
          <w:b/>
          <w:u w:val="single"/>
        </w:rPr>
        <w:t>5</w:t>
      </w:r>
      <w:r w:rsidRPr="00072EAC">
        <w:rPr>
          <w:b/>
          <w:u w:val="single"/>
        </w:rPr>
        <w:t xml:space="preserve">: </w:t>
      </w:r>
      <w:r>
        <w:rPr>
          <w:b/>
          <w:u w:val="single"/>
        </w:rPr>
        <w:t>Apex Place Phase II</w:t>
      </w:r>
      <w:r w:rsidRPr="002824A5">
        <w:rPr>
          <w:b/>
          <w:u w:val="single"/>
        </w:rPr>
        <w:t xml:space="preserve"> Portfolio</w:t>
      </w:r>
    </w:p>
    <w:p w14:paraId="6AD1299F" w14:textId="6F688A6E" w:rsidR="00091344" w:rsidRDefault="00091344" w:rsidP="000C00F9">
      <w:pPr>
        <w:pStyle w:val="MediumGrid1-Accent21"/>
        <w:ind w:left="0"/>
      </w:pPr>
    </w:p>
    <w:p w14:paraId="779F46A1" w14:textId="69CEAC91" w:rsidR="00BB0AF1" w:rsidRPr="000C00F9" w:rsidRDefault="00BB0AF1" w:rsidP="00BB0AF1">
      <w:pPr>
        <w:jc w:val="both"/>
      </w:pPr>
      <w:r w:rsidRPr="00D549D1">
        <w:t xml:space="preserve">The </w:t>
      </w:r>
      <w:r w:rsidRPr="000C00F9">
        <w:t xml:space="preserve">Apex Place Phase </w:t>
      </w:r>
      <w:r>
        <w:t xml:space="preserve">II project </w:t>
      </w:r>
      <w:r w:rsidR="00BF43D2">
        <w:t xml:space="preserve">will be two </w:t>
      </w:r>
      <w:r w:rsidR="00BF43D2" w:rsidRPr="007D2E8D">
        <w:t>newly</w:t>
      </w:r>
      <w:r w:rsidR="00BF43D2">
        <w:t>-</w:t>
      </w:r>
      <w:r w:rsidR="00BF43D2" w:rsidRPr="007D2E8D">
        <w:t>constructed buildin</w:t>
      </w:r>
      <w:r w:rsidR="00BF43D2">
        <w:t xml:space="preserve">gs </w:t>
      </w:r>
      <w:r>
        <w:t>comprised</w:t>
      </w:r>
      <w:r w:rsidRPr="00D549D1">
        <w:t xml:space="preserve"> of </w:t>
      </w:r>
      <w:r>
        <w:t>a total of 259</w:t>
      </w:r>
      <w:r w:rsidRPr="00D549D1">
        <w:t xml:space="preserve"> residential units</w:t>
      </w:r>
      <w:r>
        <w:t xml:space="preserve"> and a community facility space, located at </w:t>
      </w:r>
      <w:r w:rsidRPr="00BB0AF1">
        <w:t xml:space="preserve">110-41 Colonial Avenue and 108-75 62nd Drive </w:t>
      </w:r>
      <w:r w:rsidRPr="00D1448F">
        <w:t xml:space="preserve">in </w:t>
      </w:r>
      <w:r>
        <w:t xml:space="preserve">Queens. </w:t>
      </w:r>
      <w:r w:rsidRPr="00EF7D21">
        <w:t xml:space="preserve">The portfolio consists of </w:t>
      </w:r>
      <w:r>
        <w:t>23</w:t>
      </w:r>
      <w:r w:rsidRPr="00BB0AF1">
        <w:t xml:space="preserve"> studio apartments, </w:t>
      </w:r>
      <w:r>
        <w:t>94</w:t>
      </w:r>
      <w:r w:rsidRPr="00BB0AF1">
        <w:t xml:space="preserve"> one-bedroom apartments, </w:t>
      </w:r>
      <w:r>
        <w:t>119</w:t>
      </w:r>
      <w:r w:rsidRPr="00BB0AF1">
        <w:t xml:space="preserve"> two-bedroom apartments (inclusive of one superintendent’s unit), and </w:t>
      </w:r>
      <w:r>
        <w:t>23</w:t>
      </w:r>
      <w:r w:rsidRPr="00BB0AF1">
        <w:t xml:space="preserve"> three-bedroom apartments</w:t>
      </w:r>
      <w:r>
        <w:t>.</w:t>
      </w:r>
    </w:p>
    <w:p w14:paraId="346581BB" w14:textId="77777777" w:rsidR="00BB0AF1" w:rsidRDefault="00BB0AF1" w:rsidP="00BB0AF1">
      <w:pPr>
        <w:jc w:val="both"/>
      </w:pPr>
    </w:p>
    <w:p w14:paraId="59697380" w14:textId="0D72B190" w:rsidR="00BB0AF1" w:rsidRDefault="00BB0AF1" w:rsidP="00BB0AF1">
      <w:pPr>
        <w:jc w:val="both"/>
      </w:pPr>
      <w:r w:rsidRPr="00BB0AF1">
        <w:t xml:space="preserve">Under the proposed project, Apex Place II HDFC will acquire the </w:t>
      </w:r>
      <w:r>
        <w:t>property</w:t>
      </w:r>
      <w:r w:rsidRPr="00BB0AF1">
        <w:t xml:space="preserve"> and Apex Place II Associates, L.P.</w:t>
      </w:r>
      <w:r w:rsidR="00F13184">
        <w:t xml:space="preserve"> </w:t>
      </w:r>
      <w:r w:rsidRPr="00BB0AF1">
        <w:t xml:space="preserve">will be the beneficial owner and will operate the </w:t>
      </w:r>
      <w:r>
        <w:t>property</w:t>
      </w:r>
      <w:r w:rsidRPr="00BB0AF1">
        <w:t xml:space="preserve">. The HDFC and the </w:t>
      </w:r>
      <w:r w:rsidR="00F13184">
        <w:t xml:space="preserve">L.P. </w:t>
      </w:r>
      <w:r w:rsidRPr="00BB0AF1">
        <w:t xml:space="preserve">will finance the acquisition and construction of the </w:t>
      </w:r>
      <w:r>
        <w:t>property</w:t>
      </w:r>
      <w:r w:rsidRPr="00BB0AF1">
        <w:t xml:space="preserve"> with loans from HDC and </w:t>
      </w:r>
      <w:r w:rsidR="002D1FD2">
        <w:t>HPD</w:t>
      </w:r>
      <w:r w:rsidRPr="00BB0AF1">
        <w:t xml:space="preserve"> and low</w:t>
      </w:r>
      <w:r w:rsidR="00F13184">
        <w:t>-</w:t>
      </w:r>
      <w:r w:rsidRPr="00BB0AF1">
        <w:t xml:space="preserve">income housing tax credits. </w:t>
      </w:r>
    </w:p>
    <w:p w14:paraId="2450247D" w14:textId="77777777" w:rsidR="00BB0AF1" w:rsidRPr="00D1448F" w:rsidRDefault="00BB0AF1" w:rsidP="00BB0AF1">
      <w:pPr>
        <w:jc w:val="both"/>
      </w:pPr>
    </w:p>
    <w:p w14:paraId="3D80EDC3" w14:textId="641645E6" w:rsidR="00BB0AF1" w:rsidRPr="00DD3DDE" w:rsidRDefault="00BB0AF1" w:rsidP="00BB0AF1">
      <w:pPr>
        <w:jc w:val="both"/>
      </w:pPr>
      <w:r>
        <w:t>HPD is requesting that the Council approve</w:t>
      </w:r>
      <w:r w:rsidRPr="00EE2773">
        <w:t xml:space="preserve"> a</w:t>
      </w:r>
      <w:r>
        <w:t xml:space="preserve"> 40-year,</w:t>
      </w:r>
      <w:r w:rsidRPr="00EE2773">
        <w:t xml:space="preserve"> </w:t>
      </w:r>
      <w:r>
        <w:t>full</w:t>
      </w:r>
      <w:r w:rsidRPr="00EE2773">
        <w:t xml:space="preserve"> Article XI</w:t>
      </w:r>
      <w:r>
        <w:t xml:space="preserve"> property</w:t>
      </w:r>
      <w:r w:rsidRPr="00EE2773">
        <w:t xml:space="preserve"> tax exemption for the portfolio</w:t>
      </w:r>
      <w:r>
        <w:t>. HPD</w:t>
      </w:r>
      <w:r w:rsidR="00F940FD">
        <w:t xml:space="preserve">, HDC, and </w:t>
      </w:r>
      <w:r>
        <w:t>the HDFC will then</w:t>
      </w:r>
      <w:r w:rsidRPr="00EE2773">
        <w:t xml:space="preserve"> enter into a regulatory agreement that</w:t>
      </w:r>
      <w:r>
        <w:t xml:space="preserve"> will require that the units be leased only to households within income </w:t>
      </w:r>
      <w:r w:rsidRPr="00EE2773">
        <w:t xml:space="preserve">tiers </w:t>
      </w:r>
      <w:r>
        <w:t>of 40%, 50%, 70%, 110% and 130%</w:t>
      </w:r>
      <w:r w:rsidRPr="00EE2773">
        <w:t xml:space="preserve"> </w:t>
      </w:r>
      <w:r>
        <w:t>of</w:t>
      </w:r>
      <w:r w:rsidRPr="00EE2773">
        <w:t xml:space="preserve"> </w:t>
      </w:r>
      <w:r w:rsidR="00DF032F">
        <w:t>AMI</w:t>
      </w:r>
      <w:r>
        <w:t xml:space="preserve">. </w:t>
      </w:r>
      <w:r w:rsidR="00BD72B4">
        <w:t>Of the 259</w:t>
      </w:r>
      <w:r>
        <w:t xml:space="preserve"> residential units, </w:t>
      </w:r>
      <w:r w:rsidR="00BD72B4">
        <w:t>26</w:t>
      </w:r>
      <w:r w:rsidRPr="003623D5">
        <w:t xml:space="preserve"> </w:t>
      </w:r>
      <w:r>
        <w:t>units</w:t>
      </w:r>
      <w:r w:rsidRPr="003623D5">
        <w:t xml:space="preserve"> will be set aside for homeless families </w:t>
      </w:r>
      <w:r>
        <w:t xml:space="preserve">under the Our Space initiative and </w:t>
      </w:r>
      <w:r w:rsidR="00BD72B4">
        <w:t>104</w:t>
      </w:r>
      <w:r w:rsidRPr="003623D5">
        <w:t xml:space="preserve"> </w:t>
      </w:r>
      <w:r>
        <w:t xml:space="preserve">units, which will be tax credit units, will be designated as affordable with </w:t>
      </w:r>
      <w:r w:rsidR="00BD72B4">
        <w:t>52</w:t>
      </w:r>
      <w:r>
        <w:t xml:space="preserve"> units to</w:t>
      </w:r>
      <w:r w:rsidRPr="003623D5">
        <w:t xml:space="preserve"> households earning </w:t>
      </w:r>
      <w:r>
        <w:t xml:space="preserve">up to 50% of AMI and </w:t>
      </w:r>
      <w:r w:rsidR="00BD72B4">
        <w:t>52</w:t>
      </w:r>
      <w:r>
        <w:t xml:space="preserve"> units to</w:t>
      </w:r>
      <w:r w:rsidRPr="003623D5">
        <w:t xml:space="preserve"> households earning up to 70% of AMI</w:t>
      </w:r>
      <w:r>
        <w:t xml:space="preserve">. </w:t>
      </w:r>
      <w:r w:rsidR="00BD72B4">
        <w:t>The remaining 128</w:t>
      </w:r>
      <w:r>
        <w:t xml:space="preserve"> units will be designated as affordable, w</w:t>
      </w:r>
      <w:r w:rsidR="00BD72B4">
        <w:t>ith 64</w:t>
      </w:r>
      <w:r>
        <w:t xml:space="preserve"> units </w:t>
      </w:r>
      <w:r w:rsidRPr="00DD3DDE">
        <w:t xml:space="preserve">at income levels up to 110% </w:t>
      </w:r>
      <w:r>
        <w:t xml:space="preserve">of </w:t>
      </w:r>
      <w:r w:rsidRPr="00DD3DDE">
        <w:t xml:space="preserve">AMI </w:t>
      </w:r>
      <w:r w:rsidR="00BD72B4">
        <w:t>and 64</w:t>
      </w:r>
      <w:r>
        <w:t xml:space="preserve"> units of income levels up to</w:t>
      </w:r>
      <w:r w:rsidRPr="00DD3DDE">
        <w:t xml:space="preserve"> 130% </w:t>
      </w:r>
      <w:r>
        <w:t xml:space="preserve">of </w:t>
      </w:r>
      <w:r w:rsidRPr="00DD3DDE">
        <w:t>AMI.</w:t>
      </w:r>
    </w:p>
    <w:p w14:paraId="162E19C6" w14:textId="77777777" w:rsidR="00BB0AF1" w:rsidRDefault="00BB0AF1" w:rsidP="00BB0AF1">
      <w:pPr>
        <w:jc w:val="both"/>
      </w:pPr>
    </w:p>
    <w:p w14:paraId="18938C09" w14:textId="32CE94D0" w:rsidR="00BB0AF1" w:rsidRDefault="00750036" w:rsidP="000C00F9">
      <w:pPr>
        <w:pStyle w:val="MediumGrid1-Accent21"/>
        <w:ind w:left="0"/>
      </w:pPr>
      <w:r w:rsidRPr="00750036">
        <w:t xml:space="preserve">On November 16, 2017, Council approved an Article XI exemption on Block 2159, Lot 2, which stated that the exemption applied to all land in the Exemption Area but only applied to buildings on the Exemption Area that exist on the effective date of the exemption. As of August 17, 2018, Lot 2 split into Lots 2, 20, 50, and 80. </w:t>
      </w:r>
      <w:r w:rsidR="006F13FA" w:rsidRPr="006F13FA">
        <w:t>In order to facilitate the proposed project and extend the exemption to the new construction, the prior exemption will be terminated and replaced with the new Article XI exemption, if approved.</w:t>
      </w:r>
    </w:p>
    <w:p w14:paraId="471DEF72" w14:textId="77777777" w:rsidR="00750036" w:rsidRDefault="00750036" w:rsidP="000C00F9">
      <w:pPr>
        <w:pStyle w:val="MediumGrid1-Accent21"/>
        <w:ind w:left="0"/>
      </w:pPr>
    </w:p>
    <w:p w14:paraId="691955F7" w14:textId="77777777" w:rsidR="00BD72B4" w:rsidRPr="00091344" w:rsidRDefault="00BD72B4" w:rsidP="00BD72B4">
      <w:pPr>
        <w:pStyle w:val="MediumGrid1-Accent21"/>
        <w:ind w:left="0"/>
        <w:rPr>
          <w:u w:val="single"/>
        </w:rPr>
      </w:pPr>
      <w:r w:rsidRPr="00091344">
        <w:rPr>
          <w:u w:val="single"/>
        </w:rPr>
        <w:t>Summary:</w:t>
      </w:r>
    </w:p>
    <w:p w14:paraId="0C03C29E" w14:textId="77777777" w:rsidR="00BD72B4" w:rsidRDefault="00BD72B4" w:rsidP="00BD72B4">
      <w:pPr>
        <w:pStyle w:val="MediumGrid1-Accent21"/>
        <w:numPr>
          <w:ilvl w:val="0"/>
          <w:numId w:val="33"/>
        </w:numPr>
      </w:pPr>
      <w:r>
        <w:t>Borough – Queens</w:t>
      </w:r>
    </w:p>
    <w:p w14:paraId="7E2DE416" w14:textId="77777777" w:rsidR="00BD72B4" w:rsidRDefault="00BD72B4" w:rsidP="00BD72B4">
      <w:pPr>
        <w:pStyle w:val="MediumGrid1-Accent21"/>
        <w:numPr>
          <w:ilvl w:val="0"/>
          <w:numId w:val="33"/>
        </w:numPr>
      </w:pPr>
      <w:r w:rsidRPr="00BD72B4">
        <w:t>Block 2159, Lots 20 and 50</w:t>
      </w:r>
    </w:p>
    <w:p w14:paraId="543F4D9A" w14:textId="672B2B6D" w:rsidR="00BD72B4" w:rsidRDefault="00BD72B4" w:rsidP="00BD72B4">
      <w:pPr>
        <w:pStyle w:val="MediumGrid1-Accent21"/>
        <w:numPr>
          <w:ilvl w:val="0"/>
          <w:numId w:val="33"/>
        </w:numPr>
      </w:pPr>
      <w:r>
        <w:t>Council District – 29</w:t>
      </w:r>
    </w:p>
    <w:p w14:paraId="1B90EF67" w14:textId="77777777" w:rsidR="00BD72B4" w:rsidRDefault="00BD72B4" w:rsidP="00BD72B4">
      <w:pPr>
        <w:pStyle w:val="MediumGrid1-Accent21"/>
        <w:numPr>
          <w:ilvl w:val="0"/>
          <w:numId w:val="33"/>
        </w:numPr>
      </w:pPr>
      <w:r>
        <w:t xml:space="preserve">Council Member – </w:t>
      </w:r>
      <w:r w:rsidRPr="00091344">
        <w:t>Koslowitz</w:t>
      </w:r>
    </w:p>
    <w:p w14:paraId="223D0FD2" w14:textId="77777777" w:rsidR="00BD72B4" w:rsidRDefault="00BD72B4" w:rsidP="00BD72B4">
      <w:pPr>
        <w:pStyle w:val="MediumGrid1-Accent21"/>
        <w:numPr>
          <w:ilvl w:val="0"/>
          <w:numId w:val="33"/>
        </w:numPr>
      </w:pPr>
      <w:r>
        <w:t>Council Member approval – Yes</w:t>
      </w:r>
    </w:p>
    <w:p w14:paraId="1B94B71E" w14:textId="1D2DFAB3" w:rsidR="00BD72B4" w:rsidRDefault="00BD72B4" w:rsidP="00BD72B4">
      <w:pPr>
        <w:pStyle w:val="MediumGrid1-Accent21"/>
        <w:numPr>
          <w:ilvl w:val="0"/>
          <w:numId w:val="33"/>
        </w:numPr>
      </w:pPr>
      <w:r>
        <w:t>Number of buildings – 2</w:t>
      </w:r>
    </w:p>
    <w:p w14:paraId="3341CCD8" w14:textId="036B1970" w:rsidR="00BD72B4" w:rsidRDefault="00BD72B4" w:rsidP="00BD72B4">
      <w:pPr>
        <w:pStyle w:val="MediumGrid1-Accent21"/>
        <w:numPr>
          <w:ilvl w:val="0"/>
          <w:numId w:val="33"/>
        </w:numPr>
      </w:pPr>
      <w:r>
        <w:t>Number of units – 259</w:t>
      </w:r>
    </w:p>
    <w:p w14:paraId="7E5C573A" w14:textId="77777777" w:rsidR="00BD72B4" w:rsidRDefault="00BD72B4" w:rsidP="00BD72B4">
      <w:pPr>
        <w:pStyle w:val="MediumGrid1-Accent21"/>
        <w:numPr>
          <w:ilvl w:val="0"/>
          <w:numId w:val="33"/>
        </w:numPr>
      </w:pPr>
      <w:r>
        <w:t>Type of exemption – Article XI, full, 40 years</w:t>
      </w:r>
    </w:p>
    <w:p w14:paraId="378B4754" w14:textId="77777777" w:rsidR="00BD72B4" w:rsidRDefault="00BD72B4" w:rsidP="00BD72B4">
      <w:pPr>
        <w:pStyle w:val="MediumGrid1-Accent21"/>
        <w:numPr>
          <w:ilvl w:val="0"/>
          <w:numId w:val="33"/>
        </w:numPr>
      </w:pPr>
      <w:r>
        <w:t xml:space="preserve">Population – affordable rental housing </w:t>
      </w:r>
    </w:p>
    <w:p w14:paraId="753C33B6" w14:textId="12BBCB80" w:rsidR="00BD72B4" w:rsidRPr="00BD72B4" w:rsidRDefault="00BD72B4" w:rsidP="00BD72B4">
      <w:pPr>
        <w:pStyle w:val="MediumGrid1-Accent21"/>
        <w:numPr>
          <w:ilvl w:val="0"/>
          <w:numId w:val="33"/>
        </w:numPr>
      </w:pPr>
      <w:r>
        <w:t xml:space="preserve">Sponsor(s) – </w:t>
      </w:r>
      <w:r w:rsidRPr="00BD72B4">
        <w:t xml:space="preserve">Apex Place II </w:t>
      </w:r>
      <w:r w:rsidR="0022175E">
        <w:t>HDFC</w:t>
      </w:r>
      <w:r w:rsidRPr="00BD72B4">
        <w:t>;</w:t>
      </w:r>
      <w:r>
        <w:t xml:space="preserve"> </w:t>
      </w:r>
      <w:r w:rsidRPr="00BD72B4">
        <w:t>Apex Place II Associates, L.P.</w:t>
      </w:r>
    </w:p>
    <w:p w14:paraId="2198B0ED" w14:textId="77777777" w:rsidR="00BD72B4" w:rsidRDefault="00BD72B4" w:rsidP="00BD72B4">
      <w:pPr>
        <w:pStyle w:val="MediumGrid1-Accent21"/>
        <w:numPr>
          <w:ilvl w:val="0"/>
          <w:numId w:val="33"/>
        </w:numPr>
      </w:pPr>
      <w:r>
        <w:t>Purpose – new construction</w:t>
      </w:r>
    </w:p>
    <w:p w14:paraId="79C82579" w14:textId="595F03C2" w:rsidR="00BD72B4" w:rsidRDefault="00BD72B4" w:rsidP="00BD72B4">
      <w:pPr>
        <w:pStyle w:val="MediumGrid1-Accent21"/>
        <w:numPr>
          <w:ilvl w:val="0"/>
          <w:numId w:val="33"/>
        </w:numPr>
      </w:pPr>
      <w:r>
        <w:t xml:space="preserve">Cost to the City </w:t>
      </w:r>
      <w:r w:rsidR="00F66FEF">
        <w:t xml:space="preserve">– </w:t>
      </w:r>
      <w:r>
        <w:t xml:space="preserve">$19 million </w:t>
      </w:r>
    </w:p>
    <w:p w14:paraId="0E5287B3" w14:textId="77777777" w:rsidR="00BD72B4" w:rsidRDefault="00BD72B4" w:rsidP="00BD72B4">
      <w:pPr>
        <w:pStyle w:val="MediumGrid1-Accent21"/>
        <w:numPr>
          <w:ilvl w:val="0"/>
          <w:numId w:val="33"/>
        </w:numPr>
      </w:pPr>
      <w:r>
        <w:t>Housing Code Violations – N/A</w:t>
      </w:r>
    </w:p>
    <w:p w14:paraId="5AD1C2D7" w14:textId="2A36D119" w:rsidR="00BD72B4" w:rsidRPr="00ED140E" w:rsidRDefault="00BD72B4" w:rsidP="009D49C5">
      <w:pPr>
        <w:pStyle w:val="MediumGrid1-Accent21"/>
        <w:numPr>
          <w:ilvl w:val="0"/>
          <w:numId w:val="33"/>
        </w:numPr>
      </w:pPr>
      <w:r>
        <w:t xml:space="preserve">AMI targets – 26 units up to 40% AMI, </w:t>
      </w:r>
      <w:r w:rsidRPr="00BD72B4">
        <w:t xml:space="preserve">52 units up to 50% AMI, 52 units up to 70% AMI, 64 units up to 110% </w:t>
      </w:r>
      <w:r>
        <w:t>AMI and 64 units up to 130% AMI.</w:t>
      </w:r>
    </w:p>
    <w:sectPr w:rsidR="00BD72B4" w:rsidRPr="00ED140E" w:rsidSect="001308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01F5" w14:textId="77777777" w:rsidR="00AF303E" w:rsidRDefault="00AF303E" w:rsidP="00FA6444">
      <w:r>
        <w:separator/>
      </w:r>
    </w:p>
  </w:endnote>
  <w:endnote w:type="continuationSeparator" w:id="0">
    <w:p w14:paraId="43755DE4" w14:textId="77777777" w:rsidR="00AF303E" w:rsidRDefault="00AF303E" w:rsidP="00FA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ECE2" w14:textId="77777777" w:rsidR="0059607C" w:rsidRDefault="00596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AD28" w14:textId="340C18E1" w:rsidR="00D70321" w:rsidRDefault="00D70321">
    <w:pPr>
      <w:pStyle w:val="Footer"/>
      <w:jc w:val="center"/>
    </w:pPr>
    <w:r>
      <w:fldChar w:fldCharType="begin"/>
    </w:r>
    <w:r>
      <w:instrText xml:space="preserve"> PAGE   \* MERGEFORMAT </w:instrText>
    </w:r>
    <w:r>
      <w:fldChar w:fldCharType="separate"/>
    </w:r>
    <w:r w:rsidR="000D6167">
      <w:rPr>
        <w:noProof/>
      </w:rPr>
      <w:t>5</w:t>
    </w:r>
    <w:r>
      <w:rPr>
        <w:noProof/>
      </w:rPr>
      <w:fldChar w:fldCharType="end"/>
    </w:r>
  </w:p>
  <w:p w14:paraId="0B08AB01" w14:textId="77777777" w:rsidR="000716F7" w:rsidRDefault="00071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9FD0" w14:textId="77777777" w:rsidR="0059607C" w:rsidRDefault="0059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F68C" w14:textId="77777777" w:rsidR="00AF303E" w:rsidRDefault="00AF303E" w:rsidP="00FA6444">
      <w:r>
        <w:separator/>
      </w:r>
    </w:p>
  </w:footnote>
  <w:footnote w:type="continuationSeparator" w:id="0">
    <w:p w14:paraId="03A3F842" w14:textId="77777777" w:rsidR="00AF303E" w:rsidRDefault="00AF303E" w:rsidP="00FA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6879" w14:textId="77777777" w:rsidR="0059607C" w:rsidRDefault="0059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E4AF" w14:textId="7F7E5E6F" w:rsidR="0059607C" w:rsidRDefault="00596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5B41" w14:textId="77777777" w:rsidR="0059607C" w:rsidRDefault="0059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0AB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343"/>
    <w:multiLevelType w:val="hybridMultilevel"/>
    <w:tmpl w:val="FE664538"/>
    <w:lvl w:ilvl="0" w:tplc="C06205C4">
      <w:start w:val="1"/>
      <w:numFmt w:val="decimal"/>
      <w:lvlText w:val="%1."/>
      <w:lvlJc w:val="left"/>
      <w:pPr>
        <w:ind w:left="451" w:hanging="361"/>
        <w:jc w:val="right"/>
      </w:pPr>
      <w:rPr>
        <w:rFonts w:ascii="Arial" w:eastAsia="Arial" w:hAnsi="Arial" w:hint="default"/>
        <w:color w:val="auto"/>
        <w:spacing w:val="-1"/>
        <w:w w:val="100"/>
      </w:rPr>
    </w:lvl>
    <w:lvl w:ilvl="1" w:tplc="0C4CF96C">
      <w:start w:val="1"/>
      <w:numFmt w:val="lowerLetter"/>
      <w:lvlText w:val="%2."/>
      <w:lvlJc w:val="left"/>
      <w:pPr>
        <w:ind w:left="1200" w:hanging="360"/>
      </w:pPr>
      <w:rPr>
        <w:rFonts w:ascii="Arial" w:eastAsia="Arial" w:hAnsi="Arial" w:hint="default"/>
        <w:spacing w:val="-1"/>
        <w:w w:val="100"/>
        <w:sz w:val="22"/>
        <w:szCs w:val="22"/>
      </w:rPr>
    </w:lvl>
    <w:lvl w:ilvl="2" w:tplc="5492FC34">
      <w:start w:val="1"/>
      <w:numFmt w:val="bullet"/>
      <w:lvlText w:val="•"/>
      <w:lvlJc w:val="left"/>
      <w:pPr>
        <w:ind w:left="1357" w:hanging="360"/>
      </w:pPr>
      <w:rPr>
        <w:rFonts w:hint="default"/>
      </w:rPr>
    </w:lvl>
    <w:lvl w:ilvl="3" w:tplc="F6FA7B24">
      <w:start w:val="1"/>
      <w:numFmt w:val="bullet"/>
      <w:lvlText w:val="•"/>
      <w:lvlJc w:val="left"/>
      <w:pPr>
        <w:ind w:left="1515" w:hanging="360"/>
      </w:pPr>
      <w:rPr>
        <w:rFonts w:hint="default"/>
      </w:rPr>
    </w:lvl>
    <w:lvl w:ilvl="4" w:tplc="8C44B07C">
      <w:start w:val="1"/>
      <w:numFmt w:val="bullet"/>
      <w:lvlText w:val="•"/>
      <w:lvlJc w:val="left"/>
      <w:pPr>
        <w:ind w:left="1673" w:hanging="360"/>
      </w:pPr>
      <w:rPr>
        <w:rFonts w:hint="default"/>
      </w:rPr>
    </w:lvl>
    <w:lvl w:ilvl="5" w:tplc="041E43B4">
      <w:start w:val="1"/>
      <w:numFmt w:val="bullet"/>
      <w:lvlText w:val="•"/>
      <w:lvlJc w:val="left"/>
      <w:pPr>
        <w:ind w:left="1831" w:hanging="360"/>
      </w:pPr>
      <w:rPr>
        <w:rFonts w:hint="default"/>
      </w:rPr>
    </w:lvl>
    <w:lvl w:ilvl="6" w:tplc="D0968342">
      <w:start w:val="1"/>
      <w:numFmt w:val="bullet"/>
      <w:lvlText w:val="•"/>
      <w:lvlJc w:val="left"/>
      <w:pPr>
        <w:ind w:left="1988" w:hanging="360"/>
      </w:pPr>
      <w:rPr>
        <w:rFonts w:hint="default"/>
      </w:rPr>
    </w:lvl>
    <w:lvl w:ilvl="7" w:tplc="19AC655A">
      <w:start w:val="1"/>
      <w:numFmt w:val="bullet"/>
      <w:lvlText w:val="•"/>
      <w:lvlJc w:val="left"/>
      <w:pPr>
        <w:ind w:left="2146" w:hanging="360"/>
      </w:pPr>
      <w:rPr>
        <w:rFonts w:hint="default"/>
      </w:rPr>
    </w:lvl>
    <w:lvl w:ilvl="8" w:tplc="887A3FDC">
      <w:start w:val="1"/>
      <w:numFmt w:val="bullet"/>
      <w:lvlText w:val="•"/>
      <w:lvlJc w:val="left"/>
      <w:pPr>
        <w:ind w:left="2304" w:hanging="360"/>
      </w:pPr>
      <w:rPr>
        <w:rFonts w:hint="default"/>
      </w:rPr>
    </w:lvl>
  </w:abstractNum>
  <w:abstractNum w:abstractNumId="2" w15:restartNumberingAfterBreak="0">
    <w:nsid w:val="09842B53"/>
    <w:multiLevelType w:val="multilevel"/>
    <w:tmpl w:val="99643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24BDD"/>
    <w:multiLevelType w:val="hybridMultilevel"/>
    <w:tmpl w:val="3146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8093A"/>
    <w:multiLevelType w:val="hybridMultilevel"/>
    <w:tmpl w:val="5FDC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203C1"/>
    <w:multiLevelType w:val="hybridMultilevel"/>
    <w:tmpl w:val="466E7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1C23"/>
    <w:multiLevelType w:val="hybridMultilevel"/>
    <w:tmpl w:val="29D6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CF07E8"/>
    <w:multiLevelType w:val="multilevel"/>
    <w:tmpl w:val="00D4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EB7736"/>
    <w:multiLevelType w:val="hybridMultilevel"/>
    <w:tmpl w:val="2D0C7F68"/>
    <w:lvl w:ilvl="0" w:tplc="90548714">
      <w:numFmt w:val="bullet"/>
      <w:lvlText w:val="•"/>
      <w:lvlJc w:val="left"/>
      <w:pPr>
        <w:ind w:left="1440" w:hanging="720"/>
      </w:pPr>
      <w:rPr>
        <w:rFonts w:ascii="Times New Roman" w:eastAsia="Times New Roman" w:hAnsi="Times New Roman" w:cs="Times New Roman" w:hint="default"/>
      </w:rPr>
    </w:lvl>
    <w:lvl w:ilvl="1" w:tplc="2EEA22EE">
      <w:numFmt w:val="bullet"/>
      <w:lvlText w:val=""/>
      <w:lvlJc w:val="left"/>
      <w:pPr>
        <w:ind w:left="2160" w:hanging="72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7A55E9"/>
    <w:multiLevelType w:val="hybridMultilevel"/>
    <w:tmpl w:val="225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264B"/>
    <w:multiLevelType w:val="hybridMultilevel"/>
    <w:tmpl w:val="845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525F1"/>
    <w:multiLevelType w:val="hybridMultilevel"/>
    <w:tmpl w:val="9ECA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B4B82"/>
    <w:multiLevelType w:val="multilevel"/>
    <w:tmpl w:val="D72C3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7297E"/>
    <w:multiLevelType w:val="multilevel"/>
    <w:tmpl w:val="E4147D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40941A4"/>
    <w:multiLevelType w:val="hybridMultilevel"/>
    <w:tmpl w:val="F10888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76F3F5F"/>
    <w:multiLevelType w:val="hybridMultilevel"/>
    <w:tmpl w:val="1D1869E8"/>
    <w:lvl w:ilvl="0" w:tplc="55CE5C4E">
      <w:start w:val="10"/>
      <w:numFmt w:val="decimal"/>
      <w:lvlText w:val="%1."/>
      <w:lvlJc w:val="left"/>
      <w:pPr>
        <w:ind w:left="991" w:hanging="360"/>
      </w:pPr>
      <w:rPr>
        <w:rFonts w:eastAsiaTheme="minorHAnsi" w:hAnsiTheme="minorHAnsi" w:cstheme="minorBidi" w:hint="default"/>
        <w:color w:val="000000" w:themeColor="text1"/>
      </w:rPr>
    </w:lvl>
    <w:lvl w:ilvl="1" w:tplc="04090019">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16" w15:restartNumberingAfterBreak="0">
    <w:nsid w:val="48A3590B"/>
    <w:multiLevelType w:val="hybridMultilevel"/>
    <w:tmpl w:val="6F7E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BD2C30"/>
    <w:multiLevelType w:val="hybridMultilevel"/>
    <w:tmpl w:val="F65EF758"/>
    <w:lvl w:ilvl="0" w:tplc="03926C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80FB7"/>
    <w:multiLevelType w:val="hybridMultilevel"/>
    <w:tmpl w:val="4C8281FE"/>
    <w:lvl w:ilvl="0" w:tplc="04090001">
      <w:start w:val="1"/>
      <w:numFmt w:val="bullet"/>
      <w:lvlText w:val=""/>
      <w:lvlJc w:val="left"/>
      <w:pPr>
        <w:ind w:left="720" w:hanging="360"/>
      </w:pPr>
      <w:rPr>
        <w:rFonts w:ascii="Symbol" w:hAnsi="Symbol" w:hint="default"/>
      </w:rPr>
    </w:lvl>
    <w:lvl w:ilvl="1" w:tplc="C12EA6F2">
      <w:numFmt w:val="bullet"/>
      <w:lvlText w:val="·"/>
      <w:lvlJc w:val="left"/>
      <w:pPr>
        <w:ind w:left="1575" w:hanging="495"/>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53419"/>
    <w:multiLevelType w:val="hybridMultilevel"/>
    <w:tmpl w:val="B53E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8E5E8B"/>
    <w:multiLevelType w:val="multilevel"/>
    <w:tmpl w:val="AA8A1D8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52B11D92"/>
    <w:multiLevelType w:val="hybridMultilevel"/>
    <w:tmpl w:val="3446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AD15D6"/>
    <w:multiLevelType w:val="multilevel"/>
    <w:tmpl w:val="D33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F7F73"/>
    <w:multiLevelType w:val="hybridMultilevel"/>
    <w:tmpl w:val="1430F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3100DD"/>
    <w:multiLevelType w:val="multilevel"/>
    <w:tmpl w:val="BEE03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3333E"/>
    <w:multiLevelType w:val="hybridMultilevel"/>
    <w:tmpl w:val="1BAE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D2FEA"/>
    <w:multiLevelType w:val="multilevel"/>
    <w:tmpl w:val="9D7413B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190004F"/>
    <w:multiLevelType w:val="multilevel"/>
    <w:tmpl w:val="0330A9B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73B95C4D"/>
    <w:multiLevelType w:val="hybridMultilevel"/>
    <w:tmpl w:val="241E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1936D3"/>
    <w:multiLevelType w:val="hybridMultilevel"/>
    <w:tmpl w:val="A4585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CC730D9"/>
    <w:multiLevelType w:val="multilevel"/>
    <w:tmpl w:val="3E049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1"/>
  </w:num>
  <w:num w:numId="3">
    <w:abstractNumId w:val="4"/>
  </w:num>
  <w:num w:numId="4">
    <w:abstractNumId w:val="26"/>
  </w:num>
  <w:num w:numId="5">
    <w:abstractNumId w:val="18"/>
  </w:num>
  <w:num w:numId="6">
    <w:abstractNumId w:val="12"/>
  </w:num>
  <w:num w:numId="7">
    <w:abstractNumId w:val="29"/>
  </w:num>
  <w:num w:numId="8">
    <w:abstractNumId w:val="16"/>
  </w:num>
  <w:num w:numId="9">
    <w:abstractNumId w:val="30"/>
  </w:num>
  <w:num w:numId="10">
    <w:abstractNumId w:val="14"/>
  </w:num>
  <w:num w:numId="11">
    <w:abstractNumId w:val="13"/>
  </w:num>
  <w:num w:numId="12">
    <w:abstractNumId w:val="20"/>
  </w:num>
  <w:num w:numId="13">
    <w:abstractNumId w:val="7"/>
  </w:num>
  <w:num w:numId="14">
    <w:abstractNumId w:val="27"/>
  </w:num>
  <w:num w:numId="15">
    <w:abstractNumId w:val="28"/>
  </w:num>
  <w:num w:numId="16">
    <w:abstractNumId w:val="31"/>
  </w:num>
  <w:num w:numId="17">
    <w:abstractNumId w:val="25"/>
  </w:num>
  <w:num w:numId="18">
    <w:abstractNumId w:val="6"/>
  </w:num>
  <w:num w:numId="19">
    <w:abstractNumId w:val="2"/>
  </w:num>
  <w:num w:numId="20">
    <w:abstractNumId w:val="0"/>
  </w:num>
  <w:num w:numId="21">
    <w:abstractNumId w:val="11"/>
  </w:num>
  <w:num w:numId="22">
    <w:abstractNumId w:val="3"/>
  </w:num>
  <w:num w:numId="23">
    <w:abstractNumId w:val="22"/>
  </w:num>
  <w:num w:numId="24">
    <w:abstractNumId w:val="19"/>
  </w:num>
  <w:num w:numId="25">
    <w:abstractNumId w:val="24"/>
  </w:num>
  <w:num w:numId="26">
    <w:abstractNumId w:val="1"/>
  </w:num>
  <w:num w:numId="27">
    <w:abstractNumId w:val="9"/>
  </w:num>
  <w:num w:numId="28">
    <w:abstractNumId w:val="17"/>
  </w:num>
  <w:num w:numId="29">
    <w:abstractNumId w:val="23"/>
  </w:num>
  <w:num w:numId="30">
    <w:abstractNumId w:val="24"/>
  </w:num>
  <w:num w:numId="31">
    <w:abstractNumId w:val="10"/>
  </w:num>
  <w:num w:numId="32">
    <w:abstractNumId w:val="8"/>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90"/>
    <w:rsid w:val="00002669"/>
    <w:rsid w:val="000036D5"/>
    <w:rsid w:val="00004E6D"/>
    <w:rsid w:val="00010F0B"/>
    <w:rsid w:val="000127AB"/>
    <w:rsid w:val="000204F4"/>
    <w:rsid w:val="00020553"/>
    <w:rsid w:val="00020E21"/>
    <w:rsid w:val="00021354"/>
    <w:rsid w:val="00021E3D"/>
    <w:rsid w:val="00022542"/>
    <w:rsid w:val="000238A5"/>
    <w:rsid w:val="00026923"/>
    <w:rsid w:val="000322DA"/>
    <w:rsid w:val="00032DE0"/>
    <w:rsid w:val="00040B3E"/>
    <w:rsid w:val="00045E6C"/>
    <w:rsid w:val="00052A0B"/>
    <w:rsid w:val="00053AE1"/>
    <w:rsid w:val="0005463B"/>
    <w:rsid w:val="000546A9"/>
    <w:rsid w:val="000548B7"/>
    <w:rsid w:val="00055F5C"/>
    <w:rsid w:val="00061E94"/>
    <w:rsid w:val="000630B2"/>
    <w:rsid w:val="00063A71"/>
    <w:rsid w:val="000716F7"/>
    <w:rsid w:val="00072EAC"/>
    <w:rsid w:val="00074A46"/>
    <w:rsid w:val="0008288C"/>
    <w:rsid w:val="00082E90"/>
    <w:rsid w:val="00091344"/>
    <w:rsid w:val="00092770"/>
    <w:rsid w:val="00097258"/>
    <w:rsid w:val="000A17C1"/>
    <w:rsid w:val="000A3ACF"/>
    <w:rsid w:val="000A3EAF"/>
    <w:rsid w:val="000B0042"/>
    <w:rsid w:val="000B06B3"/>
    <w:rsid w:val="000B0F0A"/>
    <w:rsid w:val="000B1FCE"/>
    <w:rsid w:val="000B25A3"/>
    <w:rsid w:val="000B3985"/>
    <w:rsid w:val="000B5880"/>
    <w:rsid w:val="000B6324"/>
    <w:rsid w:val="000C00F9"/>
    <w:rsid w:val="000C19C8"/>
    <w:rsid w:val="000C2408"/>
    <w:rsid w:val="000C3903"/>
    <w:rsid w:val="000C62C9"/>
    <w:rsid w:val="000D061C"/>
    <w:rsid w:val="000D1352"/>
    <w:rsid w:val="000D2BF0"/>
    <w:rsid w:val="000D5866"/>
    <w:rsid w:val="000D6017"/>
    <w:rsid w:val="000D6167"/>
    <w:rsid w:val="000D6618"/>
    <w:rsid w:val="000D6D08"/>
    <w:rsid w:val="000D700A"/>
    <w:rsid w:val="000E1816"/>
    <w:rsid w:val="000E198F"/>
    <w:rsid w:val="000E2066"/>
    <w:rsid w:val="000E2647"/>
    <w:rsid w:val="000E268A"/>
    <w:rsid w:val="000E2EA9"/>
    <w:rsid w:val="000E2F58"/>
    <w:rsid w:val="000E36D6"/>
    <w:rsid w:val="000E7EF8"/>
    <w:rsid w:val="000F021A"/>
    <w:rsid w:val="000F058C"/>
    <w:rsid w:val="000F1569"/>
    <w:rsid w:val="000F25C3"/>
    <w:rsid w:val="000F56B0"/>
    <w:rsid w:val="000F67FE"/>
    <w:rsid w:val="000F711F"/>
    <w:rsid w:val="001033AF"/>
    <w:rsid w:val="00105F57"/>
    <w:rsid w:val="00110202"/>
    <w:rsid w:val="001130CA"/>
    <w:rsid w:val="00122B7A"/>
    <w:rsid w:val="0012327D"/>
    <w:rsid w:val="001256A5"/>
    <w:rsid w:val="0013032E"/>
    <w:rsid w:val="00130863"/>
    <w:rsid w:val="00134693"/>
    <w:rsid w:val="00134A50"/>
    <w:rsid w:val="00134BDB"/>
    <w:rsid w:val="001369B3"/>
    <w:rsid w:val="00143112"/>
    <w:rsid w:val="00143658"/>
    <w:rsid w:val="0014582A"/>
    <w:rsid w:val="00146565"/>
    <w:rsid w:val="0015076D"/>
    <w:rsid w:val="0015446D"/>
    <w:rsid w:val="00154BC2"/>
    <w:rsid w:val="00154D73"/>
    <w:rsid w:val="00160A16"/>
    <w:rsid w:val="00165E19"/>
    <w:rsid w:val="00171F13"/>
    <w:rsid w:val="00172D47"/>
    <w:rsid w:val="0017552D"/>
    <w:rsid w:val="0017650B"/>
    <w:rsid w:val="001830FA"/>
    <w:rsid w:val="001835A0"/>
    <w:rsid w:val="00183D1B"/>
    <w:rsid w:val="001852E5"/>
    <w:rsid w:val="00185853"/>
    <w:rsid w:val="001864D0"/>
    <w:rsid w:val="001870A0"/>
    <w:rsid w:val="00187574"/>
    <w:rsid w:val="00196F81"/>
    <w:rsid w:val="001A0E61"/>
    <w:rsid w:val="001A222E"/>
    <w:rsid w:val="001A27D1"/>
    <w:rsid w:val="001A4DCC"/>
    <w:rsid w:val="001B0FE6"/>
    <w:rsid w:val="001B0FEF"/>
    <w:rsid w:val="001B20AB"/>
    <w:rsid w:val="001B2391"/>
    <w:rsid w:val="001B3996"/>
    <w:rsid w:val="001B4BB0"/>
    <w:rsid w:val="001B5F3B"/>
    <w:rsid w:val="001B7EDF"/>
    <w:rsid w:val="001C5056"/>
    <w:rsid w:val="001C5268"/>
    <w:rsid w:val="001C6AE6"/>
    <w:rsid w:val="001D137A"/>
    <w:rsid w:val="001D19E4"/>
    <w:rsid w:val="001D3D00"/>
    <w:rsid w:val="001D592A"/>
    <w:rsid w:val="001E3515"/>
    <w:rsid w:val="001E6291"/>
    <w:rsid w:val="001E7CA7"/>
    <w:rsid w:val="001F054E"/>
    <w:rsid w:val="001F0AE2"/>
    <w:rsid w:val="001F1A8D"/>
    <w:rsid w:val="00201876"/>
    <w:rsid w:val="00201D85"/>
    <w:rsid w:val="00202AA8"/>
    <w:rsid w:val="00206D01"/>
    <w:rsid w:val="002077B6"/>
    <w:rsid w:val="00207A29"/>
    <w:rsid w:val="00211B21"/>
    <w:rsid w:val="0021276E"/>
    <w:rsid w:val="0021492C"/>
    <w:rsid w:val="002153F3"/>
    <w:rsid w:val="002156C5"/>
    <w:rsid w:val="00215A1F"/>
    <w:rsid w:val="00215AF8"/>
    <w:rsid w:val="002212C1"/>
    <w:rsid w:val="0022162C"/>
    <w:rsid w:val="0022175E"/>
    <w:rsid w:val="00222A11"/>
    <w:rsid w:val="00226D45"/>
    <w:rsid w:val="00227932"/>
    <w:rsid w:val="00234791"/>
    <w:rsid w:val="002359FB"/>
    <w:rsid w:val="002364CA"/>
    <w:rsid w:val="002378D1"/>
    <w:rsid w:val="00240D0D"/>
    <w:rsid w:val="00240D89"/>
    <w:rsid w:val="00244997"/>
    <w:rsid w:val="00246061"/>
    <w:rsid w:val="00247BE2"/>
    <w:rsid w:val="002510C9"/>
    <w:rsid w:val="002530FF"/>
    <w:rsid w:val="0025333B"/>
    <w:rsid w:val="00253763"/>
    <w:rsid w:val="00256D76"/>
    <w:rsid w:val="0025701C"/>
    <w:rsid w:val="002607C0"/>
    <w:rsid w:val="00263420"/>
    <w:rsid w:val="00266258"/>
    <w:rsid w:val="00267CFD"/>
    <w:rsid w:val="002702B8"/>
    <w:rsid w:val="002705F8"/>
    <w:rsid w:val="00277EF2"/>
    <w:rsid w:val="002824A5"/>
    <w:rsid w:val="00294C62"/>
    <w:rsid w:val="0029571D"/>
    <w:rsid w:val="002A351C"/>
    <w:rsid w:val="002A3A95"/>
    <w:rsid w:val="002A50B1"/>
    <w:rsid w:val="002A554F"/>
    <w:rsid w:val="002A6BCE"/>
    <w:rsid w:val="002A7D5A"/>
    <w:rsid w:val="002B55FA"/>
    <w:rsid w:val="002B5C44"/>
    <w:rsid w:val="002C06D3"/>
    <w:rsid w:val="002C4B4C"/>
    <w:rsid w:val="002C4EA8"/>
    <w:rsid w:val="002C5AE9"/>
    <w:rsid w:val="002C7560"/>
    <w:rsid w:val="002D1FD2"/>
    <w:rsid w:val="002D2210"/>
    <w:rsid w:val="002D43BA"/>
    <w:rsid w:val="002D5D82"/>
    <w:rsid w:val="002D66FA"/>
    <w:rsid w:val="002D6EF4"/>
    <w:rsid w:val="002E0837"/>
    <w:rsid w:val="002E51A3"/>
    <w:rsid w:val="002E5278"/>
    <w:rsid w:val="002F0736"/>
    <w:rsid w:val="002F34F8"/>
    <w:rsid w:val="002F7088"/>
    <w:rsid w:val="00300083"/>
    <w:rsid w:val="00301B53"/>
    <w:rsid w:val="00302AAB"/>
    <w:rsid w:val="00310620"/>
    <w:rsid w:val="00310A7E"/>
    <w:rsid w:val="003223C8"/>
    <w:rsid w:val="003260B4"/>
    <w:rsid w:val="00333B3E"/>
    <w:rsid w:val="00337647"/>
    <w:rsid w:val="00337883"/>
    <w:rsid w:val="00342786"/>
    <w:rsid w:val="0034603B"/>
    <w:rsid w:val="00350E72"/>
    <w:rsid w:val="00352DB9"/>
    <w:rsid w:val="00353945"/>
    <w:rsid w:val="003550E1"/>
    <w:rsid w:val="003608CF"/>
    <w:rsid w:val="0036222E"/>
    <w:rsid w:val="003623D5"/>
    <w:rsid w:val="00362D82"/>
    <w:rsid w:val="00366E05"/>
    <w:rsid w:val="00374260"/>
    <w:rsid w:val="00375CE8"/>
    <w:rsid w:val="00377521"/>
    <w:rsid w:val="003803EF"/>
    <w:rsid w:val="00380971"/>
    <w:rsid w:val="003847C0"/>
    <w:rsid w:val="0038662E"/>
    <w:rsid w:val="003A4474"/>
    <w:rsid w:val="003A6D02"/>
    <w:rsid w:val="003C08F9"/>
    <w:rsid w:val="003C2469"/>
    <w:rsid w:val="003C498C"/>
    <w:rsid w:val="003C7696"/>
    <w:rsid w:val="003C7D24"/>
    <w:rsid w:val="003D17C9"/>
    <w:rsid w:val="003D19D2"/>
    <w:rsid w:val="003D1B8E"/>
    <w:rsid w:val="003D2F52"/>
    <w:rsid w:val="003D3185"/>
    <w:rsid w:val="003D5575"/>
    <w:rsid w:val="003E3305"/>
    <w:rsid w:val="003E36E3"/>
    <w:rsid w:val="003E3D1A"/>
    <w:rsid w:val="003E5A69"/>
    <w:rsid w:val="003E6B3A"/>
    <w:rsid w:val="003F123E"/>
    <w:rsid w:val="003F23D0"/>
    <w:rsid w:val="003F6CDA"/>
    <w:rsid w:val="00401D1F"/>
    <w:rsid w:val="004070C2"/>
    <w:rsid w:val="0041120C"/>
    <w:rsid w:val="004121C9"/>
    <w:rsid w:val="0041308F"/>
    <w:rsid w:val="00415365"/>
    <w:rsid w:val="0041571E"/>
    <w:rsid w:val="004169F0"/>
    <w:rsid w:val="00416A9D"/>
    <w:rsid w:val="00416FE1"/>
    <w:rsid w:val="00422BA6"/>
    <w:rsid w:val="00423148"/>
    <w:rsid w:val="004261DB"/>
    <w:rsid w:val="00427C80"/>
    <w:rsid w:val="00431501"/>
    <w:rsid w:val="00432397"/>
    <w:rsid w:val="00432C15"/>
    <w:rsid w:val="00434D17"/>
    <w:rsid w:val="00437954"/>
    <w:rsid w:val="00437FBA"/>
    <w:rsid w:val="00440477"/>
    <w:rsid w:val="00442B0C"/>
    <w:rsid w:val="0045682B"/>
    <w:rsid w:val="00457D0B"/>
    <w:rsid w:val="00461B94"/>
    <w:rsid w:val="00461E87"/>
    <w:rsid w:val="004635D8"/>
    <w:rsid w:val="0046554E"/>
    <w:rsid w:val="00465640"/>
    <w:rsid w:val="004667DD"/>
    <w:rsid w:val="00470B65"/>
    <w:rsid w:val="00471837"/>
    <w:rsid w:val="004844A0"/>
    <w:rsid w:val="00484DAE"/>
    <w:rsid w:val="00491265"/>
    <w:rsid w:val="00492FA2"/>
    <w:rsid w:val="004A00D2"/>
    <w:rsid w:val="004A045D"/>
    <w:rsid w:val="004A129D"/>
    <w:rsid w:val="004A38C4"/>
    <w:rsid w:val="004B15E2"/>
    <w:rsid w:val="004B37E4"/>
    <w:rsid w:val="004B4B24"/>
    <w:rsid w:val="004B6A48"/>
    <w:rsid w:val="004B75B2"/>
    <w:rsid w:val="004B7611"/>
    <w:rsid w:val="004C39C3"/>
    <w:rsid w:val="004C7474"/>
    <w:rsid w:val="004D2588"/>
    <w:rsid w:val="004D471A"/>
    <w:rsid w:val="004D575A"/>
    <w:rsid w:val="004E1704"/>
    <w:rsid w:val="004E30E5"/>
    <w:rsid w:val="004E3600"/>
    <w:rsid w:val="004E4A63"/>
    <w:rsid w:val="004E54AB"/>
    <w:rsid w:val="004E68A7"/>
    <w:rsid w:val="004F15F3"/>
    <w:rsid w:val="004F32C4"/>
    <w:rsid w:val="00500444"/>
    <w:rsid w:val="00500458"/>
    <w:rsid w:val="005015FC"/>
    <w:rsid w:val="005037C6"/>
    <w:rsid w:val="0050408D"/>
    <w:rsid w:val="005049AC"/>
    <w:rsid w:val="00505E29"/>
    <w:rsid w:val="0050693D"/>
    <w:rsid w:val="0051434A"/>
    <w:rsid w:val="00517205"/>
    <w:rsid w:val="00524C22"/>
    <w:rsid w:val="00526C93"/>
    <w:rsid w:val="00527FA0"/>
    <w:rsid w:val="005323E6"/>
    <w:rsid w:val="0053456A"/>
    <w:rsid w:val="005379DA"/>
    <w:rsid w:val="005438A2"/>
    <w:rsid w:val="00543F30"/>
    <w:rsid w:val="00544A1C"/>
    <w:rsid w:val="00551204"/>
    <w:rsid w:val="00562909"/>
    <w:rsid w:val="00564507"/>
    <w:rsid w:val="00565B2B"/>
    <w:rsid w:val="00574682"/>
    <w:rsid w:val="00575757"/>
    <w:rsid w:val="00576B66"/>
    <w:rsid w:val="00576E08"/>
    <w:rsid w:val="00580668"/>
    <w:rsid w:val="00580BFD"/>
    <w:rsid w:val="00582703"/>
    <w:rsid w:val="00585E38"/>
    <w:rsid w:val="005912FB"/>
    <w:rsid w:val="00592729"/>
    <w:rsid w:val="005939C1"/>
    <w:rsid w:val="0059607C"/>
    <w:rsid w:val="005A16C2"/>
    <w:rsid w:val="005A4224"/>
    <w:rsid w:val="005B380E"/>
    <w:rsid w:val="005B3D4D"/>
    <w:rsid w:val="005B40B4"/>
    <w:rsid w:val="005B67CD"/>
    <w:rsid w:val="005B6CB2"/>
    <w:rsid w:val="005B7C02"/>
    <w:rsid w:val="005C225F"/>
    <w:rsid w:val="005C74E8"/>
    <w:rsid w:val="005C7896"/>
    <w:rsid w:val="005D2E16"/>
    <w:rsid w:val="005E08BE"/>
    <w:rsid w:val="005E0D1E"/>
    <w:rsid w:val="005E0D41"/>
    <w:rsid w:val="005E4AE4"/>
    <w:rsid w:val="005F1031"/>
    <w:rsid w:val="005F27E6"/>
    <w:rsid w:val="005F3FF5"/>
    <w:rsid w:val="005F40C7"/>
    <w:rsid w:val="005F68E6"/>
    <w:rsid w:val="00602DD2"/>
    <w:rsid w:val="006033CD"/>
    <w:rsid w:val="006052EC"/>
    <w:rsid w:val="0060681A"/>
    <w:rsid w:val="0061009B"/>
    <w:rsid w:val="00610C90"/>
    <w:rsid w:val="0061231A"/>
    <w:rsid w:val="006127D9"/>
    <w:rsid w:val="00615945"/>
    <w:rsid w:val="006164D7"/>
    <w:rsid w:val="0061730D"/>
    <w:rsid w:val="00624359"/>
    <w:rsid w:val="0063504F"/>
    <w:rsid w:val="00637780"/>
    <w:rsid w:val="00637C00"/>
    <w:rsid w:val="00640ABF"/>
    <w:rsid w:val="006438E0"/>
    <w:rsid w:val="0064434E"/>
    <w:rsid w:val="00655150"/>
    <w:rsid w:val="00656F49"/>
    <w:rsid w:val="006674D1"/>
    <w:rsid w:val="0067662D"/>
    <w:rsid w:val="006774BC"/>
    <w:rsid w:val="00680262"/>
    <w:rsid w:val="00682891"/>
    <w:rsid w:val="00682D55"/>
    <w:rsid w:val="006A70E0"/>
    <w:rsid w:val="006B4EA1"/>
    <w:rsid w:val="006C21DD"/>
    <w:rsid w:val="006C4E7A"/>
    <w:rsid w:val="006C5C30"/>
    <w:rsid w:val="006C5D3E"/>
    <w:rsid w:val="006C7019"/>
    <w:rsid w:val="006D27C0"/>
    <w:rsid w:val="006D4969"/>
    <w:rsid w:val="006D5584"/>
    <w:rsid w:val="006D6423"/>
    <w:rsid w:val="006D7310"/>
    <w:rsid w:val="006D76C3"/>
    <w:rsid w:val="006D78CC"/>
    <w:rsid w:val="006E0A4B"/>
    <w:rsid w:val="006E205A"/>
    <w:rsid w:val="006E33B0"/>
    <w:rsid w:val="006E443D"/>
    <w:rsid w:val="006E7E6D"/>
    <w:rsid w:val="006F0691"/>
    <w:rsid w:val="006F13FA"/>
    <w:rsid w:val="006F28F1"/>
    <w:rsid w:val="006F36D9"/>
    <w:rsid w:val="006F45FF"/>
    <w:rsid w:val="006F64F5"/>
    <w:rsid w:val="006F6B39"/>
    <w:rsid w:val="00703E8C"/>
    <w:rsid w:val="00716BA8"/>
    <w:rsid w:val="00730515"/>
    <w:rsid w:val="00736C90"/>
    <w:rsid w:val="00740D8C"/>
    <w:rsid w:val="00741FD7"/>
    <w:rsid w:val="00742D50"/>
    <w:rsid w:val="00745777"/>
    <w:rsid w:val="00746EEE"/>
    <w:rsid w:val="00750036"/>
    <w:rsid w:val="00751EA5"/>
    <w:rsid w:val="00753BA1"/>
    <w:rsid w:val="007550A2"/>
    <w:rsid w:val="0075580C"/>
    <w:rsid w:val="007560F5"/>
    <w:rsid w:val="00757046"/>
    <w:rsid w:val="007570FF"/>
    <w:rsid w:val="00760D50"/>
    <w:rsid w:val="00765CAF"/>
    <w:rsid w:val="00767150"/>
    <w:rsid w:val="00770D09"/>
    <w:rsid w:val="00771FAF"/>
    <w:rsid w:val="00774514"/>
    <w:rsid w:val="0078118B"/>
    <w:rsid w:val="007832EC"/>
    <w:rsid w:val="00784218"/>
    <w:rsid w:val="00784A11"/>
    <w:rsid w:val="007851F7"/>
    <w:rsid w:val="00786B65"/>
    <w:rsid w:val="007908B5"/>
    <w:rsid w:val="0079146E"/>
    <w:rsid w:val="007A14B7"/>
    <w:rsid w:val="007A1ADD"/>
    <w:rsid w:val="007A2DE3"/>
    <w:rsid w:val="007B1402"/>
    <w:rsid w:val="007B2184"/>
    <w:rsid w:val="007B2DB5"/>
    <w:rsid w:val="007B2E4E"/>
    <w:rsid w:val="007B34C9"/>
    <w:rsid w:val="007B3CC8"/>
    <w:rsid w:val="007B5E7E"/>
    <w:rsid w:val="007B76F5"/>
    <w:rsid w:val="007C6A78"/>
    <w:rsid w:val="007C7996"/>
    <w:rsid w:val="007D16A9"/>
    <w:rsid w:val="007D2E8D"/>
    <w:rsid w:val="007E1CD4"/>
    <w:rsid w:val="007E2C12"/>
    <w:rsid w:val="007E63E3"/>
    <w:rsid w:val="007F4424"/>
    <w:rsid w:val="0080483F"/>
    <w:rsid w:val="00810B0F"/>
    <w:rsid w:val="00820ABA"/>
    <w:rsid w:val="008263B1"/>
    <w:rsid w:val="00830FA4"/>
    <w:rsid w:val="008339E5"/>
    <w:rsid w:val="00834842"/>
    <w:rsid w:val="00835747"/>
    <w:rsid w:val="00837800"/>
    <w:rsid w:val="00844106"/>
    <w:rsid w:val="00844755"/>
    <w:rsid w:val="0084534C"/>
    <w:rsid w:val="008472C1"/>
    <w:rsid w:val="008503D3"/>
    <w:rsid w:val="008504C0"/>
    <w:rsid w:val="00852860"/>
    <w:rsid w:val="008659B6"/>
    <w:rsid w:val="00867C72"/>
    <w:rsid w:val="00870906"/>
    <w:rsid w:val="00870A85"/>
    <w:rsid w:val="008712E9"/>
    <w:rsid w:val="00874898"/>
    <w:rsid w:val="0087533F"/>
    <w:rsid w:val="00876BCA"/>
    <w:rsid w:val="00877DE0"/>
    <w:rsid w:val="00880A79"/>
    <w:rsid w:val="00882F7F"/>
    <w:rsid w:val="00885ACA"/>
    <w:rsid w:val="0088648A"/>
    <w:rsid w:val="00887152"/>
    <w:rsid w:val="00890041"/>
    <w:rsid w:val="00893B39"/>
    <w:rsid w:val="00894C2A"/>
    <w:rsid w:val="00895D92"/>
    <w:rsid w:val="00896229"/>
    <w:rsid w:val="00897882"/>
    <w:rsid w:val="00897DA4"/>
    <w:rsid w:val="008A0486"/>
    <w:rsid w:val="008A44B4"/>
    <w:rsid w:val="008A57AE"/>
    <w:rsid w:val="008A6C11"/>
    <w:rsid w:val="008B0A10"/>
    <w:rsid w:val="008B4DE5"/>
    <w:rsid w:val="008B5E59"/>
    <w:rsid w:val="008B6069"/>
    <w:rsid w:val="008C0029"/>
    <w:rsid w:val="008C2BC8"/>
    <w:rsid w:val="008D1183"/>
    <w:rsid w:val="008E1329"/>
    <w:rsid w:val="008E23AC"/>
    <w:rsid w:val="008E5348"/>
    <w:rsid w:val="008E5A5D"/>
    <w:rsid w:val="008E7DAA"/>
    <w:rsid w:val="008F049B"/>
    <w:rsid w:val="008F0F4E"/>
    <w:rsid w:val="008F1DCC"/>
    <w:rsid w:val="008F4506"/>
    <w:rsid w:val="008F64F7"/>
    <w:rsid w:val="009002B6"/>
    <w:rsid w:val="009014B9"/>
    <w:rsid w:val="00902838"/>
    <w:rsid w:val="00904001"/>
    <w:rsid w:val="00905AEE"/>
    <w:rsid w:val="009147C4"/>
    <w:rsid w:val="0091652E"/>
    <w:rsid w:val="00920EC0"/>
    <w:rsid w:val="00922A83"/>
    <w:rsid w:val="009240DA"/>
    <w:rsid w:val="009257CD"/>
    <w:rsid w:val="009327A4"/>
    <w:rsid w:val="009327DC"/>
    <w:rsid w:val="00933CB2"/>
    <w:rsid w:val="00937AF3"/>
    <w:rsid w:val="00945141"/>
    <w:rsid w:val="00951E19"/>
    <w:rsid w:val="00952C3F"/>
    <w:rsid w:val="00953F7F"/>
    <w:rsid w:val="0096014C"/>
    <w:rsid w:val="00960164"/>
    <w:rsid w:val="00960466"/>
    <w:rsid w:val="00964ED2"/>
    <w:rsid w:val="009722EF"/>
    <w:rsid w:val="009744B2"/>
    <w:rsid w:val="009756DC"/>
    <w:rsid w:val="00980262"/>
    <w:rsid w:val="0098045D"/>
    <w:rsid w:val="009854F8"/>
    <w:rsid w:val="009904CC"/>
    <w:rsid w:val="00994638"/>
    <w:rsid w:val="009A05CD"/>
    <w:rsid w:val="009A0CF9"/>
    <w:rsid w:val="009A2BA9"/>
    <w:rsid w:val="009A307C"/>
    <w:rsid w:val="009B20D9"/>
    <w:rsid w:val="009B23E9"/>
    <w:rsid w:val="009B5A0F"/>
    <w:rsid w:val="009B5F79"/>
    <w:rsid w:val="009B6E73"/>
    <w:rsid w:val="009C2D3A"/>
    <w:rsid w:val="009C4437"/>
    <w:rsid w:val="009C4C21"/>
    <w:rsid w:val="009C5774"/>
    <w:rsid w:val="009C5E51"/>
    <w:rsid w:val="009C69D0"/>
    <w:rsid w:val="009D0E66"/>
    <w:rsid w:val="009D150F"/>
    <w:rsid w:val="009D17E3"/>
    <w:rsid w:val="009D49C5"/>
    <w:rsid w:val="009E143E"/>
    <w:rsid w:val="009E346B"/>
    <w:rsid w:val="009E733A"/>
    <w:rsid w:val="009F0EF3"/>
    <w:rsid w:val="009F1F55"/>
    <w:rsid w:val="009F2B75"/>
    <w:rsid w:val="009F385F"/>
    <w:rsid w:val="009F38B2"/>
    <w:rsid w:val="00A0174C"/>
    <w:rsid w:val="00A01CAD"/>
    <w:rsid w:val="00A025E8"/>
    <w:rsid w:val="00A033FE"/>
    <w:rsid w:val="00A05AF8"/>
    <w:rsid w:val="00A074D6"/>
    <w:rsid w:val="00A07F5A"/>
    <w:rsid w:val="00A100B3"/>
    <w:rsid w:val="00A1365D"/>
    <w:rsid w:val="00A158EA"/>
    <w:rsid w:val="00A21825"/>
    <w:rsid w:val="00A23C95"/>
    <w:rsid w:val="00A24528"/>
    <w:rsid w:val="00A27803"/>
    <w:rsid w:val="00A30D63"/>
    <w:rsid w:val="00A338FF"/>
    <w:rsid w:val="00A36AB4"/>
    <w:rsid w:val="00A40509"/>
    <w:rsid w:val="00A41C2A"/>
    <w:rsid w:val="00A45E96"/>
    <w:rsid w:val="00A505AA"/>
    <w:rsid w:val="00A5096F"/>
    <w:rsid w:val="00A52002"/>
    <w:rsid w:val="00A54262"/>
    <w:rsid w:val="00A54805"/>
    <w:rsid w:val="00A56ECF"/>
    <w:rsid w:val="00A61DFC"/>
    <w:rsid w:val="00A63CEA"/>
    <w:rsid w:val="00A67593"/>
    <w:rsid w:val="00A67FC1"/>
    <w:rsid w:val="00A714F4"/>
    <w:rsid w:val="00A719F7"/>
    <w:rsid w:val="00A75B39"/>
    <w:rsid w:val="00A80D3A"/>
    <w:rsid w:val="00A82F99"/>
    <w:rsid w:val="00A83250"/>
    <w:rsid w:val="00A8369E"/>
    <w:rsid w:val="00A86540"/>
    <w:rsid w:val="00A90772"/>
    <w:rsid w:val="00A9216C"/>
    <w:rsid w:val="00AA30C0"/>
    <w:rsid w:val="00AA3621"/>
    <w:rsid w:val="00AA4202"/>
    <w:rsid w:val="00AA5CDD"/>
    <w:rsid w:val="00AA6457"/>
    <w:rsid w:val="00AB1CC9"/>
    <w:rsid w:val="00AB3842"/>
    <w:rsid w:val="00AB7076"/>
    <w:rsid w:val="00AB729E"/>
    <w:rsid w:val="00AC4191"/>
    <w:rsid w:val="00AC4B5A"/>
    <w:rsid w:val="00AC4BDE"/>
    <w:rsid w:val="00AC5B19"/>
    <w:rsid w:val="00AC6027"/>
    <w:rsid w:val="00AC63D6"/>
    <w:rsid w:val="00AC66F8"/>
    <w:rsid w:val="00AC75F0"/>
    <w:rsid w:val="00AC7DE1"/>
    <w:rsid w:val="00AD03A8"/>
    <w:rsid w:val="00AD06D3"/>
    <w:rsid w:val="00AD1B3E"/>
    <w:rsid w:val="00AD1F2D"/>
    <w:rsid w:val="00AD4FC0"/>
    <w:rsid w:val="00AD650F"/>
    <w:rsid w:val="00AD7267"/>
    <w:rsid w:val="00AD7F5E"/>
    <w:rsid w:val="00AE54B1"/>
    <w:rsid w:val="00AF038C"/>
    <w:rsid w:val="00AF0CA1"/>
    <w:rsid w:val="00AF303E"/>
    <w:rsid w:val="00AF40A6"/>
    <w:rsid w:val="00AF72A2"/>
    <w:rsid w:val="00B036F8"/>
    <w:rsid w:val="00B0514A"/>
    <w:rsid w:val="00B058D2"/>
    <w:rsid w:val="00B06842"/>
    <w:rsid w:val="00B07125"/>
    <w:rsid w:val="00B1305B"/>
    <w:rsid w:val="00B13C52"/>
    <w:rsid w:val="00B142B6"/>
    <w:rsid w:val="00B14E39"/>
    <w:rsid w:val="00B173D1"/>
    <w:rsid w:val="00B21CA8"/>
    <w:rsid w:val="00B21F8A"/>
    <w:rsid w:val="00B22BBE"/>
    <w:rsid w:val="00B23724"/>
    <w:rsid w:val="00B251CF"/>
    <w:rsid w:val="00B26592"/>
    <w:rsid w:val="00B27044"/>
    <w:rsid w:val="00B30C4F"/>
    <w:rsid w:val="00B32C46"/>
    <w:rsid w:val="00B34583"/>
    <w:rsid w:val="00B3758B"/>
    <w:rsid w:val="00B37E61"/>
    <w:rsid w:val="00B41398"/>
    <w:rsid w:val="00B41CD3"/>
    <w:rsid w:val="00B53412"/>
    <w:rsid w:val="00B54A85"/>
    <w:rsid w:val="00B54E9B"/>
    <w:rsid w:val="00B54F25"/>
    <w:rsid w:val="00B6108E"/>
    <w:rsid w:val="00B6137F"/>
    <w:rsid w:val="00B63E2E"/>
    <w:rsid w:val="00B65EA9"/>
    <w:rsid w:val="00B66967"/>
    <w:rsid w:val="00B80BD4"/>
    <w:rsid w:val="00B83158"/>
    <w:rsid w:val="00B8318E"/>
    <w:rsid w:val="00B8461C"/>
    <w:rsid w:val="00B86AA1"/>
    <w:rsid w:val="00B871A6"/>
    <w:rsid w:val="00B90F94"/>
    <w:rsid w:val="00B92256"/>
    <w:rsid w:val="00B9569F"/>
    <w:rsid w:val="00B961D3"/>
    <w:rsid w:val="00B9712C"/>
    <w:rsid w:val="00B97C87"/>
    <w:rsid w:val="00BA0F87"/>
    <w:rsid w:val="00BA3CDD"/>
    <w:rsid w:val="00BA5341"/>
    <w:rsid w:val="00BA7201"/>
    <w:rsid w:val="00BB0709"/>
    <w:rsid w:val="00BB0AF1"/>
    <w:rsid w:val="00BB4B5E"/>
    <w:rsid w:val="00BC7054"/>
    <w:rsid w:val="00BD0049"/>
    <w:rsid w:val="00BD6DF8"/>
    <w:rsid w:val="00BD72B4"/>
    <w:rsid w:val="00BE0614"/>
    <w:rsid w:val="00BE4056"/>
    <w:rsid w:val="00BE6DD6"/>
    <w:rsid w:val="00BF0653"/>
    <w:rsid w:val="00BF0D4D"/>
    <w:rsid w:val="00BF0E40"/>
    <w:rsid w:val="00BF253B"/>
    <w:rsid w:val="00BF43D2"/>
    <w:rsid w:val="00BF4E4D"/>
    <w:rsid w:val="00BF5938"/>
    <w:rsid w:val="00BF5FE9"/>
    <w:rsid w:val="00BF60CA"/>
    <w:rsid w:val="00C00B0E"/>
    <w:rsid w:val="00C02020"/>
    <w:rsid w:val="00C04BBC"/>
    <w:rsid w:val="00C04FFA"/>
    <w:rsid w:val="00C05AF3"/>
    <w:rsid w:val="00C078F4"/>
    <w:rsid w:val="00C12257"/>
    <w:rsid w:val="00C12978"/>
    <w:rsid w:val="00C13497"/>
    <w:rsid w:val="00C13861"/>
    <w:rsid w:val="00C13D35"/>
    <w:rsid w:val="00C15D4A"/>
    <w:rsid w:val="00C16C39"/>
    <w:rsid w:val="00C17861"/>
    <w:rsid w:val="00C17CC9"/>
    <w:rsid w:val="00C22EF5"/>
    <w:rsid w:val="00C25D66"/>
    <w:rsid w:val="00C312BC"/>
    <w:rsid w:val="00C35331"/>
    <w:rsid w:val="00C422E6"/>
    <w:rsid w:val="00C424F5"/>
    <w:rsid w:val="00C427AB"/>
    <w:rsid w:val="00C457D6"/>
    <w:rsid w:val="00C50274"/>
    <w:rsid w:val="00C505DB"/>
    <w:rsid w:val="00C50C47"/>
    <w:rsid w:val="00C52550"/>
    <w:rsid w:val="00C52ED5"/>
    <w:rsid w:val="00C540F8"/>
    <w:rsid w:val="00C5556E"/>
    <w:rsid w:val="00C55D3B"/>
    <w:rsid w:val="00C63E28"/>
    <w:rsid w:val="00C664B6"/>
    <w:rsid w:val="00C729D0"/>
    <w:rsid w:val="00C72D67"/>
    <w:rsid w:val="00C77CC6"/>
    <w:rsid w:val="00C80937"/>
    <w:rsid w:val="00C80C25"/>
    <w:rsid w:val="00C8102E"/>
    <w:rsid w:val="00C8235F"/>
    <w:rsid w:val="00C918A6"/>
    <w:rsid w:val="00C9263A"/>
    <w:rsid w:val="00C92B0A"/>
    <w:rsid w:val="00C92C32"/>
    <w:rsid w:val="00C95200"/>
    <w:rsid w:val="00C97B0A"/>
    <w:rsid w:val="00CA5714"/>
    <w:rsid w:val="00CA7635"/>
    <w:rsid w:val="00CB2E95"/>
    <w:rsid w:val="00CB68BF"/>
    <w:rsid w:val="00CC41E5"/>
    <w:rsid w:val="00CC54C3"/>
    <w:rsid w:val="00CC570F"/>
    <w:rsid w:val="00CD1A39"/>
    <w:rsid w:val="00CD2056"/>
    <w:rsid w:val="00CD2DA1"/>
    <w:rsid w:val="00CE289C"/>
    <w:rsid w:val="00CE4B0A"/>
    <w:rsid w:val="00CF45AC"/>
    <w:rsid w:val="00CF508E"/>
    <w:rsid w:val="00CF54D2"/>
    <w:rsid w:val="00CF68B2"/>
    <w:rsid w:val="00CF6A5B"/>
    <w:rsid w:val="00CF70F3"/>
    <w:rsid w:val="00CF7648"/>
    <w:rsid w:val="00CF7EA4"/>
    <w:rsid w:val="00D00675"/>
    <w:rsid w:val="00D01030"/>
    <w:rsid w:val="00D027C1"/>
    <w:rsid w:val="00D053CE"/>
    <w:rsid w:val="00D067A5"/>
    <w:rsid w:val="00D06CAB"/>
    <w:rsid w:val="00D10820"/>
    <w:rsid w:val="00D12C64"/>
    <w:rsid w:val="00D1448F"/>
    <w:rsid w:val="00D17564"/>
    <w:rsid w:val="00D23978"/>
    <w:rsid w:val="00D245D0"/>
    <w:rsid w:val="00D2688C"/>
    <w:rsid w:val="00D31DE8"/>
    <w:rsid w:val="00D3376D"/>
    <w:rsid w:val="00D3795F"/>
    <w:rsid w:val="00D37B6F"/>
    <w:rsid w:val="00D40EC4"/>
    <w:rsid w:val="00D422FE"/>
    <w:rsid w:val="00D46A3E"/>
    <w:rsid w:val="00D50136"/>
    <w:rsid w:val="00D521BD"/>
    <w:rsid w:val="00D549D1"/>
    <w:rsid w:val="00D552F9"/>
    <w:rsid w:val="00D5734B"/>
    <w:rsid w:val="00D628FF"/>
    <w:rsid w:val="00D63A77"/>
    <w:rsid w:val="00D64293"/>
    <w:rsid w:val="00D6492A"/>
    <w:rsid w:val="00D66004"/>
    <w:rsid w:val="00D70321"/>
    <w:rsid w:val="00D73908"/>
    <w:rsid w:val="00D740A0"/>
    <w:rsid w:val="00D74AA8"/>
    <w:rsid w:val="00D761FA"/>
    <w:rsid w:val="00D76C66"/>
    <w:rsid w:val="00D772A3"/>
    <w:rsid w:val="00D82658"/>
    <w:rsid w:val="00D874A9"/>
    <w:rsid w:val="00D91704"/>
    <w:rsid w:val="00D92BAA"/>
    <w:rsid w:val="00D93EE3"/>
    <w:rsid w:val="00D959A4"/>
    <w:rsid w:val="00D96F48"/>
    <w:rsid w:val="00DA1595"/>
    <w:rsid w:val="00DA1755"/>
    <w:rsid w:val="00DA5D4B"/>
    <w:rsid w:val="00DA7136"/>
    <w:rsid w:val="00DB2B0A"/>
    <w:rsid w:val="00DB602F"/>
    <w:rsid w:val="00DB63EA"/>
    <w:rsid w:val="00DC09D8"/>
    <w:rsid w:val="00DC4358"/>
    <w:rsid w:val="00DC4FD8"/>
    <w:rsid w:val="00DC5323"/>
    <w:rsid w:val="00DC65A2"/>
    <w:rsid w:val="00DC7CD0"/>
    <w:rsid w:val="00DD1F94"/>
    <w:rsid w:val="00DD22AA"/>
    <w:rsid w:val="00DD260E"/>
    <w:rsid w:val="00DD3571"/>
    <w:rsid w:val="00DD3DDE"/>
    <w:rsid w:val="00DD573F"/>
    <w:rsid w:val="00DD6F61"/>
    <w:rsid w:val="00DE4DF7"/>
    <w:rsid w:val="00DE63D1"/>
    <w:rsid w:val="00DE6A28"/>
    <w:rsid w:val="00DF032F"/>
    <w:rsid w:val="00DF7952"/>
    <w:rsid w:val="00E01406"/>
    <w:rsid w:val="00E0154E"/>
    <w:rsid w:val="00E0169B"/>
    <w:rsid w:val="00E0180B"/>
    <w:rsid w:val="00E033EA"/>
    <w:rsid w:val="00E043CB"/>
    <w:rsid w:val="00E05801"/>
    <w:rsid w:val="00E107C8"/>
    <w:rsid w:val="00E10A66"/>
    <w:rsid w:val="00E13AD3"/>
    <w:rsid w:val="00E14574"/>
    <w:rsid w:val="00E14BC8"/>
    <w:rsid w:val="00E14EE7"/>
    <w:rsid w:val="00E20249"/>
    <w:rsid w:val="00E20B61"/>
    <w:rsid w:val="00E21DE3"/>
    <w:rsid w:val="00E25790"/>
    <w:rsid w:val="00E274F4"/>
    <w:rsid w:val="00E27CDB"/>
    <w:rsid w:val="00E27CE1"/>
    <w:rsid w:val="00E305BE"/>
    <w:rsid w:val="00E32EE2"/>
    <w:rsid w:val="00E34324"/>
    <w:rsid w:val="00E37F4C"/>
    <w:rsid w:val="00E450DE"/>
    <w:rsid w:val="00E535FE"/>
    <w:rsid w:val="00E57E36"/>
    <w:rsid w:val="00E62372"/>
    <w:rsid w:val="00E624A1"/>
    <w:rsid w:val="00E64453"/>
    <w:rsid w:val="00E707C4"/>
    <w:rsid w:val="00E70BB0"/>
    <w:rsid w:val="00E76904"/>
    <w:rsid w:val="00E81A55"/>
    <w:rsid w:val="00E825C3"/>
    <w:rsid w:val="00E8486B"/>
    <w:rsid w:val="00E87652"/>
    <w:rsid w:val="00E92E2C"/>
    <w:rsid w:val="00E96122"/>
    <w:rsid w:val="00E966BF"/>
    <w:rsid w:val="00EA0847"/>
    <w:rsid w:val="00EA1FDA"/>
    <w:rsid w:val="00EA3B4B"/>
    <w:rsid w:val="00EA58A1"/>
    <w:rsid w:val="00EA6D66"/>
    <w:rsid w:val="00EB2060"/>
    <w:rsid w:val="00EB2681"/>
    <w:rsid w:val="00EB6FAB"/>
    <w:rsid w:val="00EB71A0"/>
    <w:rsid w:val="00EB791F"/>
    <w:rsid w:val="00EB7A50"/>
    <w:rsid w:val="00EC1B28"/>
    <w:rsid w:val="00EC2429"/>
    <w:rsid w:val="00EC3515"/>
    <w:rsid w:val="00EC6F77"/>
    <w:rsid w:val="00EC7B2F"/>
    <w:rsid w:val="00ED0DA8"/>
    <w:rsid w:val="00ED140E"/>
    <w:rsid w:val="00ED5DCF"/>
    <w:rsid w:val="00EE164B"/>
    <w:rsid w:val="00EE1C18"/>
    <w:rsid w:val="00EE2773"/>
    <w:rsid w:val="00EE453C"/>
    <w:rsid w:val="00EE5596"/>
    <w:rsid w:val="00EE5F84"/>
    <w:rsid w:val="00EE7129"/>
    <w:rsid w:val="00EE749F"/>
    <w:rsid w:val="00EE7532"/>
    <w:rsid w:val="00EE7C23"/>
    <w:rsid w:val="00EE7CD3"/>
    <w:rsid w:val="00EF0811"/>
    <w:rsid w:val="00EF1954"/>
    <w:rsid w:val="00EF508D"/>
    <w:rsid w:val="00EF535B"/>
    <w:rsid w:val="00EF7960"/>
    <w:rsid w:val="00EF7D21"/>
    <w:rsid w:val="00F016A9"/>
    <w:rsid w:val="00F016F3"/>
    <w:rsid w:val="00F02B29"/>
    <w:rsid w:val="00F10050"/>
    <w:rsid w:val="00F13184"/>
    <w:rsid w:val="00F14BCA"/>
    <w:rsid w:val="00F151D8"/>
    <w:rsid w:val="00F16CFE"/>
    <w:rsid w:val="00F17D5B"/>
    <w:rsid w:val="00F231E3"/>
    <w:rsid w:val="00F23CAE"/>
    <w:rsid w:val="00F25FD5"/>
    <w:rsid w:val="00F34061"/>
    <w:rsid w:val="00F34BD0"/>
    <w:rsid w:val="00F35EF4"/>
    <w:rsid w:val="00F4129C"/>
    <w:rsid w:val="00F43327"/>
    <w:rsid w:val="00F478F6"/>
    <w:rsid w:val="00F47C88"/>
    <w:rsid w:val="00F54ADE"/>
    <w:rsid w:val="00F54DB1"/>
    <w:rsid w:val="00F572C6"/>
    <w:rsid w:val="00F60BD7"/>
    <w:rsid w:val="00F64E89"/>
    <w:rsid w:val="00F6686D"/>
    <w:rsid w:val="00F66FEF"/>
    <w:rsid w:val="00F70695"/>
    <w:rsid w:val="00F7341B"/>
    <w:rsid w:val="00F77449"/>
    <w:rsid w:val="00F774BF"/>
    <w:rsid w:val="00F80020"/>
    <w:rsid w:val="00F81290"/>
    <w:rsid w:val="00F82A37"/>
    <w:rsid w:val="00F82BCD"/>
    <w:rsid w:val="00F83604"/>
    <w:rsid w:val="00F84650"/>
    <w:rsid w:val="00F87476"/>
    <w:rsid w:val="00F91291"/>
    <w:rsid w:val="00F940FD"/>
    <w:rsid w:val="00F953E4"/>
    <w:rsid w:val="00F957F5"/>
    <w:rsid w:val="00FA19DB"/>
    <w:rsid w:val="00FA4EF9"/>
    <w:rsid w:val="00FA510E"/>
    <w:rsid w:val="00FA54BD"/>
    <w:rsid w:val="00FA6444"/>
    <w:rsid w:val="00FB2557"/>
    <w:rsid w:val="00FB7F03"/>
    <w:rsid w:val="00FC4176"/>
    <w:rsid w:val="00FC463F"/>
    <w:rsid w:val="00FC5A60"/>
    <w:rsid w:val="00FC737C"/>
    <w:rsid w:val="00FD753F"/>
    <w:rsid w:val="00FE10CC"/>
    <w:rsid w:val="00FE1D22"/>
    <w:rsid w:val="00FF146F"/>
    <w:rsid w:val="00FF2807"/>
    <w:rsid w:val="00FF2E9B"/>
    <w:rsid w:val="00FF32BF"/>
    <w:rsid w:val="00FF43C4"/>
    <w:rsid w:val="00FF4471"/>
    <w:rsid w:val="00FF4BD5"/>
    <w:rsid w:val="00FF5279"/>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2D3F8"/>
  <w15:chartTrackingRefBased/>
  <w15:docId w15:val="{97377E67-CFE0-44A6-A2B8-4BBD9C6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E75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r-text">
    <w:name w:val="larger-text"/>
    <w:basedOn w:val="DefaultParagraphFont"/>
    <w:rsid w:val="00F81290"/>
  </w:style>
  <w:style w:type="paragraph" w:styleId="BodyText">
    <w:name w:val="Body Text"/>
    <w:basedOn w:val="Normal"/>
    <w:link w:val="BodyTextChar"/>
    <w:rsid w:val="00F81290"/>
    <w:pPr>
      <w:spacing w:after="240"/>
    </w:pPr>
    <w:rPr>
      <w:szCs w:val="20"/>
    </w:rPr>
  </w:style>
  <w:style w:type="character" w:customStyle="1" w:styleId="BodyTextChar">
    <w:name w:val="Body Text Char"/>
    <w:link w:val="BodyText"/>
    <w:rsid w:val="00F8129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A6444"/>
    <w:pPr>
      <w:tabs>
        <w:tab w:val="center" w:pos="4680"/>
        <w:tab w:val="right" w:pos="9360"/>
      </w:tabs>
    </w:pPr>
  </w:style>
  <w:style w:type="character" w:customStyle="1" w:styleId="HeaderChar">
    <w:name w:val="Header Char"/>
    <w:link w:val="Header"/>
    <w:uiPriority w:val="99"/>
    <w:rsid w:val="00FA64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444"/>
    <w:pPr>
      <w:tabs>
        <w:tab w:val="center" w:pos="4680"/>
        <w:tab w:val="right" w:pos="9360"/>
      </w:tabs>
    </w:pPr>
  </w:style>
  <w:style w:type="character" w:customStyle="1" w:styleId="FooterChar">
    <w:name w:val="Footer Char"/>
    <w:link w:val="Footer"/>
    <w:uiPriority w:val="99"/>
    <w:rsid w:val="00FA6444"/>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9A307C"/>
    <w:pPr>
      <w:spacing w:after="200" w:line="276" w:lineRule="auto"/>
      <w:ind w:left="720"/>
    </w:pPr>
    <w:rPr>
      <w:rFonts w:ascii="Calibri" w:eastAsia="Calibri" w:hAnsi="Calibri"/>
      <w:sz w:val="22"/>
      <w:szCs w:val="22"/>
    </w:rPr>
  </w:style>
  <w:style w:type="table" w:styleId="TableGrid">
    <w:name w:val="Table Grid"/>
    <w:basedOn w:val="TableNormal"/>
    <w:uiPriority w:val="59"/>
    <w:rsid w:val="0050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93D"/>
    <w:pPr>
      <w:spacing w:before="100" w:beforeAutospacing="1" w:after="100" w:afterAutospacing="1"/>
    </w:pPr>
  </w:style>
  <w:style w:type="paragraph" w:customStyle="1" w:styleId="MediumShading1-Accent21">
    <w:name w:val="Medium Shading 1 - Accent 21"/>
    <w:uiPriority w:val="1"/>
    <w:qFormat/>
    <w:rsid w:val="00BA0F8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0483F"/>
    <w:rPr>
      <w:rFonts w:ascii="Tahoma" w:hAnsi="Tahoma" w:cs="Tahoma"/>
      <w:sz w:val="16"/>
      <w:szCs w:val="16"/>
    </w:rPr>
  </w:style>
  <w:style w:type="character" w:customStyle="1" w:styleId="BalloonTextChar">
    <w:name w:val="Balloon Text Char"/>
    <w:link w:val="BalloonText"/>
    <w:uiPriority w:val="99"/>
    <w:semiHidden/>
    <w:rsid w:val="0080483F"/>
    <w:rPr>
      <w:rFonts w:ascii="Tahoma" w:eastAsia="Times New Roman" w:hAnsi="Tahoma" w:cs="Tahoma"/>
      <w:sz w:val="16"/>
      <w:szCs w:val="16"/>
    </w:rPr>
  </w:style>
  <w:style w:type="paragraph" w:customStyle="1" w:styleId="m-7339563882293084871m-5672076706716931384m-4497597722195140660msolistparagraph">
    <w:name w:val="m_-7339563882293084871m-5672076706716931384m-4497597722195140660msolistparagraph"/>
    <w:basedOn w:val="Normal"/>
    <w:rsid w:val="00D17564"/>
    <w:pPr>
      <w:spacing w:before="100" w:beforeAutospacing="1" w:after="100" w:afterAutospacing="1"/>
    </w:pPr>
    <w:rPr>
      <w:rFonts w:eastAsia="Calibri"/>
    </w:rPr>
  </w:style>
  <w:style w:type="paragraph" w:customStyle="1" w:styleId="MediumGrid2-Accent11">
    <w:name w:val="Medium Grid 2 - Accent 11"/>
    <w:uiPriority w:val="1"/>
    <w:qFormat/>
    <w:rsid w:val="006127D9"/>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729D0"/>
    <w:rPr>
      <w:sz w:val="20"/>
      <w:szCs w:val="20"/>
    </w:rPr>
  </w:style>
  <w:style w:type="character" w:customStyle="1" w:styleId="FootnoteTextChar">
    <w:name w:val="Footnote Text Char"/>
    <w:link w:val="FootnoteText"/>
    <w:uiPriority w:val="99"/>
    <w:semiHidden/>
    <w:rsid w:val="00C729D0"/>
    <w:rPr>
      <w:rFonts w:ascii="Times New Roman" w:eastAsia="Times New Roman" w:hAnsi="Times New Roman"/>
    </w:rPr>
  </w:style>
  <w:style w:type="character" w:styleId="FootnoteReference">
    <w:name w:val="footnote reference"/>
    <w:uiPriority w:val="99"/>
    <w:semiHidden/>
    <w:unhideWhenUsed/>
    <w:rsid w:val="00C729D0"/>
    <w:rPr>
      <w:vertAlign w:val="superscript"/>
    </w:rPr>
  </w:style>
  <w:style w:type="paragraph" w:customStyle="1" w:styleId="MediumGrid1-Accent21">
    <w:name w:val="Medium Grid 1 - Accent 21"/>
    <w:basedOn w:val="Normal"/>
    <w:uiPriority w:val="34"/>
    <w:qFormat/>
    <w:rsid w:val="00E27CDB"/>
    <w:pPr>
      <w:ind w:left="720"/>
    </w:pPr>
  </w:style>
  <w:style w:type="character" w:styleId="Hyperlink">
    <w:name w:val="Hyperlink"/>
    <w:uiPriority w:val="99"/>
    <w:unhideWhenUsed/>
    <w:rsid w:val="0014582A"/>
    <w:rPr>
      <w:color w:val="0563C1"/>
      <w:u w:val="single"/>
    </w:rPr>
  </w:style>
  <w:style w:type="character" w:styleId="CommentReference">
    <w:name w:val="annotation reference"/>
    <w:uiPriority w:val="99"/>
    <w:semiHidden/>
    <w:unhideWhenUsed/>
    <w:rsid w:val="002C5AE9"/>
    <w:rPr>
      <w:sz w:val="16"/>
      <w:szCs w:val="16"/>
    </w:rPr>
  </w:style>
  <w:style w:type="paragraph" w:styleId="CommentText">
    <w:name w:val="annotation text"/>
    <w:basedOn w:val="Normal"/>
    <w:link w:val="CommentTextChar"/>
    <w:uiPriority w:val="99"/>
    <w:semiHidden/>
    <w:unhideWhenUsed/>
    <w:rsid w:val="002C5AE9"/>
    <w:rPr>
      <w:sz w:val="20"/>
      <w:szCs w:val="20"/>
    </w:rPr>
  </w:style>
  <w:style w:type="character" w:customStyle="1" w:styleId="CommentTextChar">
    <w:name w:val="Comment Text Char"/>
    <w:link w:val="CommentText"/>
    <w:uiPriority w:val="99"/>
    <w:semiHidden/>
    <w:rsid w:val="002C5A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C5AE9"/>
    <w:rPr>
      <w:b/>
      <w:bCs/>
    </w:rPr>
  </w:style>
  <w:style w:type="character" w:customStyle="1" w:styleId="CommentSubjectChar">
    <w:name w:val="Comment Subject Char"/>
    <w:link w:val="CommentSubject"/>
    <w:uiPriority w:val="99"/>
    <w:semiHidden/>
    <w:rsid w:val="002C5AE9"/>
    <w:rPr>
      <w:rFonts w:ascii="Times New Roman" w:eastAsia="Times New Roman" w:hAnsi="Times New Roman"/>
      <w:b/>
      <w:bCs/>
    </w:rPr>
  </w:style>
  <w:style w:type="paragraph" w:customStyle="1" w:styleId="ColorfulList-Accent11">
    <w:name w:val="Colorful List - Accent 11"/>
    <w:basedOn w:val="Normal"/>
    <w:uiPriority w:val="34"/>
    <w:qFormat/>
    <w:rsid w:val="00BF0D4D"/>
    <w:pPr>
      <w:ind w:left="720"/>
    </w:pPr>
  </w:style>
  <w:style w:type="paragraph" w:styleId="ListParagraph">
    <w:name w:val="List Paragraph"/>
    <w:basedOn w:val="Normal"/>
    <w:uiPriority w:val="34"/>
    <w:qFormat/>
    <w:rsid w:val="00753BA1"/>
    <w:pPr>
      <w:ind w:left="720"/>
    </w:pPr>
    <w:rPr>
      <w:rFonts w:ascii="Calibri" w:eastAsiaTheme="minorHAnsi" w:hAnsi="Calibri"/>
      <w:sz w:val="22"/>
      <w:szCs w:val="22"/>
    </w:rPr>
  </w:style>
  <w:style w:type="paragraph" w:styleId="Revision">
    <w:name w:val="Revision"/>
    <w:hidden/>
    <w:uiPriority w:val="99"/>
    <w:unhideWhenUsed/>
    <w:rsid w:val="00366E0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207">
      <w:bodyDiv w:val="1"/>
      <w:marLeft w:val="0"/>
      <w:marRight w:val="0"/>
      <w:marTop w:val="0"/>
      <w:marBottom w:val="0"/>
      <w:divBdr>
        <w:top w:val="none" w:sz="0" w:space="0" w:color="auto"/>
        <w:left w:val="none" w:sz="0" w:space="0" w:color="auto"/>
        <w:bottom w:val="none" w:sz="0" w:space="0" w:color="auto"/>
        <w:right w:val="none" w:sz="0" w:space="0" w:color="auto"/>
      </w:divBdr>
    </w:div>
    <w:div w:id="64039240">
      <w:bodyDiv w:val="1"/>
      <w:marLeft w:val="0"/>
      <w:marRight w:val="0"/>
      <w:marTop w:val="0"/>
      <w:marBottom w:val="0"/>
      <w:divBdr>
        <w:top w:val="none" w:sz="0" w:space="0" w:color="auto"/>
        <w:left w:val="none" w:sz="0" w:space="0" w:color="auto"/>
        <w:bottom w:val="none" w:sz="0" w:space="0" w:color="auto"/>
        <w:right w:val="none" w:sz="0" w:space="0" w:color="auto"/>
      </w:divBdr>
    </w:div>
    <w:div w:id="135873745">
      <w:bodyDiv w:val="1"/>
      <w:marLeft w:val="0"/>
      <w:marRight w:val="0"/>
      <w:marTop w:val="0"/>
      <w:marBottom w:val="0"/>
      <w:divBdr>
        <w:top w:val="none" w:sz="0" w:space="0" w:color="auto"/>
        <w:left w:val="none" w:sz="0" w:space="0" w:color="auto"/>
        <w:bottom w:val="none" w:sz="0" w:space="0" w:color="auto"/>
        <w:right w:val="none" w:sz="0" w:space="0" w:color="auto"/>
      </w:divBdr>
    </w:div>
    <w:div w:id="145779732">
      <w:bodyDiv w:val="1"/>
      <w:marLeft w:val="0"/>
      <w:marRight w:val="0"/>
      <w:marTop w:val="0"/>
      <w:marBottom w:val="0"/>
      <w:divBdr>
        <w:top w:val="none" w:sz="0" w:space="0" w:color="auto"/>
        <w:left w:val="none" w:sz="0" w:space="0" w:color="auto"/>
        <w:bottom w:val="none" w:sz="0" w:space="0" w:color="auto"/>
        <w:right w:val="none" w:sz="0" w:space="0" w:color="auto"/>
      </w:divBdr>
    </w:div>
    <w:div w:id="150025432">
      <w:bodyDiv w:val="1"/>
      <w:marLeft w:val="0"/>
      <w:marRight w:val="0"/>
      <w:marTop w:val="0"/>
      <w:marBottom w:val="0"/>
      <w:divBdr>
        <w:top w:val="none" w:sz="0" w:space="0" w:color="auto"/>
        <w:left w:val="none" w:sz="0" w:space="0" w:color="auto"/>
        <w:bottom w:val="none" w:sz="0" w:space="0" w:color="auto"/>
        <w:right w:val="none" w:sz="0" w:space="0" w:color="auto"/>
      </w:divBdr>
    </w:div>
    <w:div w:id="166025622">
      <w:bodyDiv w:val="1"/>
      <w:marLeft w:val="0"/>
      <w:marRight w:val="0"/>
      <w:marTop w:val="0"/>
      <w:marBottom w:val="0"/>
      <w:divBdr>
        <w:top w:val="none" w:sz="0" w:space="0" w:color="auto"/>
        <w:left w:val="none" w:sz="0" w:space="0" w:color="auto"/>
        <w:bottom w:val="none" w:sz="0" w:space="0" w:color="auto"/>
        <w:right w:val="none" w:sz="0" w:space="0" w:color="auto"/>
      </w:divBdr>
    </w:div>
    <w:div w:id="178159303">
      <w:bodyDiv w:val="1"/>
      <w:marLeft w:val="0"/>
      <w:marRight w:val="0"/>
      <w:marTop w:val="0"/>
      <w:marBottom w:val="0"/>
      <w:divBdr>
        <w:top w:val="none" w:sz="0" w:space="0" w:color="auto"/>
        <w:left w:val="none" w:sz="0" w:space="0" w:color="auto"/>
        <w:bottom w:val="none" w:sz="0" w:space="0" w:color="auto"/>
        <w:right w:val="none" w:sz="0" w:space="0" w:color="auto"/>
      </w:divBdr>
    </w:div>
    <w:div w:id="180290517">
      <w:bodyDiv w:val="1"/>
      <w:marLeft w:val="0"/>
      <w:marRight w:val="0"/>
      <w:marTop w:val="0"/>
      <w:marBottom w:val="0"/>
      <w:divBdr>
        <w:top w:val="none" w:sz="0" w:space="0" w:color="auto"/>
        <w:left w:val="none" w:sz="0" w:space="0" w:color="auto"/>
        <w:bottom w:val="none" w:sz="0" w:space="0" w:color="auto"/>
        <w:right w:val="none" w:sz="0" w:space="0" w:color="auto"/>
      </w:divBdr>
    </w:div>
    <w:div w:id="209584827">
      <w:bodyDiv w:val="1"/>
      <w:marLeft w:val="0"/>
      <w:marRight w:val="0"/>
      <w:marTop w:val="0"/>
      <w:marBottom w:val="0"/>
      <w:divBdr>
        <w:top w:val="none" w:sz="0" w:space="0" w:color="auto"/>
        <w:left w:val="none" w:sz="0" w:space="0" w:color="auto"/>
        <w:bottom w:val="none" w:sz="0" w:space="0" w:color="auto"/>
        <w:right w:val="none" w:sz="0" w:space="0" w:color="auto"/>
      </w:divBdr>
    </w:div>
    <w:div w:id="218825704">
      <w:bodyDiv w:val="1"/>
      <w:marLeft w:val="0"/>
      <w:marRight w:val="0"/>
      <w:marTop w:val="0"/>
      <w:marBottom w:val="0"/>
      <w:divBdr>
        <w:top w:val="none" w:sz="0" w:space="0" w:color="auto"/>
        <w:left w:val="none" w:sz="0" w:space="0" w:color="auto"/>
        <w:bottom w:val="none" w:sz="0" w:space="0" w:color="auto"/>
        <w:right w:val="none" w:sz="0" w:space="0" w:color="auto"/>
      </w:divBdr>
    </w:div>
    <w:div w:id="337273316">
      <w:bodyDiv w:val="1"/>
      <w:marLeft w:val="0"/>
      <w:marRight w:val="0"/>
      <w:marTop w:val="0"/>
      <w:marBottom w:val="0"/>
      <w:divBdr>
        <w:top w:val="none" w:sz="0" w:space="0" w:color="auto"/>
        <w:left w:val="none" w:sz="0" w:space="0" w:color="auto"/>
        <w:bottom w:val="none" w:sz="0" w:space="0" w:color="auto"/>
        <w:right w:val="none" w:sz="0" w:space="0" w:color="auto"/>
      </w:divBdr>
    </w:div>
    <w:div w:id="347102495">
      <w:bodyDiv w:val="1"/>
      <w:marLeft w:val="0"/>
      <w:marRight w:val="0"/>
      <w:marTop w:val="0"/>
      <w:marBottom w:val="0"/>
      <w:divBdr>
        <w:top w:val="none" w:sz="0" w:space="0" w:color="auto"/>
        <w:left w:val="none" w:sz="0" w:space="0" w:color="auto"/>
        <w:bottom w:val="none" w:sz="0" w:space="0" w:color="auto"/>
        <w:right w:val="none" w:sz="0" w:space="0" w:color="auto"/>
      </w:divBdr>
    </w:div>
    <w:div w:id="355273751">
      <w:bodyDiv w:val="1"/>
      <w:marLeft w:val="0"/>
      <w:marRight w:val="0"/>
      <w:marTop w:val="0"/>
      <w:marBottom w:val="0"/>
      <w:divBdr>
        <w:top w:val="none" w:sz="0" w:space="0" w:color="auto"/>
        <w:left w:val="none" w:sz="0" w:space="0" w:color="auto"/>
        <w:bottom w:val="none" w:sz="0" w:space="0" w:color="auto"/>
        <w:right w:val="none" w:sz="0" w:space="0" w:color="auto"/>
      </w:divBdr>
    </w:div>
    <w:div w:id="380640921">
      <w:bodyDiv w:val="1"/>
      <w:marLeft w:val="0"/>
      <w:marRight w:val="0"/>
      <w:marTop w:val="0"/>
      <w:marBottom w:val="0"/>
      <w:divBdr>
        <w:top w:val="none" w:sz="0" w:space="0" w:color="auto"/>
        <w:left w:val="none" w:sz="0" w:space="0" w:color="auto"/>
        <w:bottom w:val="none" w:sz="0" w:space="0" w:color="auto"/>
        <w:right w:val="none" w:sz="0" w:space="0" w:color="auto"/>
      </w:divBdr>
    </w:div>
    <w:div w:id="438110892">
      <w:bodyDiv w:val="1"/>
      <w:marLeft w:val="0"/>
      <w:marRight w:val="0"/>
      <w:marTop w:val="0"/>
      <w:marBottom w:val="0"/>
      <w:divBdr>
        <w:top w:val="none" w:sz="0" w:space="0" w:color="auto"/>
        <w:left w:val="none" w:sz="0" w:space="0" w:color="auto"/>
        <w:bottom w:val="none" w:sz="0" w:space="0" w:color="auto"/>
        <w:right w:val="none" w:sz="0" w:space="0" w:color="auto"/>
      </w:divBdr>
    </w:div>
    <w:div w:id="451824374">
      <w:bodyDiv w:val="1"/>
      <w:marLeft w:val="0"/>
      <w:marRight w:val="0"/>
      <w:marTop w:val="0"/>
      <w:marBottom w:val="0"/>
      <w:divBdr>
        <w:top w:val="none" w:sz="0" w:space="0" w:color="auto"/>
        <w:left w:val="none" w:sz="0" w:space="0" w:color="auto"/>
        <w:bottom w:val="none" w:sz="0" w:space="0" w:color="auto"/>
        <w:right w:val="none" w:sz="0" w:space="0" w:color="auto"/>
      </w:divBdr>
    </w:div>
    <w:div w:id="544370139">
      <w:bodyDiv w:val="1"/>
      <w:marLeft w:val="0"/>
      <w:marRight w:val="0"/>
      <w:marTop w:val="0"/>
      <w:marBottom w:val="0"/>
      <w:divBdr>
        <w:top w:val="none" w:sz="0" w:space="0" w:color="auto"/>
        <w:left w:val="none" w:sz="0" w:space="0" w:color="auto"/>
        <w:bottom w:val="none" w:sz="0" w:space="0" w:color="auto"/>
        <w:right w:val="none" w:sz="0" w:space="0" w:color="auto"/>
      </w:divBdr>
    </w:div>
    <w:div w:id="567424376">
      <w:bodyDiv w:val="1"/>
      <w:marLeft w:val="0"/>
      <w:marRight w:val="0"/>
      <w:marTop w:val="0"/>
      <w:marBottom w:val="0"/>
      <w:divBdr>
        <w:top w:val="none" w:sz="0" w:space="0" w:color="auto"/>
        <w:left w:val="none" w:sz="0" w:space="0" w:color="auto"/>
        <w:bottom w:val="none" w:sz="0" w:space="0" w:color="auto"/>
        <w:right w:val="none" w:sz="0" w:space="0" w:color="auto"/>
      </w:divBdr>
    </w:div>
    <w:div w:id="604075870">
      <w:bodyDiv w:val="1"/>
      <w:marLeft w:val="0"/>
      <w:marRight w:val="0"/>
      <w:marTop w:val="0"/>
      <w:marBottom w:val="0"/>
      <w:divBdr>
        <w:top w:val="none" w:sz="0" w:space="0" w:color="auto"/>
        <w:left w:val="none" w:sz="0" w:space="0" w:color="auto"/>
        <w:bottom w:val="none" w:sz="0" w:space="0" w:color="auto"/>
        <w:right w:val="none" w:sz="0" w:space="0" w:color="auto"/>
      </w:divBdr>
    </w:div>
    <w:div w:id="682973991">
      <w:bodyDiv w:val="1"/>
      <w:marLeft w:val="0"/>
      <w:marRight w:val="0"/>
      <w:marTop w:val="0"/>
      <w:marBottom w:val="0"/>
      <w:divBdr>
        <w:top w:val="none" w:sz="0" w:space="0" w:color="auto"/>
        <w:left w:val="none" w:sz="0" w:space="0" w:color="auto"/>
        <w:bottom w:val="none" w:sz="0" w:space="0" w:color="auto"/>
        <w:right w:val="none" w:sz="0" w:space="0" w:color="auto"/>
      </w:divBdr>
    </w:div>
    <w:div w:id="882407500">
      <w:bodyDiv w:val="1"/>
      <w:marLeft w:val="0"/>
      <w:marRight w:val="0"/>
      <w:marTop w:val="0"/>
      <w:marBottom w:val="0"/>
      <w:divBdr>
        <w:top w:val="none" w:sz="0" w:space="0" w:color="auto"/>
        <w:left w:val="none" w:sz="0" w:space="0" w:color="auto"/>
        <w:bottom w:val="none" w:sz="0" w:space="0" w:color="auto"/>
        <w:right w:val="none" w:sz="0" w:space="0" w:color="auto"/>
      </w:divBdr>
    </w:div>
    <w:div w:id="885532093">
      <w:bodyDiv w:val="1"/>
      <w:marLeft w:val="0"/>
      <w:marRight w:val="0"/>
      <w:marTop w:val="0"/>
      <w:marBottom w:val="0"/>
      <w:divBdr>
        <w:top w:val="none" w:sz="0" w:space="0" w:color="auto"/>
        <w:left w:val="none" w:sz="0" w:space="0" w:color="auto"/>
        <w:bottom w:val="none" w:sz="0" w:space="0" w:color="auto"/>
        <w:right w:val="none" w:sz="0" w:space="0" w:color="auto"/>
      </w:divBdr>
    </w:div>
    <w:div w:id="928272441">
      <w:bodyDiv w:val="1"/>
      <w:marLeft w:val="0"/>
      <w:marRight w:val="0"/>
      <w:marTop w:val="0"/>
      <w:marBottom w:val="0"/>
      <w:divBdr>
        <w:top w:val="none" w:sz="0" w:space="0" w:color="auto"/>
        <w:left w:val="none" w:sz="0" w:space="0" w:color="auto"/>
        <w:bottom w:val="none" w:sz="0" w:space="0" w:color="auto"/>
        <w:right w:val="none" w:sz="0" w:space="0" w:color="auto"/>
      </w:divBdr>
    </w:div>
    <w:div w:id="932251435">
      <w:bodyDiv w:val="1"/>
      <w:marLeft w:val="0"/>
      <w:marRight w:val="0"/>
      <w:marTop w:val="0"/>
      <w:marBottom w:val="0"/>
      <w:divBdr>
        <w:top w:val="none" w:sz="0" w:space="0" w:color="auto"/>
        <w:left w:val="none" w:sz="0" w:space="0" w:color="auto"/>
        <w:bottom w:val="none" w:sz="0" w:space="0" w:color="auto"/>
        <w:right w:val="none" w:sz="0" w:space="0" w:color="auto"/>
      </w:divBdr>
    </w:div>
    <w:div w:id="937635818">
      <w:bodyDiv w:val="1"/>
      <w:marLeft w:val="0"/>
      <w:marRight w:val="0"/>
      <w:marTop w:val="0"/>
      <w:marBottom w:val="0"/>
      <w:divBdr>
        <w:top w:val="none" w:sz="0" w:space="0" w:color="auto"/>
        <w:left w:val="none" w:sz="0" w:space="0" w:color="auto"/>
        <w:bottom w:val="none" w:sz="0" w:space="0" w:color="auto"/>
        <w:right w:val="none" w:sz="0" w:space="0" w:color="auto"/>
      </w:divBdr>
    </w:div>
    <w:div w:id="969434356">
      <w:bodyDiv w:val="1"/>
      <w:marLeft w:val="0"/>
      <w:marRight w:val="0"/>
      <w:marTop w:val="0"/>
      <w:marBottom w:val="0"/>
      <w:divBdr>
        <w:top w:val="none" w:sz="0" w:space="0" w:color="auto"/>
        <w:left w:val="none" w:sz="0" w:space="0" w:color="auto"/>
        <w:bottom w:val="none" w:sz="0" w:space="0" w:color="auto"/>
        <w:right w:val="none" w:sz="0" w:space="0" w:color="auto"/>
      </w:divBdr>
    </w:div>
    <w:div w:id="998922631">
      <w:bodyDiv w:val="1"/>
      <w:marLeft w:val="0"/>
      <w:marRight w:val="0"/>
      <w:marTop w:val="0"/>
      <w:marBottom w:val="0"/>
      <w:divBdr>
        <w:top w:val="none" w:sz="0" w:space="0" w:color="auto"/>
        <w:left w:val="none" w:sz="0" w:space="0" w:color="auto"/>
        <w:bottom w:val="none" w:sz="0" w:space="0" w:color="auto"/>
        <w:right w:val="none" w:sz="0" w:space="0" w:color="auto"/>
      </w:divBdr>
      <w:divsChild>
        <w:div w:id="48458857">
          <w:marLeft w:val="0"/>
          <w:marRight w:val="0"/>
          <w:marTop w:val="0"/>
          <w:marBottom w:val="0"/>
          <w:divBdr>
            <w:top w:val="none" w:sz="0" w:space="0" w:color="auto"/>
            <w:left w:val="none" w:sz="0" w:space="0" w:color="auto"/>
            <w:bottom w:val="none" w:sz="0" w:space="0" w:color="auto"/>
            <w:right w:val="none" w:sz="0" w:space="0" w:color="auto"/>
          </w:divBdr>
        </w:div>
        <w:div w:id="99958023">
          <w:marLeft w:val="0"/>
          <w:marRight w:val="0"/>
          <w:marTop w:val="0"/>
          <w:marBottom w:val="0"/>
          <w:divBdr>
            <w:top w:val="none" w:sz="0" w:space="0" w:color="auto"/>
            <w:left w:val="none" w:sz="0" w:space="0" w:color="auto"/>
            <w:bottom w:val="none" w:sz="0" w:space="0" w:color="auto"/>
            <w:right w:val="none" w:sz="0" w:space="0" w:color="auto"/>
          </w:divBdr>
        </w:div>
        <w:div w:id="430205761">
          <w:marLeft w:val="0"/>
          <w:marRight w:val="0"/>
          <w:marTop w:val="0"/>
          <w:marBottom w:val="0"/>
          <w:divBdr>
            <w:top w:val="none" w:sz="0" w:space="0" w:color="auto"/>
            <w:left w:val="none" w:sz="0" w:space="0" w:color="auto"/>
            <w:bottom w:val="none" w:sz="0" w:space="0" w:color="auto"/>
            <w:right w:val="none" w:sz="0" w:space="0" w:color="auto"/>
          </w:divBdr>
        </w:div>
        <w:div w:id="727218398">
          <w:marLeft w:val="0"/>
          <w:marRight w:val="0"/>
          <w:marTop w:val="0"/>
          <w:marBottom w:val="0"/>
          <w:divBdr>
            <w:top w:val="none" w:sz="0" w:space="0" w:color="auto"/>
            <w:left w:val="none" w:sz="0" w:space="0" w:color="auto"/>
            <w:bottom w:val="none" w:sz="0" w:space="0" w:color="auto"/>
            <w:right w:val="none" w:sz="0" w:space="0" w:color="auto"/>
          </w:divBdr>
        </w:div>
        <w:div w:id="875967557">
          <w:marLeft w:val="0"/>
          <w:marRight w:val="0"/>
          <w:marTop w:val="0"/>
          <w:marBottom w:val="0"/>
          <w:divBdr>
            <w:top w:val="none" w:sz="0" w:space="0" w:color="auto"/>
            <w:left w:val="none" w:sz="0" w:space="0" w:color="auto"/>
            <w:bottom w:val="none" w:sz="0" w:space="0" w:color="auto"/>
            <w:right w:val="none" w:sz="0" w:space="0" w:color="auto"/>
          </w:divBdr>
        </w:div>
        <w:div w:id="1078940031">
          <w:marLeft w:val="0"/>
          <w:marRight w:val="0"/>
          <w:marTop w:val="0"/>
          <w:marBottom w:val="0"/>
          <w:divBdr>
            <w:top w:val="none" w:sz="0" w:space="0" w:color="auto"/>
            <w:left w:val="none" w:sz="0" w:space="0" w:color="auto"/>
            <w:bottom w:val="none" w:sz="0" w:space="0" w:color="auto"/>
            <w:right w:val="none" w:sz="0" w:space="0" w:color="auto"/>
          </w:divBdr>
        </w:div>
        <w:div w:id="1564759530">
          <w:marLeft w:val="0"/>
          <w:marRight w:val="0"/>
          <w:marTop w:val="0"/>
          <w:marBottom w:val="0"/>
          <w:divBdr>
            <w:top w:val="none" w:sz="0" w:space="0" w:color="auto"/>
            <w:left w:val="none" w:sz="0" w:space="0" w:color="auto"/>
            <w:bottom w:val="none" w:sz="0" w:space="0" w:color="auto"/>
            <w:right w:val="none" w:sz="0" w:space="0" w:color="auto"/>
          </w:divBdr>
        </w:div>
        <w:div w:id="2044791595">
          <w:marLeft w:val="0"/>
          <w:marRight w:val="0"/>
          <w:marTop w:val="0"/>
          <w:marBottom w:val="0"/>
          <w:divBdr>
            <w:top w:val="none" w:sz="0" w:space="0" w:color="auto"/>
            <w:left w:val="none" w:sz="0" w:space="0" w:color="auto"/>
            <w:bottom w:val="none" w:sz="0" w:space="0" w:color="auto"/>
            <w:right w:val="none" w:sz="0" w:space="0" w:color="auto"/>
          </w:divBdr>
        </w:div>
      </w:divsChild>
    </w:div>
    <w:div w:id="1030374863">
      <w:bodyDiv w:val="1"/>
      <w:marLeft w:val="0"/>
      <w:marRight w:val="0"/>
      <w:marTop w:val="0"/>
      <w:marBottom w:val="0"/>
      <w:divBdr>
        <w:top w:val="none" w:sz="0" w:space="0" w:color="auto"/>
        <w:left w:val="none" w:sz="0" w:space="0" w:color="auto"/>
        <w:bottom w:val="none" w:sz="0" w:space="0" w:color="auto"/>
        <w:right w:val="none" w:sz="0" w:space="0" w:color="auto"/>
      </w:divBdr>
    </w:div>
    <w:div w:id="1093629593">
      <w:bodyDiv w:val="1"/>
      <w:marLeft w:val="0"/>
      <w:marRight w:val="0"/>
      <w:marTop w:val="0"/>
      <w:marBottom w:val="0"/>
      <w:divBdr>
        <w:top w:val="none" w:sz="0" w:space="0" w:color="auto"/>
        <w:left w:val="none" w:sz="0" w:space="0" w:color="auto"/>
        <w:bottom w:val="none" w:sz="0" w:space="0" w:color="auto"/>
        <w:right w:val="none" w:sz="0" w:space="0" w:color="auto"/>
      </w:divBdr>
    </w:div>
    <w:div w:id="1174539802">
      <w:bodyDiv w:val="1"/>
      <w:marLeft w:val="0"/>
      <w:marRight w:val="0"/>
      <w:marTop w:val="0"/>
      <w:marBottom w:val="0"/>
      <w:divBdr>
        <w:top w:val="none" w:sz="0" w:space="0" w:color="auto"/>
        <w:left w:val="none" w:sz="0" w:space="0" w:color="auto"/>
        <w:bottom w:val="none" w:sz="0" w:space="0" w:color="auto"/>
        <w:right w:val="none" w:sz="0" w:space="0" w:color="auto"/>
      </w:divBdr>
    </w:div>
    <w:div w:id="1204754332">
      <w:bodyDiv w:val="1"/>
      <w:marLeft w:val="0"/>
      <w:marRight w:val="0"/>
      <w:marTop w:val="0"/>
      <w:marBottom w:val="0"/>
      <w:divBdr>
        <w:top w:val="none" w:sz="0" w:space="0" w:color="auto"/>
        <w:left w:val="none" w:sz="0" w:space="0" w:color="auto"/>
        <w:bottom w:val="none" w:sz="0" w:space="0" w:color="auto"/>
        <w:right w:val="none" w:sz="0" w:space="0" w:color="auto"/>
      </w:divBdr>
    </w:div>
    <w:div w:id="1235049560">
      <w:bodyDiv w:val="1"/>
      <w:marLeft w:val="0"/>
      <w:marRight w:val="0"/>
      <w:marTop w:val="0"/>
      <w:marBottom w:val="0"/>
      <w:divBdr>
        <w:top w:val="none" w:sz="0" w:space="0" w:color="auto"/>
        <w:left w:val="none" w:sz="0" w:space="0" w:color="auto"/>
        <w:bottom w:val="none" w:sz="0" w:space="0" w:color="auto"/>
        <w:right w:val="none" w:sz="0" w:space="0" w:color="auto"/>
      </w:divBdr>
    </w:div>
    <w:div w:id="1324430809">
      <w:bodyDiv w:val="1"/>
      <w:marLeft w:val="0"/>
      <w:marRight w:val="0"/>
      <w:marTop w:val="0"/>
      <w:marBottom w:val="0"/>
      <w:divBdr>
        <w:top w:val="none" w:sz="0" w:space="0" w:color="auto"/>
        <w:left w:val="none" w:sz="0" w:space="0" w:color="auto"/>
        <w:bottom w:val="none" w:sz="0" w:space="0" w:color="auto"/>
        <w:right w:val="none" w:sz="0" w:space="0" w:color="auto"/>
      </w:divBdr>
    </w:div>
    <w:div w:id="1340230816">
      <w:bodyDiv w:val="1"/>
      <w:marLeft w:val="0"/>
      <w:marRight w:val="0"/>
      <w:marTop w:val="0"/>
      <w:marBottom w:val="0"/>
      <w:divBdr>
        <w:top w:val="none" w:sz="0" w:space="0" w:color="auto"/>
        <w:left w:val="none" w:sz="0" w:space="0" w:color="auto"/>
        <w:bottom w:val="none" w:sz="0" w:space="0" w:color="auto"/>
        <w:right w:val="none" w:sz="0" w:space="0" w:color="auto"/>
      </w:divBdr>
    </w:div>
    <w:div w:id="1381980213">
      <w:bodyDiv w:val="1"/>
      <w:marLeft w:val="0"/>
      <w:marRight w:val="0"/>
      <w:marTop w:val="0"/>
      <w:marBottom w:val="0"/>
      <w:divBdr>
        <w:top w:val="none" w:sz="0" w:space="0" w:color="auto"/>
        <w:left w:val="none" w:sz="0" w:space="0" w:color="auto"/>
        <w:bottom w:val="none" w:sz="0" w:space="0" w:color="auto"/>
        <w:right w:val="none" w:sz="0" w:space="0" w:color="auto"/>
      </w:divBdr>
    </w:div>
    <w:div w:id="1432818246">
      <w:bodyDiv w:val="1"/>
      <w:marLeft w:val="0"/>
      <w:marRight w:val="0"/>
      <w:marTop w:val="0"/>
      <w:marBottom w:val="0"/>
      <w:divBdr>
        <w:top w:val="none" w:sz="0" w:space="0" w:color="auto"/>
        <w:left w:val="none" w:sz="0" w:space="0" w:color="auto"/>
        <w:bottom w:val="none" w:sz="0" w:space="0" w:color="auto"/>
        <w:right w:val="none" w:sz="0" w:space="0" w:color="auto"/>
      </w:divBdr>
    </w:div>
    <w:div w:id="1449853091">
      <w:bodyDiv w:val="1"/>
      <w:marLeft w:val="0"/>
      <w:marRight w:val="0"/>
      <w:marTop w:val="0"/>
      <w:marBottom w:val="0"/>
      <w:divBdr>
        <w:top w:val="none" w:sz="0" w:space="0" w:color="auto"/>
        <w:left w:val="none" w:sz="0" w:space="0" w:color="auto"/>
        <w:bottom w:val="none" w:sz="0" w:space="0" w:color="auto"/>
        <w:right w:val="none" w:sz="0" w:space="0" w:color="auto"/>
      </w:divBdr>
    </w:div>
    <w:div w:id="1513227596">
      <w:bodyDiv w:val="1"/>
      <w:marLeft w:val="0"/>
      <w:marRight w:val="0"/>
      <w:marTop w:val="0"/>
      <w:marBottom w:val="0"/>
      <w:divBdr>
        <w:top w:val="none" w:sz="0" w:space="0" w:color="auto"/>
        <w:left w:val="none" w:sz="0" w:space="0" w:color="auto"/>
        <w:bottom w:val="none" w:sz="0" w:space="0" w:color="auto"/>
        <w:right w:val="none" w:sz="0" w:space="0" w:color="auto"/>
      </w:divBdr>
    </w:div>
    <w:div w:id="1515536121">
      <w:bodyDiv w:val="1"/>
      <w:marLeft w:val="0"/>
      <w:marRight w:val="0"/>
      <w:marTop w:val="0"/>
      <w:marBottom w:val="0"/>
      <w:divBdr>
        <w:top w:val="none" w:sz="0" w:space="0" w:color="auto"/>
        <w:left w:val="none" w:sz="0" w:space="0" w:color="auto"/>
        <w:bottom w:val="none" w:sz="0" w:space="0" w:color="auto"/>
        <w:right w:val="none" w:sz="0" w:space="0" w:color="auto"/>
      </w:divBdr>
    </w:div>
    <w:div w:id="1515923118">
      <w:bodyDiv w:val="1"/>
      <w:marLeft w:val="0"/>
      <w:marRight w:val="0"/>
      <w:marTop w:val="0"/>
      <w:marBottom w:val="0"/>
      <w:divBdr>
        <w:top w:val="none" w:sz="0" w:space="0" w:color="auto"/>
        <w:left w:val="none" w:sz="0" w:space="0" w:color="auto"/>
        <w:bottom w:val="none" w:sz="0" w:space="0" w:color="auto"/>
        <w:right w:val="none" w:sz="0" w:space="0" w:color="auto"/>
      </w:divBdr>
    </w:div>
    <w:div w:id="1534615459">
      <w:bodyDiv w:val="1"/>
      <w:marLeft w:val="0"/>
      <w:marRight w:val="0"/>
      <w:marTop w:val="0"/>
      <w:marBottom w:val="0"/>
      <w:divBdr>
        <w:top w:val="none" w:sz="0" w:space="0" w:color="auto"/>
        <w:left w:val="none" w:sz="0" w:space="0" w:color="auto"/>
        <w:bottom w:val="none" w:sz="0" w:space="0" w:color="auto"/>
        <w:right w:val="none" w:sz="0" w:space="0" w:color="auto"/>
      </w:divBdr>
    </w:div>
    <w:div w:id="1561862038">
      <w:bodyDiv w:val="1"/>
      <w:marLeft w:val="0"/>
      <w:marRight w:val="0"/>
      <w:marTop w:val="0"/>
      <w:marBottom w:val="0"/>
      <w:divBdr>
        <w:top w:val="none" w:sz="0" w:space="0" w:color="auto"/>
        <w:left w:val="none" w:sz="0" w:space="0" w:color="auto"/>
        <w:bottom w:val="none" w:sz="0" w:space="0" w:color="auto"/>
        <w:right w:val="none" w:sz="0" w:space="0" w:color="auto"/>
      </w:divBdr>
    </w:div>
    <w:div w:id="1563325381">
      <w:bodyDiv w:val="1"/>
      <w:marLeft w:val="0"/>
      <w:marRight w:val="0"/>
      <w:marTop w:val="0"/>
      <w:marBottom w:val="0"/>
      <w:divBdr>
        <w:top w:val="none" w:sz="0" w:space="0" w:color="auto"/>
        <w:left w:val="none" w:sz="0" w:space="0" w:color="auto"/>
        <w:bottom w:val="none" w:sz="0" w:space="0" w:color="auto"/>
        <w:right w:val="none" w:sz="0" w:space="0" w:color="auto"/>
      </w:divBdr>
    </w:div>
    <w:div w:id="1575774032">
      <w:bodyDiv w:val="1"/>
      <w:marLeft w:val="0"/>
      <w:marRight w:val="0"/>
      <w:marTop w:val="0"/>
      <w:marBottom w:val="0"/>
      <w:divBdr>
        <w:top w:val="none" w:sz="0" w:space="0" w:color="auto"/>
        <w:left w:val="none" w:sz="0" w:space="0" w:color="auto"/>
        <w:bottom w:val="none" w:sz="0" w:space="0" w:color="auto"/>
        <w:right w:val="none" w:sz="0" w:space="0" w:color="auto"/>
      </w:divBdr>
    </w:div>
    <w:div w:id="1602759116">
      <w:bodyDiv w:val="1"/>
      <w:marLeft w:val="0"/>
      <w:marRight w:val="0"/>
      <w:marTop w:val="0"/>
      <w:marBottom w:val="0"/>
      <w:divBdr>
        <w:top w:val="none" w:sz="0" w:space="0" w:color="auto"/>
        <w:left w:val="none" w:sz="0" w:space="0" w:color="auto"/>
        <w:bottom w:val="none" w:sz="0" w:space="0" w:color="auto"/>
        <w:right w:val="none" w:sz="0" w:space="0" w:color="auto"/>
      </w:divBdr>
    </w:div>
    <w:div w:id="1606617851">
      <w:bodyDiv w:val="1"/>
      <w:marLeft w:val="0"/>
      <w:marRight w:val="0"/>
      <w:marTop w:val="0"/>
      <w:marBottom w:val="0"/>
      <w:divBdr>
        <w:top w:val="none" w:sz="0" w:space="0" w:color="auto"/>
        <w:left w:val="none" w:sz="0" w:space="0" w:color="auto"/>
        <w:bottom w:val="none" w:sz="0" w:space="0" w:color="auto"/>
        <w:right w:val="none" w:sz="0" w:space="0" w:color="auto"/>
      </w:divBdr>
    </w:div>
    <w:div w:id="1680156567">
      <w:bodyDiv w:val="1"/>
      <w:marLeft w:val="0"/>
      <w:marRight w:val="0"/>
      <w:marTop w:val="0"/>
      <w:marBottom w:val="0"/>
      <w:divBdr>
        <w:top w:val="none" w:sz="0" w:space="0" w:color="auto"/>
        <w:left w:val="none" w:sz="0" w:space="0" w:color="auto"/>
        <w:bottom w:val="none" w:sz="0" w:space="0" w:color="auto"/>
        <w:right w:val="none" w:sz="0" w:space="0" w:color="auto"/>
      </w:divBdr>
    </w:div>
    <w:div w:id="1758938423">
      <w:bodyDiv w:val="1"/>
      <w:marLeft w:val="0"/>
      <w:marRight w:val="0"/>
      <w:marTop w:val="0"/>
      <w:marBottom w:val="0"/>
      <w:divBdr>
        <w:top w:val="none" w:sz="0" w:space="0" w:color="auto"/>
        <w:left w:val="none" w:sz="0" w:space="0" w:color="auto"/>
        <w:bottom w:val="none" w:sz="0" w:space="0" w:color="auto"/>
        <w:right w:val="none" w:sz="0" w:space="0" w:color="auto"/>
      </w:divBdr>
    </w:div>
    <w:div w:id="1863858034">
      <w:bodyDiv w:val="1"/>
      <w:marLeft w:val="0"/>
      <w:marRight w:val="0"/>
      <w:marTop w:val="0"/>
      <w:marBottom w:val="0"/>
      <w:divBdr>
        <w:top w:val="none" w:sz="0" w:space="0" w:color="auto"/>
        <w:left w:val="none" w:sz="0" w:space="0" w:color="auto"/>
        <w:bottom w:val="none" w:sz="0" w:space="0" w:color="auto"/>
        <w:right w:val="none" w:sz="0" w:space="0" w:color="auto"/>
      </w:divBdr>
    </w:div>
    <w:div w:id="1949000264">
      <w:bodyDiv w:val="1"/>
      <w:marLeft w:val="0"/>
      <w:marRight w:val="0"/>
      <w:marTop w:val="0"/>
      <w:marBottom w:val="0"/>
      <w:divBdr>
        <w:top w:val="none" w:sz="0" w:space="0" w:color="auto"/>
        <w:left w:val="none" w:sz="0" w:space="0" w:color="auto"/>
        <w:bottom w:val="none" w:sz="0" w:space="0" w:color="auto"/>
        <w:right w:val="none" w:sz="0" w:space="0" w:color="auto"/>
      </w:divBdr>
    </w:div>
    <w:div w:id="21246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6960-64ED-41DE-9927-A258E2DC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2</cp:revision>
  <cp:lastPrinted>2019-05-06T20:45:00Z</cp:lastPrinted>
  <dcterms:created xsi:type="dcterms:W3CDTF">2019-05-07T13:50:00Z</dcterms:created>
  <dcterms:modified xsi:type="dcterms:W3CDTF">2019-05-07T13:50:00Z</dcterms:modified>
</cp:coreProperties>
</file>