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5331EE" w:rsidRPr="00AC55AD" w:rsidRDefault="005331E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9526D3">
        <w:rPr>
          <w:b/>
          <w:sz w:val="24"/>
          <w:szCs w:val="24"/>
        </w:rPr>
        <w:t>382</w:t>
      </w:r>
      <w:r w:rsidR="0018753D">
        <w:rPr>
          <w:b/>
          <w:sz w:val="24"/>
          <w:szCs w:val="24"/>
        </w:rPr>
        <w:t xml:space="preserve"> </w:t>
      </w:r>
      <w:r w:rsidR="00AE1484">
        <w:rPr>
          <w:b/>
          <w:sz w:val="24"/>
          <w:szCs w:val="24"/>
        </w:rPr>
        <w:t>and 383</w:t>
      </w:r>
    </w:p>
    <w:p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</w:t>
      </w:r>
      <w:r w:rsidR="00ED69A5">
        <w:rPr>
          <w:b/>
          <w:sz w:val="24"/>
          <w:szCs w:val="24"/>
        </w:rPr>
        <w:t>856 and 857</w:t>
      </w:r>
      <w:r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9526D3" w:rsidRDefault="009526D3" w:rsidP="009526D3">
      <w:pPr>
        <w:ind w:left="2250" w:right="-540" w:hanging="22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BRONX</w:t>
      </w:r>
      <w:r w:rsidR="00C82611">
        <w:rPr>
          <w:b/>
          <w:sz w:val="24"/>
          <w:szCs w:val="24"/>
        </w:rPr>
        <w:t xml:space="preserve"> CB</w:t>
      </w:r>
      <w:r w:rsidR="0051200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</w:t>
      </w:r>
      <w:r w:rsidR="0051200E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 </w:t>
      </w:r>
      <w:r w:rsidR="007D048A">
        <w:rPr>
          <w:b/>
          <w:sz w:val="24"/>
          <w:szCs w:val="24"/>
        </w:rPr>
        <w:t>-</w:t>
      </w:r>
      <w:r w:rsidR="0051200E">
        <w:rPr>
          <w:b/>
          <w:sz w:val="24"/>
          <w:szCs w:val="24"/>
        </w:rPr>
        <w:t xml:space="preserve"> </w:t>
      </w:r>
      <w:r w:rsidR="00A91F53">
        <w:rPr>
          <w:b/>
          <w:sz w:val="24"/>
          <w:szCs w:val="24"/>
        </w:rPr>
        <w:t xml:space="preserve"> </w:t>
      </w:r>
      <w:r w:rsidR="009474A2">
        <w:rPr>
          <w:b/>
          <w:sz w:val="24"/>
          <w:szCs w:val="24"/>
        </w:rPr>
        <w:t>TWO</w:t>
      </w:r>
      <w:r w:rsidR="0051200E">
        <w:rPr>
          <w:b/>
          <w:sz w:val="24"/>
          <w:szCs w:val="24"/>
        </w:rPr>
        <w:t xml:space="preserve"> </w:t>
      </w:r>
      <w:r w:rsidR="00C82611">
        <w:rPr>
          <w:b/>
          <w:sz w:val="24"/>
          <w:szCs w:val="24"/>
        </w:rPr>
        <w:t xml:space="preserve">APPLICATIONS RELATED TO </w:t>
      </w:r>
      <w:r>
        <w:rPr>
          <w:b/>
          <w:sz w:val="24"/>
          <w:szCs w:val="24"/>
        </w:rPr>
        <w:t>2069 BRUCKNER BOULEVARD</w:t>
      </w:r>
    </w:p>
    <w:p w:rsidR="00A819F7" w:rsidRDefault="009526D3" w:rsidP="009526D3">
      <w:pPr>
        <w:ind w:left="1800" w:hanging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REZONING</w:t>
      </w:r>
    </w:p>
    <w:p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18753D" w:rsidRPr="009526D3" w:rsidRDefault="009526D3" w:rsidP="009526D3">
      <w:pPr>
        <w:tabs>
          <w:tab w:val="left" w:pos="7020"/>
        </w:tabs>
        <w:jc w:val="both"/>
        <w:rPr>
          <w:b/>
          <w:sz w:val="24"/>
          <w:szCs w:val="24"/>
        </w:rPr>
      </w:pPr>
      <w:r w:rsidRPr="009526D3">
        <w:rPr>
          <w:b/>
          <w:sz w:val="24"/>
          <w:szCs w:val="24"/>
        </w:rPr>
        <w:t xml:space="preserve">C 190102 ZMX </w:t>
      </w:r>
      <w:r w:rsidR="0018753D" w:rsidRPr="009526D3">
        <w:rPr>
          <w:b/>
          <w:sz w:val="24"/>
          <w:szCs w:val="24"/>
        </w:rPr>
        <w:t xml:space="preserve">(L.U. No. </w:t>
      </w:r>
      <w:r w:rsidRPr="009526D3">
        <w:rPr>
          <w:b/>
          <w:sz w:val="24"/>
          <w:szCs w:val="24"/>
        </w:rPr>
        <w:t>382</w:t>
      </w:r>
      <w:r w:rsidR="0018753D" w:rsidRPr="009526D3">
        <w:rPr>
          <w:b/>
          <w:sz w:val="24"/>
          <w:szCs w:val="24"/>
        </w:rPr>
        <w:t>)</w:t>
      </w:r>
    </w:p>
    <w:p w:rsidR="0018753D" w:rsidRDefault="0018753D" w:rsidP="009526D3">
      <w:pPr>
        <w:tabs>
          <w:tab w:val="left" w:pos="7020"/>
        </w:tabs>
        <w:jc w:val="both"/>
        <w:rPr>
          <w:sz w:val="24"/>
          <w:szCs w:val="24"/>
        </w:rPr>
      </w:pPr>
    </w:p>
    <w:p w:rsidR="009526D3" w:rsidRPr="009526D3" w:rsidRDefault="0018753D" w:rsidP="009526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69E0" w:rsidRPr="00C169E0">
        <w:rPr>
          <w:sz w:val="24"/>
          <w:szCs w:val="24"/>
        </w:rPr>
        <w:t>City Planning Commission decision approving an application</w:t>
      </w:r>
      <w:r w:rsidR="00C169E0">
        <w:rPr>
          <w:sz w:val="24"/>
          <w:szCs w:val="24"/>
        </w:rPr>
        <w:t xml:space="preserve"> </w:t>
      </w:r>
      <w:r w:rsidR="009526D3" w:rsidRPr="009526D3">
        <w:rPr>
          <w:sz w:val="24"/>
          <w:szCs w:val="24"/>
        </w:rPr>
        <w:t>submitted by Azimuth Development Group LLC pursuant to Sections 197-c and 201 of the New York City Charter for an amendment of the Zoning Map, Section Nos. 4b &amp; 7a:</w:t>
      </w:r>
    </w:p>
    <w:p w:rsidR="009526D3" w:rsidRPr="009526D3" w:rsidRDefault="009526D3" w:rsidP="0095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26D3" w:rsidRPr="009526D3" w:rsidRDefault="009526D3" w:rsidP="009526D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526D3">
        <w:rPr>
          <w:sz w:val="24"/>
          <w:szCs w:val="24"/>
        </w:rPr>
        <w:t>changing from an R5 District to an R7A District property bounded by Chatterton Avenue, Olmstead Avenue, Bruckner Expressway, and a line 300 feet westerly of Olmstead Avenue; and</w:t>
      </w:r>
    </w:p>
    <w:p w:rsidR="009526D3" w:rsidRPr="009526D3" w:rsidRDefault="009526D3" w:rsidP="009526D3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sz w:val="24"/>
          <w:szCs w:val="24"/>
        </w:rPr>
      </w:pPr>
    </w:p>
    <w:p w:rsidR="009526D3" w:rsidRPr="009526D3" w:rsidRDefault="009526D3" w:rsidP="009526D3">
      <w:pPr>
        <w:widowControl w:val="0"/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9526D3">
        <w:rPr>
          <w:sz w:val="24"/>
          <w:szCs w:val="24"/>
        </w:rPr>
        <w:t>2.</w:t>
      </w:r>
      <w:r w:rsidRPr="009526D3">
        <w:rPr>
          <w:sz w:val="24"/>
          <w:szCs w:val="24"/>
        </w:rPr>
        <w:tab/>
        <w:t>establishing within the proposed R7A District a C2-4 District bounded by</w:t>
      </w:r>
      <w:r w:rsidR="001E4553">
        <w:rPr>
          <w:sz w:val="24"/>
          <w:szCs w:val="24"/>
        </w:rPr>
        <w:t xml:space="preserve"> Chatterton Avenue,</w:t>
      </w:r>
      <w:r w:rsidRPr="009526D3">
        <w:rPr>
          <w:sz w:val="24"/>
          <w:szCs w:val="24"/>
        </w:rPr>
        <w:t xml:space="preserve"> Olmstead Avenue, Bruckner Expressway, a line 300 feet westerly of Olmstead Avenue, a line midway between Chatterton Avenue and Bruckner Boulevard (northerly portion), and a line 100 feet westerly of Olmstead Avenue;</w:t>
      </w:r>
    </w:p>
    <w:p w:rsidR="009526D3" w:rsidRPr="009526D3" w:rsidRDefault="009526D3" w:rsidP="0095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26D3" w:rsidRPr="009526D3" w:rsidRDefault="009526D3" w:rsidP="009526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26D3">
        <w:rPr>
          <w:sz w:val="24"/>
          <w:szCs w:val="24"/>
        </w:rPr>
        <w:t>as shown on a diagram (for illustrative purposes only) dated January 7, 2019, and subject to the conditions of the CEQR Declaration E-515.</w:t>
      </w:r>
    </w:p>
    <w:p w:rsidR="0018753D" w:rsidRPr="0018753D" w:rsidRDefault="0018753D" w:rsidP="009526D3">
      <w:pPr>
        <w:jc w:val="both"/>
        <w:rPr>
          <w:sz w:val="24"/>
          <w:szCs w:val="24"/>
        </w:rPr>
      </w:pPr>
    </w:p>
    <w:p w:rsidR="0018753D" w:rsidRDefault="0018753D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18753D" w:rsidRPr="009526D3" w:rsidRDefault="009526D3" w:rsidP="00E22AC6">
      <w:pPr>
        <w:tabs>
          <w:tab w:val="left" w:pos="7020"/>
        </w:tabs>
        <w:jc w:val="both"/>
        <w:rPr>
          <w:b/>
          <w:sz w:val="24"/>
          <w:szCs w:val="24"/>
        </w:rPr>
      </w:pPr>
      <w:r w:rsidRPr="009526D3">
        <w:rPr>
          <w:b/>
          <w:sz w:val="24"/>
          <w:szCs w:val="24"/>
        </w:rPr>
        <w:t xml:space="preserve">N 190103 ZRX </w:t>
      </w:r>
      <w:r w:rsidR="0018753D" w:rsidRPr="009526D3">
        <w:rPr>
          <w:b/>
          <w:sz w:val="24"/>
          <w:szCs w:val="24"/>
        </w:rPr>
        <w:t xml:space="preserve">(L.U. No. </w:t>
      </w:r>
      <w:r w:rsidRPr="009526D3">
        <w:rPr>
          <w:b/>
          <w:sz w:val="24"/>
          <w:szCs w:val="24"/>
        </w:rPr>
        <w:t>383</w:t>
      </w:r>
      <w:r w:rsidR="0018753D" w:rsidRPr="009526D3">
        <w:rPr>
          <w:b/>
          <w:sz w:val="24"/>
          <w:szCs w:val="24"/>
        </w:rPr>
        <w:t>)</w:t>
      </w:r>
    </w:p>
    <w:p w:rsidR="0018753D" w:rsidRDefault="0018753D" w:rsidP="009526D3">
      <w:pPr>
        <w:tabs>
          <w:tab w:val="left" w:pos="7020"/>
        </w:tabs>
        <w:jc w:val="both"/>
        <w:rPr>
          <w:sz w:val="24"/>
          <w:szCs w:val="24"/>
        </w:rPr>
      </w:pPr>
    </w:p>
    <w:p w:rsidR="0018753D" w:rsidRDefault="0018753D" w:rsidP="009526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3BA4" w:rsidRPr="00C169E0">
        <w:rPr>
          <w:sz w:val="24"/>
          <w:szCs w:val="24"/>
        </w:rPr>
        <w:t xml:space="preserve">City Planning Commission decision approving an </w:t>
      </w:r>
      <w:r w:rsidR="00343BA4">
        <w:rPr>
          <w:sz w:val="24"/>
          <w:szCs w:val="24"/>
        </w:rPr>
        <w:t>application</w:t>
      </w:r>
      <w:r w:rsidR="009526D3">
        <w:rPr>
          <w:sz w:val="24"/>
          <w:szCs w:val="24"/>
        </w:rPr>
        <w:t xml:space="preserve"> </w:t>
      </w:r>
      <w:r w:rsidR="009526D3" w:rsidRPr="009526D3">
        <w:rPr>
          <w:rFonts w:eastAsia="Calibri"/>
          <w:sz w:val="24"/>
          <w:szCs w:val="24"/>
        </w:rPr>
        <w:t>submitted by</w:t>
      </w:r>
      <w:r w:rsidR="009526D3" w:rsidRPr="009526D3">
        <w:rPr>
          <w:sz w:val="24"/>
          <w:szCs w:val="24"/>
        </w:rPr>
        <w:t xml:space="preserve"> Azimuth Development Group LLC</w:t>
      </w:r>
      <w:r w:rsidR="009526D3" w:rsidRPr="009526D3">
        <w:rPr>
          <w:rFonts w:eastAsia="Calibri"/>
          <w:sz w:val="24"/>
          <w:szCs w:val="24"/>
        </w:rPr>
        <w:t>, pursuant to Section 201 of the New York City Charter, for an amendment of the Zoning Resolution of the City of New York, modifying Appendix F for the purpose of establishing a Manda</w:t>
      </w:r>
      <w:r w:rsidR="009526D3">
        <w:rPr>
          <w:rFonts w:eastAsia="Calibri"/>
          <w:sz w:val="24"/>
          <w:szCs w:val="24"/>
        </w:rPr>
        <w:t>tory Inclusionary Housing Area.</w:t>
      </w:r>
    </w:p>
    <w:p w:rsidR="00343BA4" w:rsidRDefault="00343BA4" w:rsidP="009526D3">
      <w:pPr>
        <w:jc w:val="both"/>
        <w:rPr>
          <w:sz w:val="24"/>
          <w:szCs w:val="24"/>
        </w:rPr>
      </w:pPr>
    </w:p>
    <w:p w:rsidR="00343BA4" w:rsidRPr="0018753D" w:rsidRDefault="00343BA4" w:rsidP="0018753D">
      <w:pPr>
        <w:jc w:val="both"/>
        <w:rPr>
          <w:sz w:val="24"/>
          <w:szCs w:val="24"/>
        </w:rPr>
      </w:pPr>
    </w:p>
    <w:p w:rsidR="00F90E41" w:rsidRDefault="00F90E41" w:rsidP="00F90E41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753D" w:rsidRDefault="0018753D" w:rsidP="00F331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:rsidR="00F503C5" w:rsidRPr="00012AC6" w:rsidRDefault="00F503C5" w:rsidP="00A72E4E">
      <w:pPr>
        <w:jc w:val="both"/>
        <w:rPr>
          <w:sz w:val="24"/>
          <w:szCs w:val="24"/>
        </w:rPr>
      </w:pPr>
    </w:p>
    <w:p w:rsidR="00012AC6" w:rsidRPr="00012AC6" w:rsidRDefault="00A72E4E" w:rsidP="00012AC6">
      <w:pPr>
        <w:tabs>
          <w:tab w:val="left" w:pos="720"/>
        </w:tabs>
        <w:jc w:val="both"/>
        <w:rPr>
          <w:sz w:val="24"/>
          <w:szCs w:val="24"/>
        </w:rPr>
      </w:pPr>
      <w:r w:rsidRPr="00012AC6">
        <w:rPr>
          <w:sz w:val="24"/>
          <w:szCs w:val="24"/>
        </w:rPr>
        <w:tab/>
        <w:t xml:space="preserve">To approve the amendments to the Zoning Map and Text of the Zoning Resolution in order to change </w:t>
      </w:r>
      <w:r w:rsidRPr="00012AC6">
        <w:rPr>
          <w:rFonts w:eastAsia="Calibri"/>
          <w:sz w:val="24"/>
          <w:szCs w:val="24"/>
        </w:rPr>
        <w:t xml:space="preserve">the existing </w:t>
      </w:r>
      <w:r w:rsidRPr="00012AC6">
        <w:rPr>
          <w:sz w:val="24"/>
          <w:szCs w:val="24"/>
        </w:rPr>
        <w:t xml:space="preserve">R5 district to an R7A/C2-4 district and </w:t>
      </w:r>
      <w:r w:rsidRPr="00012AC6">
        <w:rPr>
          <w:rFonts w:eastAsia="Calibri"/>
          <w:sz w:val="24"/>
          <w:szCs w:val="24"/>
        </w:rPr>
        <w:t>establish a Mandatory Inclusionary Housin</w:t>
      </w:r>
      <w:r w:rsidR="00093EF3">
        <w:rPr>
          <w:rFonts w:eastAsia="Calibri"/>
          <w:sz w:val="24"/>
          <w:szCs w:val="24"/>
        </w:rPr>
        <w:t>g (MIH) area utilizing Option 1</w:t>
      </w:r>
      <w:r w:rsidRPr="00012AC6">
        <w:rPr>
          <w:rFonts w:eastAsia="Calibri"/>
          <w:sz w:val="24"/>
          <w:szCs w:val="24"/>
        </w:rPr>
        <w:t xml:space="preserve"> </w:t>
      </w:r>
      <w:r w:rsidR="00093EF3">
        <w:rPr>
          <w:rFonts w:eastAsia="Calibri"/>
          <w:sz w:val="24"/>
          <w:szCs w:val="24"/>
        </w:rPr>
        <w:t xml:space="preserve">to </w:t>
      </w:r>
      <w:r w:rsidR="00012AC6" w:rsidRPr="00012AC6">
        <w:rPr>
          <w:sz w:val="24"/>
          <w:szCs w:val="24"/>
        </w:rPr>
        <w:t xml:space="preserve">facilitate a mixed-use development of two buildings to include 65 affordable homeownership units, 265 rental units, 18,032 square feet of retail, and </w:t>
      </w:r>
      <w:r w:rsidR="001E4553">
        <w:rPr>
          <w:sz w:val="24"/>
          <w:szCs w:val="24"/>
        </w:rPr>
        <w:t>159</w:t>
      </w:r>
      <w:r w:rsidR="001E4553" w:rsidRPr="00012AC6">
        <w:rPr>
          <w:sz w:val="24"/>
          <w:szCs w:val="24"/>
        </w:rPr>
        <w:t xml:space="preserve"> </w:t>
      </w:r>
      <w:r w:rsidR="00012AC6" w:rsidRPr="00012AC6">
        <w:rPr>
          <w:sz w:val="24"/>
          <w:szCs w:val="24"/>
        </w:rPr>
        <w:t>parking spaces in the Unionport neighborhood of Bronx Community District 9</w:t>
      </w:r>
      <w:r w:rsidR="00093EF3">
        <w:rPr>
          <w:sz w:val="24"/>
          <w:szCs w:val="24"/>
        </w:rPr>
        <w:t>.</w:t>
      </w:r>
    </w:p>
    <w:p w:rsidR="00012AC6" w:rsidRPr="00012AC6" w:rsidRDefault="00012AC6" w:rsidP="00012AC6">
      <w:pPr>
        <w:tabs>
          <w:tab w:val="left" w:pos="720"/>
        </w:tabs>
        <w:jc w:val="both"/>
        <w:rPr>
          <w:sz w:val="24"/>
          <w:szCs w:val="24"/>
        </w:rPr>
      </w:pPr>
    </w:p>
    <w:p w:rsidR="00562122" w:rsidRPr="00012AC6" w:rsidRDefault="00562122" w:rsidP="001603F5">
      <w:pPr>
        <w:jc w:val="both"/>
        <w:rPr>
          <w:sz w:val="24"/>
          <w:szCs w:val="24"/>
        </w:rPr>
      </w:pPr>
    </w:p>
    <w:p w:rsidR="0054560A" w:rsidRDefault="0054560A" w:rsidP="001603F5">
      <w:pPr>
        <w:jc w:val="both"/>
        <w:rPr>
          <w:sz w:val="24"/>
          <w:szCs w:val="24"/>
        </w:rPr>
      </w:pPr>
    </w:p>
    <w:p w:rsidR="00093EF3" w:rsidRPr="00012AC6" w:rsidRDefault="00093EF3" w:rsidP="001603F5">
      <w:pPr>
        <w:jc w:val="both"/>
        <w:rPr>
          <w:sz w:val="24"/>
          <w:szCs w:val="24"/>
        </w:rPr>
      </w:pPr>
    </w:p>
    <w:p w:rsidR="0054560A" w:rsidRPr="00012AC6" w:rsidRDefault="0054560A" w:rsidP="001603F5">
      <w:pPr>
        <w:jc w:val="both"/>
        <w:rPr>
          <w:sz w:val="24"/>
          <w:szCs w:val="24"/>
        </w:rPr>
      </w:pPr>
    </w:p>
    <w:p w:rsidR="006B4A62" w:rsidRPr="00012AC6" w:rsidRDefault="006B4A62">
      <w:pPr>
        <w:pStyle w:val="Heading2"/>
        <w:jc w:val="both"/>
        <w:rPr>
          <w:szCs w:val="24"/>
        </w:rPr>
      </w:pPr>
      <w:r w:rsidRPr="00012AC6">
        <w:rPr>
          <w:szCs w:val="24"/>
        </w:rPr>
        <w:t>PUBLIC HEARING</w:t>
      </w:r>
    </w:p>
    <w:p w:rsidR="006B4A62" w:rsidRPr="00012AC6" w:rsidRDefault="006B4A62">
      <w:pPr>
        <w:jc w:val="both"/>
        <w:rPr>
          <w:b/>
          <w:sz w:val="24"/>
          <w:szCs w:val="24"/>
        </w:rPr>
      </w:pPr>
    </w:p>
    <w:p w:rsidR="006B4A62" w:rsidRPr="00012AC6" w:rsidRDefault="006B4A62">
      <w:pPr>
        <w:jc w:val="both"/>
        <w:rPr>
          <w:sz w:val="24"/>
          <w:szCs w:val="24"/>
        </w:rPr>
      </w:pPr>
      <w:r w:rsidRPr="00012AC6">
        <w:rPr>
          <w:b/>
          <w:sz w:val="24"/>
          <w:szCs w:val="24"/>
        </w:rPr>
        <w:tab/>
        <w:t>DATE:</w:t>
      </w:r>
      <w:r w:rsidRPr="00012AC6">
        <w:rPr>
          <w:sz w:val="24"/>
          <w:szCs w:val="24"/>
        </w:rPr>
        <w:t xml:space="preserve">  </w:t>
      </w:r>
      <w:r w:rsidR="00012AC6" w:rsidRPr="00012AC6">
        <w:rPr>
          <w:sz w:val="24"/>
          <w:szCs w:val="24"/>
        </w:rPr>
        <w:t>April 2</w:t>
      </w:r>
      <w:r w:rsidR="00E874A9" w:rsidRPr="00012AC6">
        <w:rPr>
          <w:sz w:val="24"/>
          <w:szCs w:val="24"/>
        </w:rPr>
        <w:t xml:space="preserve">, </w:t>
      </w:r>
      <w:r w:rsidR="00C43A23" w:rsidRPr="00012AC6">
        <w:rPr>
          <w:sz w:val="24"/>
          <w:szCs w:val="24"/>
        </w:rPr>
        <w:t>201</w:t>
      </w:r>
      <w:r w:rsidR="00CD1CD3" w:rsidRPr="00012AC6">
        <w:rPr>
          <w:sz w:val="24"/>
          <w:szCs w:val="24"/>
        </w:rPr>
        <w:t>9</w:t>
      </w:r>
    </w:p>
    <w:p w:rsidR="006B4A62" w:rsidRPr="00012AC6" w:rsidRDefault="006B4A62">
      <w:pPr>
        <w:jc w:val="both"/>
        <w:rPr>
          <w:sz w:val="24"/>
          <w:szCs w:val="24"/>
        </w:rPr>
      </w:pPr>
      <w:r w:rsidRPr="00012AC6">
        <w:rPr>
          <w:sz w:val="24"/>
          <w:szCs w:val="24"/>
        </w:rPr>
        <w:t xml:space="preserve"> </w:t>
      </w:r>
    </w:p>
    <w:p w:rsidR="00EA1C33" w:rsidRPr="00012AC6" w:rsidRDefault="006B4A62" w:rsidP="00C66096">
      <w:pPr>
        <w:jc w:val="both"/>
        <w:rPr>
          <w:sz w:val="24"/>
          <w:szCs w:val="24"/>
        </w:rPr>
      </w:pPr>
      <w:r w:rsidRPr="00012AC6">
        <w:rPr>
          <w:sz w:val="24"/>
          <w:szCs w:val="24"/>
        </w:rPr>
        <w:tab/>
      </w:r>
      <w:r w:rsidR="001603F5" w:rsidRPr="00012AC6">
        <w:rPr>
          <w:b/>
          <w:sz w:val="24"/>
          <w:szCs w:val="24"/>
        </w:rPr>
        <w:t>Witnesses in Favor:</w:t>
      </w:r>
      <w:r w:rsidR="001603F5" w:rsidRPr="00012AC6">
        <w:rPr>
          <w:sz w:val="24"/>
          <w:szCs w:val="24"/>
        </w:rPr>
        <w:t xml:space="preserve">  </w:t>
      </w:r>
      <w:r w:rsidR="00093EF3">
        <w:rPr>
          <w:sz w:val="24"/>
          <w:szCs w:val="24"/>
        </w:rPr>
        <w:t>Four</w:t>
      </w:r>
      <w:r w:rsidR="00093EF3">
        <w:rPr>
          <w:sz w:val="24"/>
          <w:szCs w:val="24"/>
        </w:rPr>
        <w:tab/>
      </w:r>
      <w:r w:rsidR="001603F5" w:rsidRPr="00012AC6">
        <w:rPr>
          <w:sz w:val="24"/>
          <w:szCs w:val="24"/>
        </w:rPr>
        <w:tab/>
        <w:t xml:space="preserve"> </w:t>
      </w:r>
      <w:r w:rsidR="001603F5" w:rsidRPr="00012AC6">
        <w:rPr>
          <w:sz w:val="24"/>
          <w:szCs w:val="24"/>
        </w:rPr>
        <w:tab/>
      </w:r>
      <w:r w:rsidR="001603F5" w:rsidRPr="00012AC6">
        <w:rPr>
          <w:sz w:val="24"/>
          <w:szCs w:val="24"/>
        </w:rPr>
        <w:tab/>
      </w:r>
      <w:r w:rsidR="001603F5" w:rsidRPr="00012AC6">
        <w:rPr>
          <w:b/>
          <w:sz w:val="24"/>
          <w:szCs w:val="24"/>
        </w:rPr>
        <w:t>Witnesses Against:</w:t>
      </w:r>
      <w:r w:rsidR="001603F5" w:rsidRPr="00012AC6">
        <w:rPr>
          <w:sz w:val="24"/>
          <w:szCs w:val="24"/>
        </w:rPr>
        <w:t xml:space="preserve">  </w:t>
      </w:r>
      <w:r w:rsidR="00093EF3">
        <w:rPr>
          <w:sz w:val="24"/>
          <w:szCs w:val="24"/>
        </w:rPr>
        <w:t>None</w:t>
      </w:r>
    </w:p>
    <w:p w:rsidR="009019B7" w:rsidRPr="00012AC6" w:rsidRDefault="009019B7" w:rsidP="00C66096">
      <w:pPr>
        <w:jc w:val="both"/>
        <w:rPr>
          <w:sz w:val="24"/>
          <w:szCs w:val="24"/>
        </w:rPr>
      </w:pPr>
    </w:p>
    <w:p w:rsidR="0054560A" w:rsidRPr="00012AC6" w:rsidRDefault="0054560A" w:rsidP="00C66096">
      <w:pPr>
        <w:jc w:val="both"/>
        <w:rPr>
          <w:sz w:val="24"/>
          <w:szCs w:val="24"/>
        </w:rPr>
      </w:pPr>
    </w:p>
    <w:p w:rsidR="00CF68F7" w:rsidRPr="00012AC6" w:rsidRDefault="00CF68F7" w:rsidP="0054560A">
      <w:pPr>
        <w:jc w:val="both"/>
        <w:rPr>
          <w:sz w:val="24"/>
          <w:szCs w:val="24"/>
        </w:rPr>
      </w:pPr>
    </w:p>
    <w:p w:rsidR="00012AC6" w:rsidRPr="00012AC6" w:rsidRDefault="00012AC6" w:rsidP="0054560A">
      <w:pPr>
        <w:jc w:val="both"/>
        <w:rPr>
          <w:sz w:val="24"/>
          <w:szCs w:val="24"/>
        </w:rPr>
      </w:pPr>
    </w:p>
    <w:p w:rsidR="0085450A" w:rsidRPr="00012AC6" w:rsidRDefault="0085450A" w:rsidP="0085450A">
      <w:pPr>
        <w:pStyle w:val="Heading2"/>
        <w:jc w:val="both"/>
        <w:rPr>
          <w:szCs w:val="24"/>
        </w:rPr>
      </w:pPr>
      <w:r w:rsidRPr="00012AC6">
        <w:rPr>
          <w:szCs w:val="24"/>
        </w:rPr>
        <w:t xml:space="preserve">SUBCOMMITTEE RECOMMENDATION </w:t>
      </w:r>
    </w:p>
    <w:p w:rsidR="0085450A" w:rsidRPr="00012AC6" w:rsidRDefault="0085450A" w:rsidP="0085450A">
      <w:pPr>
        <w:jc w:val="both"/>
        <w:rPr>
          <w:b/>
          <w:sz w:val="24"/>
          <w:szCs w:val="24"/>
        </w:rPr>
      </w:pPr>
    </w:p>
    <w:p w:rsidR="0085450A" w:rsidRPr="00012AC6" w:rsidRDefault="0085450A" w:rsidP="0085450A">
      <w:pPr>
        <w:jc w:val="both"/>
        <w:rPr>
          <w:sz w:val="24"/>
          <w:szCs w:val="24"/>
        </w:rPr>
      </w:pPr>
      <w:r w:rsidRPr="00012AC6">
        <w:rPr>
          <w:b/>
          <w:sz w:val="24"/>
          <w:szCs w:val="24"/>
        </w:rPr>
        <w:tab/>
        <w:t>DATE:</w:t>
      </w:r>
      <w:r w:rsidRPr="00012AC6">
        <w:rPr>
          <w:sz w:val="24"/>
          <w:szCs w:val="24"/>
        </w:rPr>
        <w:t xml:space="preserve">  </w:t>
      </w:r>
      <w:r w:rsidR="00093EF3">
        <w:rPr>
          <w:sz w:val="24"/>
          <w:szCs w:val="24"/>
        </w:rPr>
        <w:t>April 16</w:t>
      </w:r>
      <w:r w:rsidRPr="00012AC6">
        <w:rPr>
          <w:sz w:val="24"/>
          <w:szCs w:val="24"/>
        </w:rPr>
        <w:t>, 201</w:t>
      </w:r>
      <w:r w:rsidR="00CD1CD3" w:rsidRPr="00012AC6">
        <w:rPr>
          <w:sz w:val="24"/>
          <w:szCs w:val="24"/>
        </w:rPr>
        <w:t>9</w:t>
      </w:r>
    </w:p>
    <w:p w:rsidR="0085450A" w:rsidRPr="00012AC6" w:rsidRDefault="0085450A" w:rsidP="0085450A">
      <w:pPr>
        <w:jc w:val="both"/>
        <w:rPr>
          <w:sz w:val="24"/>
          <w:szCs w:val="24"/>
        </w:rPr>
      </w:pPr>
      <w:r w:rsidRPr="00012AC6">
        <w:rPr>
          <w:sz w:val="24"/>
          <w:szCs w:val="24"/>
        </w:rPr>
        <w:t xml:space="preserve"> </w:t>
      </w:r>
    </w:p>
    <w:p w:rsidR="0085450A" w:rsidRPr="00012AC6" w:rsidRDefault="0085450A" w:rsidP="0085450A">
      <w:pPr>
        <w:pStyle w:val="BodyText"/>
        <w:ind w:right="-180"/>
        <w:rPr>
          <w:szCs w:val="24"/>
        </w:rPr>
      </w:pPr>
      <w:r w:rsidRPr="00012AC6">
        <w:rPr>
          <w:szCs w:val="24"/>
        </w:rPr>
        <w:tab/>
        <w:t>The Subcommittee recommends that the Land Use Committee approve the decision</w:t>
      </w:r>
      <w:r w:rsidR="00574849" w:rsidRPr="00012AC6">
        <w:rPr>
          <w:szCs w:val="24"/>
        </w:rPr>
        <w:t>s</w:t>
      </w:r>
      <w:r w:rsidRPr="00012AC6">
        <w:rPr>
          <w:szCs w:val="24"/>
        </w:rPr>
        <w:t xml:space="preserve"> </w:t>
      </w:r>
      <w:r w:rsidR="007D048A" w:rsidRPr="00012AC6">
        <w:rPr>
          <w:szCs w:val="24"/>
        </w:rPr>
        <w:t>of the City Plannin</w:t>
      </w:r>
      <w:r w:rsidR="00C10264" w:rsidRPr="00012AC6">
        <w:rPr>
          <w:szCs w:val="24"/>
        </w:rPr>
        <w:t xml:space="preserve">g Commission </w:t>
      </w:r>
      <w:r w:rsidR="00574849" w:rsidRPr="00012AC6">
        <w:rPr>
          <w:szCs w:val="24"/>
        </w:rPr>
        <w:t xml:space="preserve">(“CPC”) on L.U. Nos. </w:t>
      </w:r>
      <w:r w:rsidR="00093EF3">
        <w:rPr>
          <w:szCs w:val="24"/>
        </w:rPr>
        <w:t>382</w:t>
      </w:r>
      <w:r w:rsidR="00574849" w:rsidRPr="00012AC6">
        <w:rPr>
          <w:szCs w:val="24"/>
        </w:rPr>
        <w:t xml:space="preserve"> and </w:t>
      </w:r>
      <w:r w:rsidR="00093EF3">
        <w:rPr>
          <w:szCs w:val="24"/>
        </w:rPr>
        <w:t>383.</w:t>
      </w:r>
    </w:p>
    <w:p w:rsidR="0085450A" w:rsidRPr="00012AC6" w:rsidRDefault="0085450A" w:rsidP="0085450A">
      <w:pPr>
        <w:jc w:val="both"/>
        <w:rPr>
          <w:b/>
          <w:sz w:val="24"/>
          <w:szCs w:val="24"/>
          <w:u w:val="single"/>
        </w:rPr>
      </w:pPr>
    </w:p>
    <w:p w:rsidR="0085450A" w:rsidRPr="00012AC6" w:rsidRDefault="0085450A" w:rsidP="0085450A">
      <w:pPr>
        <w:tabs>
          <w:tab w:val="left" w:pos="2520"/>
        </w:tabs>
        <w:jc w:val="both"/>
        <w:rPr>
          <w:b/>
          <w:sz w:val="24"/>
          <w:szCs w:val="24"/>
        </w:rPr>
      </w:pPr>
      <w:r w:rsidRPr="00012AC6">
        <w:rPr>
          <w:b/>
          <w:sz w:val="24"/>
          <w:szCs w:val="24"/>
        </w:rPr>
        <w:t>In Favor:</w:t>
      </w:r>
      <w:r w:rsidRPr="00012AC6">
        <w:rPr>
          <w:b/>
          <w:sz w:val="24"/>
          <w:szCs w:val="24"/>
        </w:rPr>
        <w:tab/>
        <w:t>Against:</w:t>
      </w:r>
      <w:r w:rsidRPr="00012AC6">
        <w:rPr>
          <w:b/>
          <w:sz w:val="24"/>
          <w:szCs w:val="24"/>
        </w:rPr>
        <w:tab/>
      </w:r>
      <w:r w:rsidRPr="00012AC6">
        <w:rPr>
          <w:b/>
          <w:sz w:val="24"/>
          <w:szCs w:val="24"/>
        </w:rPr>
        <w:tab/>
      </w:r>
      <w:r w:rsidRPr="00012AC6">
        <w:rPr>
          <w:b/>
          <w:sz w:val="24"/>
          <w:szCs w:val="24"/>
        </w:rPr>
        <w:tab/>
        <w:t>Abstain:</w:t>
      </w:r>
      <w:r w:rsidRPr="00012AC6">
        <w:rPr>
          <w:sz w:val="24"/>
          <w:szCs w:val="24"/>
        </w:rPr>
        <w:tab/>
      </w:r>
    </w:p>
    <w:p w:rsidR="00082BE1" w:rsidRDefault="00082BE1" w:rsidP="00082BE1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082BE1" w:rsidRDefault="00082BE1" w:rsidP="00082BE1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Constantinides</w:t>
      </w:r>
    </w:p>
    <w:p w:rsidR="00082BE1" w:rsidRDefault="00082BE1" w:rsidP="00082BE1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082BE1" w:rsidRDefault="00082BE1" w:rsidP="00082BE1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082BE1" w:rsidRDefault="00082BE1" w:rsidP="00082BE1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082BE1" w:rsidRDefault="00082BE1" w:rsidP="00082BE1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082BE1" w:rsidRDefault="00082BE1" w:rsidP="00082BE1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082BE1" w:rsidRDefault="00082BE1" w:rsidP="00082BE1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54560A" w:rsidRPr="00012AC6" w:rsidRDefault="0054560A" w:rsidP="00C10264">
      <w:pPr>
        <w:rPr>
          <w:sz w:val="24"/>
          <w:szCs w:val="24"/>
        </w:rPr>
      </w:pPr>
    </w:p>
    <w:p w:rsidR="0054560A" w:rsidRPr="00012AC6" w:rsidRDefault="0054560A" w:rsidP="00C10264">
      <w:pPr>
        <w:rPr>
          <w:sz w:val="24"/>
          <w:szCs w:val="24"/>
        </w:rPr>
      </w:pPr>
    </w:p>
    <w:p w:rsidR="0054560A" w:rsidRPr="00012AC6" w:rsidRDefault="0054560A" w:rsidP="00C10264">
      <w:pPr>
        <w:rPr>
          <w:sz w:val="24"/>
          <w:szCs w:val="24"/>
        </w:rPr>
      </w:pPr>
    </w:p>
    <w:p w:rsidR="0012001A" w:rsidRPr="00012AC6" w:rsidRDefault="0012001A" w:rsidP="00C10264">
      <w:pPr>
        <w:rPr>
          <w:sz w:val="24"/>
          <w:szCs w:val="24"/>
        </w:rPr>
      </w:pPr>
    </w:p>
    <w:p w:rsidR="00F62D5F" w:rsidRPr="00012AC6" w:rsidRDefault="00F62D5F" w:rsidP="00F62D5F">
      <w:pPr>
        <w:jc w:val="both"/>
        <w:rPr>
          <w:sz w:val="24"/>
          <w:szCs w:val="24"/>
        </w:rPr>
      </w:pPr>
      <w:r w:rsidRPr="00012AC6">
        <w:rPr>
          <w:b/>
          <w:sz w:val="24"/>
          <w:szCs w:val="24"/>
          <w:u w:val="single"/>
        </w:rPr>
        <w:t>COMMITTEE ACTION</w:t>
      </w:r>
    </w:p>
    <w:p w:rsidR="00F62D5F" w:rsidRPr="00012AC6" w:rsidRDefault="00F62D5F" w:rsidP="00F62D5F">
      <w:pPr>
        <w:jc w:val="both"/>
        <w:rPr>
          <w:sz w:val="24"/>
          <w:szCs w:val="24"/>
        </w:rPr>
      </w:pPr>
    </w:p>
    <w:p w:rsidR="00F62D5F" w:rsidRPr="00012AC6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012AC6">
        <w:rPr>
          <w:sz w:val="24"/>
          <w:szCs w:val="24"/>
        </w:rPr>
        <w:t xml:space="preserve">      </w:t>
      </w:r>
      <w:r w:rsidRPr="00012AC6">
        <w:rPr>
          <w:sz w:val="24"/>
          <w:szCs w:val="24"/>
        </w:rPr>
        <w:tab/>
      </w:r>
      <w:r w:rsidRPr="00012AC6">
        <w:rPr>
          <w:b/>
          <w:sz w:val="24"/>
          <w:szCs w:val="24"/>
        </w:rPr>
        <w:t xml:space="preserve">DATE:  </w:t>
      </w:r>
      <w:r w:rsidR="00093EF3" w:rsidRPr="00093EF3">
        <w:rPr>
          <w:sz w:val="24"/>
          <w:szCs w:val="24"/>
        </w:rPr>
        <w:t>April 17</w:t>
      </w:r>
      <w:r w:rsidR="00E874A9" w:rsidRPr="00093EF3">
        <w:rPr>
          <w:sz w:val="24"/>
          <w:szCs w:val="24"/>
        </w:rPr>
        <w:t>,</w:t>
      </w:r>
      <w:r w:rsidR="00E874A9" w:rsidRPr="00012AC6">
        <w:rPr>
          <w:sz w:val="24"/>
          <w:szCs w:val="24"/>
        </w:rPr>
        <w:t xml:space="preserve"> </w:t>
      </w:r>
      <w:r w:rsidR="00B41795" w:rsidRPr="00012AC6">
        <w:rPr>
          <w:sz w:val="24"/>
          <w:szCs w:val="24"/>
        </w:rPr>
        <w:t>201</w:t>
      </w:r>
      <w:r w:rsidR="00CD1CD3" w:rsidRPr="00012AC6">
        <w:rPr>
          <w:sz w:val="24"/>
          <w:szCs w:val="24"/>
        </w:rPr>
        <w:t>9</w:t>
      </w:r>
    </w:p>
    <w:p w:rsidR="00F62D5F" w:rsidRPr="00012AC6" w:rsidRDefault="00F62D5F" w:rsidP="00F62D5F">
      <w:pPr>
        <w:jc w:val="both"/>
        <w:rPr>
          <w:sz w:val="24"/>
          <w:szCs w:val="24"/>
        </w:rPr>
      </w:pPr>
    </w:p>
    <w:p w:rsidR="00093EF3" w:rsidRDefault="00F62D5F" w:rsidP="001603F5">
      <w:pPr>
        <w:pStyle w:val="BodyText"/>
        <w:ind w:right="-180"/>
        <w:rPr>
          <w:szCs w:val="24"/>
        </w:rPr>
      </w:pPr>
      <w:r w:rsidRPr="00012AC6">
        <w:rPr>
          <w:szCs w:val="24"/>
        </w:rPr>
        <w:t xml:space="preserve">      </w:t>
      </w:r>
      <w:r w:rsidRPr="00012AC6">
        <w:rPr>
          <w:szCs w:val="24"/>
        </w:rPr>
        <w:tab/>
        <w:t xml:space="preserve">The Committee recommends that the Council </w:t>
      </w:r>
      <w:r w:rsidR="00093EF3">
        <w:rPr>
          <w:szCs w:val="24"/>
        </w:rPr>
        <w:t>approve the attached resolutions.</w:t>
      </w:r>
    </w:p>
    <w:p w:rsidR="001603F5" w:rsidRPr="00012AC6" w:rsidRDefault="00CD1CD3" w:rsidP="001603F5">
      <w:pPr>
        <w:pStyle w:val="BodyText"/>
        <w:ind w:right="-180"/>
        <w:rPr>
          <w:szCs w:val="24"/>
        </w:rPr>
      </w:pPr>
      <w:r w:rsidRPr="00012AC6">
        <w:rPr>
          <w:szCs w:val="24"/>
        </w:rPr>
        <w:t xml:space="preserve"> </w:t>
      </w:r>
    </w:p>
    <w:p w:rsidR="00462350" w:rsidRDefault="001603F5" w:rsidP="00093EF3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012AC6">
        <w:rPr>
          <w:b/>
          <w:sz w:val="24"/>
          <w:szCs w:val="24"/>
        </w:rPr>
        <w:t xml:space="preserve">In Favor:     </w:t>
      </w:r>
      <w:r w:rsidRPr="00012AC6">
        <w:rPr>
          <w:b/>
          <w:sz w:val="24"/>
          <w:szCs w:val="24"/>
        </w:rPr>
        <w:tab/>
        <w:t xml:space="preserve">Against:       </w:t>
      </w:r>
      <w:r w:rsidRPr="00012AC6">
        <w:rPr>
          <w:b/>
          <w:sz w:val="24"/>
          <w:szCs w:val="24"/>
        </w:rPr>
        <w:tab/>
      </w:r>
      <w:r w:rsidRPr="00012AC6">
        <w:rPr>
          <w:b/>
          <w:sz w:val="24"/>
          <w:szCs w:val="24"/>
        </w:rPr>
        <w:tab/>
        <w:t>Abstain:</w:t>
      </w:r>
    </w:p>
    <w:p w:rsidR="00462350" w:rsidRDefault="00462350" w:rsidP="00462350">
      <w:pPr>
        <w:tabs>
          <w:tab w:val="left" w:pos="252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Constantinides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King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Diaz, Sr.</w:t>
      </w:r>
    </w:p>
    <w:p w:rsidR="00462350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462350" w:rsidRPr="00035DEE" w:rsidRDefault="00462350" w:rsidP="00462350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85450A" w:rsidRPr="00093EF3" w:rsidRDefault="001603F5" w:rsidP="00093EF3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012AC6">
        <w:rPr>
          <w:sz w:val="24"/>
          <w:szCs w:val="24"/>
        </w:rPr>
        <w:tab/>
      </w:r>
      <w:r w:rsidRPr="00012AC6">
        <w:rPr>
          <w:sz w:val="24"/>
          <w:szCs w:val="24"/>
        </w:rPr>
        <w:tab/>
      </w:r>
    </w:p>
    <w:sectPr w:rsidR="0085450A" w:rsidRPr="00093EF3" w:rsidSect="009526D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2B" w:rsidRDefault="00C1372B">
      <w:r>
        <w:separator/>
      </w:r>
    </w:p>
  </w:endnote>
  <w:endnote w:type="continuationSeparator" w:id="0">
    <w:p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2B" w:rsidRDefault="00C1372B">
      <w:r>
        <w:separator/>
      </w:r>
    </w:p>
  </w:footnote>
  <w:footnote w:type="continuationSeparator" w:id="0">
    <w:p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B" w:rsidRDefault="0096249B">
    <w:pPr>
      <w:pStyle w:val="Header"/>
      <w:rPr>
        <w:b/>
        <w:bCs/>
        <w:sz w:val="24"/>
      </w:rPr>
    </w:pPr>
  </w:p>
  <w:p w:rsidR="0096249B" w:rsidRDefault="0096249B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362709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362709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822B56" w:rsidRDefault="00012AC6" w:rsidP="00822B56">
    <w:pPr>
      <w:rPr>
        <w:b/>
        <w:sz w:val="24"/>
        <w:szCs w:val="24"/>
      </w:rPr>
    </w:pPr>
    <w:r>
      <w:rPr>
        <w:b/>
        <w:sz w:val="24"/>
        <w:szCs w:val="24"/>
      </w:rPr>
      <w:t>C 190102 ZMX</w:t>
    </w:r>
    <w:r w:rsidR="00093EF3">
      <w:rPr>
        <w:b/>
        <w:sz w:val="24"/>
        <w:szCs w:val="24"/>
      </w:rPr>
      <w:t xml:space="preserve"> and </w:t>
    </w:r>
    <w:r>
      <w:rPr>
        <w:b/>
        <w:sz w:val="24"/>
        <w:szCs w:val="24"/>
      </w:rPr>
      <w:t>N 190103 ZRX</w:t>
    </w:r>
  </w:p>
  <w:p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012AC6">
      <w:rPr>
        <w:b/>
        <w:sz w:val="24"/>
        <w:szCs w:val="24"/>
      </w:rPr>
      <w:t>382</w:t>
    </w:r>
    <w:r w:rsidR="00AE1484">
      <w:rPr>
        <w:b/>
        <w:sz w:val="24"/>
        <w:szCs w:val="24"/>
      </w:rPr>
      <w:t xml:space="preserve"> and </w:t>
    </w:r>
    <w:r w:rsidR="00012AC6">
      <w:rPr>
        <w:b/>
        <w:sz w:val="24"/>
        <w:szCs w:val="24"/>
      </w:rPr>
      <w:t>38</w:t>
    </w:r>
    <w:r w:rsidR="00AE1484">
      <w:rPr>
        <w:b/>
        <w:sz w:val="24"/>
        <w:szCs w:val="24"/>
      </w:rPr>
      <w:t>3</w:t>
    </w:r>
    <w:r w:rsidR="00F90E41">
      <w:rPr>
        <w:b/>
        <w:sz w:val="24"/>
        <w:szCs w:val="24"/>
      </w:rPr>
      <w:t xml:space="preserve"> (Res. Nos. </w:t>
    </w:r>
    <w:r w:rsidR="00ED69A5">
      <w:rPr>
        <w:b/>
        <w:sz w:val="24"/>
        <w:szCs w:val="24"/>
      </w:rPr>
      <w:t>856 and 857</w:t>
    </w:r>
    <w:r w:rsidR="00F90E41">
      <w:rPr>
        <w:b/>
        <w:sz w:val="24"/>
        <w:szCs w:val="24"/>
      </w:rPr>
      <w:t>)</w:t>
    </w:r>
  </w:p>
  <w:p w:rsidR="00574106" w:rsidRDefault="00574106">
    <w:pPr>
      <w:rPr>
        <w:b/>
        <w:sz w:val="24"/>
        <w:szCs w:val="24"/>
      </w:rPr>
    </w:pPr>
  </w:p>
  <w:p w:rsidR="0096249B" w:rsidRDefault="0096249B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60CDC"/>
    <w:multiLevelType w:val="hybridMultilevel"/>
    <w:tmpl w:val="EEB0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0E34"/>
    <w:multiLevelType w:val="hybridMultilevel"/>
    <w:tmpl w:val="190C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2AC6"/>
    <w:rsid w:val="00016251"/>
    <w:rsid w:val="00031734"/>
    <w:rsid w:val="0005525D"/>
    <w:rsid w:val="00056EE3"/>
    <w:rsid w:val="00066523"/>
    <w:rsid w:val="00075B80"/>
    <w:rsid w:val="00082BE1"/>
    <w:rsid w:val="00092583"/>
    <w:rsid w:val="00093EF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107C84"/>
    <w:rsid w:val="00111C68"/>
    <w:rsid w:val="001176F7"/>
    <w:rsid w:val="0012001A"/>
    <w:rsid w:val="00121CA7"/>
    <w:rsid w:val="0012287C"/>
    <w:rsid w:val="00147164"/>
    <w:rsid w:val="001603F5"/>
    <w:rsid w:val="00163A10"/>
    <w:rsid w:val="001666F0"/>
    <w:rsid w:val="0017417F"/>
    <w:rsid w:val="0017736D"/>
    <w:rsid w:val="00181848"/>
    <w:rsid w:val="00185A8E"/>
    <w:rsid w:val="0018753D"/>
    <w:rsid w:val="00190878"/>
    <w:rsid w:val="001A129E"/>
    <w:rsid w:val="001A727A"/>
    <w:rsid w:val="001A7819"/>
    <w:rsid w:val="001B4A96"/>
    <w:rsid w:val="001B604A"/>
    <w:rsid w:val="001C1F71"/>
    <w:rsid w:val="001D2E81"/>
    <w:rsid w:val="001E4553"/>
    <w:rsid w:val="001E49A3"/>
    <w:rsid w:val="001E5EE8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7F6C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3BA4"/>
    <w:rsid w:val="003458BF"/>
    <w:rsid w:val="00362003"/>
    <w:rsid w:val="00362709"/>
    <w:rsid w:val="00362E64"/>
    <w:rsid w:val="003672FC"/>
    <w:rsid w:val="00367CD7"/>
    <w:rsid w:val="0037232E"/>
    <w:rsid w:val="00382769"/>
    <w:rsid w:val="003B171F"/>
    <w:rsid w:val="003B4966"/>
    <w:rsid w:val="003C4F48"/>
    <w:rsid w:val="003D00D6"/>
    <w:rsid w:val="003D3B3F"/>
    <w:rsid w:val="003E33D0"/>
    <w:rsid w:val="00401657"/>
    <w:rsid w:val="004062C1"/>
    <w:rsid w:val="00446196"/>
    <w:rsid w:val="0044724C"/>
    <w:rsid w:val="00462350"/>
    <w:rsid w:val="0046504D"/>
    <w:rsid w:val="00485687"/>
    <w:rsid w:val="004A11E9"/>
    <w:rsid w:val="004A67AA"/>
    <w:rsid w:val="004D4F79"/>
    <w:rsid w:val="004D75E1"/>
    <w:rsid w:val="004E4066"/>
    <w:rsid w:val="004E45EA"/>
    <w:rsid w:val="004F0D6D"/>
    <w:rsid w:val="004F7BB9"/>
    <w:rsid w:val="00502382"/>
    <w:rsid w:val="00502A0B"/>
    <w:rsid w:val="0051200E"/>
    <w:rsid w:val="005308DC"/>
    <w:rsid w:val="00531B15"/>
    <w:rsid w:val="005331EE"/>
    <w:rsid w:val="005341AD"/>
    <w:rsid w:val="00534EEA"/>
    <w:rsid w:val="005372BA"/>
    <w:rsid w:val="005374B6"/>
    <w:rsid w:val="0054560A"/>
    <w:rsid w:val="00553067"/>
    <w:rsid w:val="005578FA"/>
    <w:rsid w:val="00557CCE"/>
    <w:rsid w:val="00562122"/>
    <w:rsid w:val="005666B0"/>
    <w:rsid w:val="0056731C"/>
    <w:rsid w:val="00567AE7"/>
    <w:rsid w:val="00572325"/>
    <w:rsid w:val="00574106"/>
    <w:rsid w:val="00574849"/>
    <w:rsid w:val="00586013"/>
    <w:rsid w:val="00593943"/>
    <w:rsid w:val="005A159C"/>
    <w:rsid w:val="005A299B"/>
    <w:rsid w:val="005C3812"/>
    <w:rsid w:val="005E16D9"/>
    <w:rsid w:val="005E5B80"/>
    <w:rsid w:val="005E76ED"/>
    <w:rsid w:val="0060042F"/>
    <w:rsid w:val="006225A8"/>
    <w:rsid w:val="006228B2"/>
    <w:rsid w:val="00625B86"/>
    <w:rsid w:val="00632DBC"/>
    <w:rsid w:val="006357EF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C55DB"/>
    <w:rsid w:val="006D6E02"/>
    <w:rsid w:val="006E18F9"/>
    <w:rsid w:val="006E640C"/>
    <w:rsid w:val="006E6D25"/>
    <w:rsid w:val="007105B3"/>
    <w:rsid w:val="0071456F"/>
    <w:rsid w:val="00720732"/>
    <w:rsid w:val="00720E53"/>
    <w:rsid w:val="007304AA"/>
    <w:rsid w:val="00730FC3"/>
    <w:rsid w:val="007311A2"/>
    <w:rsid w:val="00736830"/>
    <w:rsid w:val="00745C38"/>
    <w:rsid w:val="0075798E"/>
    <w:rsid w:val="007752AA"/>
    <w:rsid w:val="00777589"/>
    <w:rsid w:val="007803BF"/>
    <w:rsid w:val="00785C91"/>
    <w:rsid w:val="0078686B"/>
    <w:rsid w:val="007B3BC5"/>
    <w:rsid w:val="007B6758"/>
    <w:rsid w:val="007C3023"/>
    <w:rsid w:val="007C4ED6"/>
    <w:rsid w:val="007C6ADB"/>
    <w:rsid w:val="007D048A"/>
    <w:rsid w:val="007E0FC3"/>
    <w:rsid w:val="007E1D61"/>
    <w:rsid w:val="007E497D"/>
    <w:rsid w:val="007F3BE0"/>
    <w:rsid w:val="008017D6"/>
    <w:rsid w:val="00802D5F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1C74"/>
    <w:rsid w:val="00874275"/>
    <w:rsid w:val="00876065"/>
    <w:rsid w:val="008804F5"/>
    <w:rsid w:val="008829E3"/>
    <w:rsid w:val="0089302B"/>
    <w:rsid w:val="008A07CC"/>
    <w:rsid w:val="008B05E5"/>
    <w:rsid w:val="008B1ADE"/>
    <w:rsid w:val="008C57EF"/>
    <w:rsid w:val="008D2BD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474A2"/>
    <w:rsid w:val="009526D3"/>
    <w:rsid w:val="0096249B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4F94"/>
    <w:rsid w:val="009A5CBC"/>
    <w:rsid w:val="009B2BD9"/>
    <w:rsid w:val="009C1EAF"/>
    <w:rsid w:val="009F6D7B"/>
    <w:rsid w:val="00A24D52"/>
    <w:rsid w:val="00A34A23"/>
    <w:rsid w:val="00A35B26"/>
    <w:rsid w:val="00A46D4D"/>
    <w:rsid w:val="00A70BA6"/>
    <w:rsid w:val="00A72E4E"/>
    <w:rsid w:val="00A7408D"/>
    <w:rsid w:val="00A819F7"/>
    <w:rsid w:val="00A83A1C"/>
    <w:rsid w:val="00A91F53"/>
    <w:rsid w:val="00AA5076"/>
    <w:rsid w:val="00AA5556"/>
    <w:rsid w:val="00AB5ADB"/>
    <w:rsid w:val="00AC2BAD"/>
    <w:rsid w:val="00AC55AD"/>
    <w:rsid w:val="00AC70A6"/>
    <w:rsid w:val="00AD287E"/>
    <w:rsid w:val="00AD72EB"/>
    <w:rsid w:val="00AE1484"/>
    <w:rsid w:val="00AF046A"/>
    <w:rsid w:val="00AF4CBE"/>
    <w:rsid w:val="00B06400"/>
    <w:rsid w:val="00B206AC"/>
    <w:rsid w:val="00B31CEC"/>
    <w:rsid w:val="00B41795"/>
    <w:rsid w:val="00B84FB7"/>
    <w:rsid w:val="00B87B6B"/>
    <w:rsid w:val="00BB47E6"/>
    <w:rsid w:val="00BC018B"/>
    <w:rsid w:val="00BD55EA"/>
    <w:rsid w:val="00BE2460"/>
    <w:rsid w:val="00BE38F6"/>
    <w:rsid w:val="00BE490C"/>
    <w:rsid w:val="00BF47D1"/>
    <w:rsid w:val="00BF54B4"/>
    <w:rsid w:val="00BF6DEB"/>
    <w:rsid w:val="00C06CEE"/>
    <w:rsid w:val="00C10264"/>
    <w:rsid w:val="00C12C9E"/>
    <w:rsid w:val="00C1372B"/>
    <w:rsid w:val="00C14D9B"/>
    <w:rsid w:val="00C15C8D"/>
    <w:rsid w:val="00C169E0"/>
    <w:rsid w:val="00C2034B"/>
    <w:rsid w:val="00C259E6"/>
    <w:rsid w:val="00C26AF8"/>
    <w:rsid w:val="00C35C4D"/>
    <w:rsid w:val="00C37704"/>
    <w:rsid w:val="00C43A23"/>
    <w:rsid w:val="00C45B5E"/>
    <w:rsid w:val="00C469DA"/>
    <w:rsid w:val="00C512C5"/>
    <w:rsid w:val="00C517BC"/>
    <w:rsid w:val="00C66096"/>
    <w:rsid w:val="00C82611"/>
    <w:rsid w:val="00CA77CA"/>
    <w:rsid w:val="00CC4F29"/>
    <w:rsid w:val="00CD0CF2"/>
    <w:rsid w:val="00CD1900"/>
    <w:rsid w:val="00CD1CD3"/>
    <w:rsid w:val="00CF4952"/>
    <w:rsid w:val="00CF56E6"/>
    <w:rsid w:val="00CF5D21"/>
    <w:rsid w:val="00CF68F7"/>
    <w:rsid w:val="00CF6AAC"/>
    <w:rsid w:val="00CF7581"/>
    <w:rsid w:val="00D113D0"/>
    <w:rsid w:val="00D1502E"/>
    <w:rsid w:val="00D277DF"/>
    <w:rsid w:val="00D45CF7"/>
    <w:rsid w:val="00D50C6B"/>
    <w:rsid w:val="00D617EE"/>
    <w:rsid w:val="00D63EEB"/>
    <w:rsid w:val="00D67ADE"/>
    <w:rsid w:val="00D70CE2"/>
    <w:rsid w:val="00D75382"/>
    <w:rsid w:val="00D753C1"/>
    <w:rsid w:val="00D7792D"/>
    <w:rsid w:val="00D942E0"/>
    <w:rsid w:val="00D9488E"/>
    <w:rsid w:val="00DB25EB"/>
    <w:rsid w:val="00DB44FE"/>
    <w:rsid w:val="00DB55DB"/>
    <w:rsid w:val="00DC0312"/>
    <w:rsid w:val="00DC30B8"/>
    <w:rsid w:val="00DD4F65"/>
    <w:rsid w:val="00DE2433"/>
    <w:rsid w:val="00DF7B23"/>
    <w:rsid w:val="00E00BD1"/>
    <w:rsid w:val="00E201F4"/>
    <w:rsid w:val="00E22AC6"/>
    <w:rsid w:val="00E2345E"/>
    <w:rsid w:val="00E2628E"/>
    <w:rsid w:val="00E271CB"/>
    <w:rsid w:val="00E30BEB"/>
    <w:rsid w:val="00E41834"/>
    <w:rsid w:val="00E513C6"/>
    <w:rsid w:val="00E57560"/>
    <w:rsid w:val="00E642B8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D3463"/>
    <w:rsid w:val="00ED69A5"/>
    <w:rsid w:val="00EE6026"/>
    <w:rsid w:val="00F0710C"/>
    <w:rsid w:val="00F16D02"/>
    <w:rsid w:val="00F22D20"/>
    <w:rsid w:val="00F329F8"/>
    <w:rsid w:val="00F33120"/>
    <w:rsid w:val="00F37312"/>
    <w:rsid w:val="00F4174E"/>
    <w:rsid w:val="00F503C5"/>
    <w:rsid w:val="00F6048C"/>
    <w:rsid w:val="00F62D5F"/>
    <w:rsid w:val="00F6482B"/>
    <w:rsid w:val="00F64A73"/>
    <w:rsid w:val="00F90E41"/>
    <w:rsid w:val="00F9255D"/>
    <w:rsid w:val="00FB128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DD0D15-9617-4A50-85D2-510DB1F6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4E8F-79FE-4C9B-9CCB-4A1F57B4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2019-04-23T17:47:00Z</dcterms:created>
  <dcterms:modified xsi:type="dcterms:W3CDTF">2019-04-23T17:47:00Z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-1198545360</vt:i4>
  </property>
</Properties>
</file>