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 w:rsidP="00A7543F">
      <w:pPr>
        <w:jc w:val="center"/>
        <w:rPr>
          <w:b/>
          <w:sz w:val="24"/>
        </w:rPr>
      </w:pPr>
      <w:r>
        <w:rPr>
          <w:b/>
          <w:sz w:val="24"/>
        </w:rPr>
        <w:t>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823980" w:rsidRPr="00AC55AD" w:rsidRDefault="00823980" w:rsidP="0082398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823980">
        <w:rPr>
          <w:b/>
          <w:sz w:val="24"/>
        </w:rPr>
        <w:t>384</w:t>
      </w:r>
      <w:r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714A29">
        <w:rPr>
          <w:b/>
          <w:sz w:val="24"/>
        </w:rPr>
        <w:t>858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823980">
        <w:rPr>
          <w:b/>
          <w:sz w:val="24"/>
        </w:rPr>
        <w:t>Moya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823980" w:rsidRPr="009526D3" w:rsidRDefault="009A4BB8" w:rsidP="009A4BB8">
      <w:pPr>
        <w:tabs>
          <w:tab w:val="left" w:pos="720"/>
          <w:tab w:val="left" w:pos="76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BRONX CB - 9</w:t>
      </w:r>
      <w:r>
        <w:rPr>
          <w:b/>
          <w:sz w:val="24"/>
          <w:szCs w:val="24"/>
        </w:rPr>
        <w:tab/>
      </w:r>
      <w:r w:rsidR="00823980" w:rsidRPr="009526D3">
        <w:rPr>
          <w:b/>
          <w:sz w:val="24"/>
          <w:szCs w:val="24"/>
        </w:rPr>
        <w:t>20195471 HAX</w:t>
      </w:r>
    </w:p>
    <w:p w:rsidR="00823980" w:rsidRPr="009526D3" w:rsidRDefault="00823980" w:rsidP="00823980">
      <w:pPr>
        <w:tabs>
          <w:tab w:val="left" w:pos="720"/>
          <w:tab w:val="left" w:pos="7020"/>
        </w:tabs>
        <w:jc w:val="both"/>
        <w:rPr>
          <w:sz w:val="24"/>
          <w:szCs w:val="24"/>
        </w:rPr>
      </w:pPr>
    </w:p>
    <w:p w:rsidR="00823980" w:rsidRPr="009526D3" w:rsidRDefault="00823980" w:rsidP="00823980">
      <w:pPr>
        <w:ind w:right="180"/>
        <w:jc w:val="both"/>
        <w:rPr>
          <w:snapToGrid w:val="0"/>
          <w:sz w:val="24"/>
          <w:szCs w:val="24"/>
        </w:rPr>
      </w:pPr>
      <w:r w:rsidRPr="009526D3">
        <w:rPr>
          <w:b/>
          <w:sz w:val="24"/>
          <w:szCs w:val="24"/>
        </w:rPr>
        <w:tab/>
      </w:r>
      <w:r w:rsidRPr="009526D3">
        <w:rPr>
          <w:snapToGrid w:val="0"/>
          <w:sz w:val="24"/>
          <w:szCs w:val="24"/>
        </w:rPr>
        <w:t>Application submitted by the New York City Department of Housing Preservation and Development for approval of a real property tax exemption pursuant to Article XI of the Private Housing Finance Law for property located at Block 3797, p/o Lot 33, Borough of the Bronx, Community District 9, Council District 18.</w:t>
      </w: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A75650" w:rsidRPr="00A75650" w:rsidRDefault="00A75650" w:rsidP="00A75650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>
        <w:rPr>
          <w:sz w:val="24"/>
        </w:rPr>
        <w:tab/>
      </w:r>
      <w:r w:rsidRPr="00A75650">
        <w:rPr>
          <w:sz w:val="24"/>
        </w:rPr>
        <w:t xml:space="preserve">To approve a real property tax exemption pursuant to Section 577 of Article XI of the Private Housing Finance Law, which </w:t>
      </w:r>
      <w:r w:rsidR="000844D0">
        <w:rPr>
          <w:sz w:val="24"/>
        </w:rPr>
        <w:t>will contain</w:t>
      </w:r>
      <w:r w:rsidR="000844D0" w:rsidRPr="00A75650">
        <w:rPr>
          <w:sz w:val="24"/>
        </w:rPr>
        <w:t xml:space="preserve"> </w:t>
      </w:r>
      <w:r w:rsidRPr="00A75650">
        <w:rPr>
          <w:sz w:val="24"/>
        </w:rPr>
        <w:t xml:space="preserve">one multiple dwelling </w:t>
      </w:r>
      <w:r w:rsidR="00823980">
        <w:rPr>
          <w:sz w:val="24"/>
        </w:rPr>
        <w:t xml:space="preserve">known as Bruckner Apartments </w:t>
      </w:r>
      <w:r>
        <w:rPr>
          <w:sz w:val="24"/>
        </w:rPr>
        <w:t xml:space="preserve">that </w:t>
      </w:r>
      <w:r w:rsidRPr="00A75650">
        <w:rPr>
          <w:sz w:val="24"/>
        </w:rPr>
        <w:t xml:space="preserve">will provide </w:t>
      </w:r>
      <w:r w:rsidR="00823980">
        <w:rPr>
          <w:sz w:val="24"/>
        </w:rPr>
        <w:t xml:space="preserve">rental </w:t>
      </w:r>
      <w:r w:rsidRPr="00A75650">
        <w:rPr>
          <w:sz w:val="24"/>
        </w:rPr>
        <w:t>housing for low</w:t>
      </w:r>
      <w:r>
        <w:rPr>
          <w:sz w:val="24"/>
        </w:rPr>
        <w:t>-</w:t>
      </w:r>
      <w:r w:rsidRPr="00A75650">
        <w:rPr>
          <w:sz w:val="24"/>
        </w:rPr>
        <w:t xml:space="preserve">income families. </w:t>
      </w:r>
    </w:p>
    <w:p w:rsidR="00E112C3" w:rsidRDefault="00E112C3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9A4BB8">
        <w:rPr>
          <w:sz w:val="24"/>
        </w:rPr>
        <w:t>April 2</w:t>
      </w:r>
      <w:r w:rsidR="00D00A7A">
        <w:rPr>
          <w:sz w:val="24"/>
        </w:rPr>
        <w:t>, 2019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9A4BB8">
        <w:rPr>
          <w:sz w:val="24"/>
        </w:rPr>
        <w:t>Four</w:t>
      </w:r>
      <w:r w:rsidR="00A75650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9A4BB8">
        <w:rPr>
          <w:sz w:val="24"/>
        </w:rPr>
        <w:t>None</w:t>
      </w:r>
    </w:p>
    <w:p w:rsidR="007C7914" w:rsidRDefault="007C7914" w:rsidP="007C7914"/>
    <w:p w:rsidR="00A75650" w:rsidRDefault="00A75650" w:rsidP="007C7914"/>
    <w:p w:rsidR="00A75650" w:rsidRDefault="00A75650" w:rsidP="007C7914"/>
    <w:p w:rsidR="00A170DA" w:rsidRDefault="00A170DA" w:rsidP="007C7914"/>
    <w:p w:rsidR="00A75650" w:rsidRDefault="00A75650" w:rsidP="007C7914"/>
    <w:p w:rsidR="00E4613D" w:rsidRDefault="00E4613D">
      <w:pPr>
        <w:pStyle w:val="Heading2"/>
        <w:jc w:val="both"/>
      </w:pPr>
      <w:r>
        <w:lastRenderedPageBreak/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9A4BB8">
        <w:rPr>
          <w:sz w:val="24"/>
        </w:rPr>
        <w:t>April 16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8F6F07" w:rsidRDefault="008F6F07" w:rsidP="008F6F07">
      <w:pPr>
        <w:tabs>
          <w:tab w:val="left" w:pos="288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:rsidR="008F6F07" w:rsidRDefault="008F6F07" w:rsidP="008F6F0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8F6F07" w:rsidRDefault="008F6F07" w:rsidP="008F6F0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8F6F07" w:rsidRDefault="008F6F07" w:rsidP="008F6F0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8F6F07" w:rsidRDefault="008F6F07" w:rsidP="008F6F0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8F6F07" w:rsidRDefault="008F6F07" w:rsidP="008F6F0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8F6F07" w:rsidRDefault="008F6F07" w:rsidP="008F6F0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8F6F07" w:rsidRDefault="008F6F07" w:rsidP="008F6F0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E4613D" w:rsidRDefault="00E4613D">
      <w:pPr>
        <w:jc w:val="both"/>
        <w:rPr>
          <w:sz w:val="24"/>
        </w:rPr>
      </w:pPr>
    </w:p>
    <w:p w:rsidR="00D00A7A" w:rsidRDefault="00D00A7A">
      <w:pPr>
        <w:jc w:val="both"/>
        <w:rPr>
          <w:sz w:val="24"/>
        </w:rPr>
      </w:pPr>
    </w:p>
    <w:p w:rsidR="00A75650" w:rsidRDefault="00A7565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9A4BB8">
        <w:rPr>
          <w:sz w:val="24"/>
        </w:rPr>
        <w:t>April 17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9A4BB8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9A4BB8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467A74" w:rsidRDefault="00467A74" w:rsidP="00467A74">
      <w:pPr>
        <w:tabs>
          <w:tab w:val="left" w:pos="288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King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Diaz, Sr.</w:t>
      </w:r>
    </w:p>
    <w:p w:rsidR="00467A74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467A74" w:rsidRPr="00035DEE" w:rsidRDefault="00467A74" w:rsidP="00467A74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467A74" w:rsidRPr="00467A74" w:rsidRDefault="00467A74">
      <w:pPr>
        <w:jc w:val="both"/>
        <w:rPr>
          <w:sz w:val="24"/>
        </w:rPr>
      </w:pPr>
    </w:p>
    <w:sectPr w:rsidR="00467A74" w:rsidRPr="00467A74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B11F2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5B11F2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9A4BB8" w:rsidRDefault="009A4BB8">
    <w:pPr>
      <w:pStyle w:val="Header"/>
      <w:rPr>
        <w:b/>
        <w:sz w:val="24"/>
        <w:szCs w:val="24"/>
      </w:rPr>
    </w:pPr>
    <w:r w:rsidRPr="009526D3">
      <w:rPr>
        <w:b/>
        <w:sz w:val="24"/>
        <w:szCs w:val="24"/>
      </w:rPr>
      <w:t>20195471 HAX</w:t>
    </w:r>
    <w:r>
      <w:rPr>
        <w:b/>
        <w:sz w:val="24"/>
        <w:szCs w:val="24"/>
      </w:rPr>
      <w:t xml:space="preserve"> 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9A4BB8">
      <w:rPr>
        <w:b/>
        <w:sz w:val="24"/>
        <w:szCs w:val="24"/>
      </w:rPr>
      <w:t>384</w:t>
    </w:r>
    <w:r>
      <w:rPr>
        <w:b/>
        <w:sz w:val="24"/>
        <w:szCs w:val="24"/>
      </w:rPr>
      <w:t xml:space="preserve"> (Res. No. </w:t>
    </w:r>
    <w:r w:rsidR="00714A29">
      <w:rPr>
        <w:b/>
        <w:sz w:val="24"/>
        <w:szCs w:val="24"/>
      </w:rPr>
      <w:t>858</w:t>
    </w:r>
    <w:r>
      <w:rPr>
        <w:b/>
        <w:sz w:val="24"/>
        <w:szCs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D7F"/>
    <w:rsid w:val="000844D0"/>
    <w:rsid w:val="00085A19"/>
    <w:rsid w:val="00102613"/>
    <w:rsid w:val="00162306"/>
    <w:rsid w:val="001D2B95"/>
    <w:rsid w:val="002155DC"/>
    <w:rsid w:val="00244950"/>
    <w:rsid w:val="00247204"/>
    <w:rsid w:val="00277209"/>
    <w:rsid w:val="00326004"/>
    <w:rsid w:val="00333C6C"/>
    <w:rsid w:val="0036689B"/>
    <w:rsid w:val="003B2A58"/>
    <w:rsid w:val="003D2214"/>
    <w:rsid w:val="00411477"/>
    <w:rsid w:val="00414617"/>
    <w:rsid w:val="00414E64"/>
    <w:rsid w:val="00467A74"/>
    <w:rsid w:val="004747D3"/>
    <w:rsid w:val="004A569E"/>
    <w:rsid w:val="004E17E8"/>
    <w:rsid w:val="004F55A4"/>
    <w:rsid w:val="00513C49"/>
    <w:rsid w:val="00521379"/>
    <w:rsid w:val="0052292B"/>
    <w:rsid w:val="00526F66"/>
    <w:rsid w:val="00564FC7"/>
    <w:rsid w:val="00567160"/>
    <w:rsid w:val="005B11F2"/>
    <w:rsid w:val="005C3C59"/>
    <w:rsid w:val="00602F02"/>
    <w:rsid w:val="006069F6"/>
    <w:rsid w:val="00606D59"/>
    <w:rsid w:val="00611A73"/>
    <w:rsid w:val="0062660E"/>
    <w:rsid w:val="0062778A"/>
    <w:rsid w:val="00636DB9"/>
    <w:rsid w:val="0064258A"/>
    <w:rsid w:val="00652A2A"/>
    <w:rsid w:val="006976FE"/>
    <w:rsid w:val="006B48A1"/>
    <w:rsid w:val="006B79E3"/>
    <w:rsid w:val="006C118D"/>
    <w:rsid w:val="006C32A1"/>
    <w:rsid w:val="006C43C7"/>
    <w:rsid w:val="006D78B6"/>
    <w:rsid w:val="006F6185"/>
    <w:rsid w:val="0071031B"/>
    <w:rsid w:val="00714A29"/>
    <w:rsid w:val="00722D3F"/>
    <w:rsid w:val="00727316"/>
    <w:rsid w:val="00746A43"/>
    <w:rsid w:val="00757941"/>
    <w:rsid w:val="007815D1"/>
    <w:rsid w:val="00785455"/>
    <w:rsid w:val="007A2525"/>
    <w:rsid w:val="007C7914"/>
    <w:rsid w:val="007E3A43"/>
    <w:rsid w:val="00822775"/>
    <w:rsid w:val="00823980"/>
    <w:rsid w:val="00863EED"/>
    <w:rsid w:val="00865535"/>
    <w:rsid w:val="008728C9"/>
    <w:rsid w:val="008B404A"/>
    <w:rsid w:val="008F0BE7"/>
    <w:rsid w:val="008F6F07"/>
    <w:rsid w:val="0091246F"/>
    <w:rsid w:val="0091505A"/>
    <w:rsid w:val="00917B65"/>
    <w:rsid w:val="009832B1"/>
    <w:rsid w:val="009A2BFD"/>
    <w:rsid w:val="009A4BB8"/>
    <w:rsid w:val="009B5434"/>
    <w:rsid w:val="009E26B9"/>
    <w:rsid w:val="009F587D"/>
    <w:rsid w:val="00A10C3A"/>
    <w:rsid w:val="00A14F6B"/>
    <w:rsid w:val="00A170DA"/>
    <w:rsid w:val="00A17B48"/>
    <w:rsid w:val="00A351E9"/>
    <w:rsid w:val="00A56C11"/>
    <w:rsid w:val="00A7543F"/>
    <w:rsid w:val="00A75650"/>
    <w:rsid w:val="00AB7246"/>
    <w:rsid w:val="00B3246F"/>
    <w:rsid w:val="00B37B02"/>
    <w:rsid w:val="00B954C0"/>
    <w:rsid w:val="00BF6983"/>
    <w:rsid w:val="00C034C5"/>
    <w:rsid w:val="00C158AE"/>
    <w:rsid w:val="00C27567"/>
    <w:rsid w:val="00C55A54"/>
    <w:rsid w:val="00C800FD"/>
    <w:rsid w:val="00C96CB5"/>
    <w:rsid w:val="00CE532C"/>
    <w:rsid w:val="00D00A7A"/>
    <w:rsid w:val="00D228D6"/>
    <w:rsid w:val="00D2567A"/>
    <w:rsid w:val="00D60559"/>
    <w:rsid w:val="00D8275D"/>
    <w:rsid w:val="00D90AF6"/>
    <w:rsid w:val="00DA43DB"/>
    <w:rsid w:val="00DD24D2"/>
    <w:rsid w:val="00DF615E"/>
    <w:rsid w:val="00E0062D"/>
    <w:rsid w:val="00E112C3"/>
    <w:rsid w:val="00E15FF5"/>
    <w:rsid w:val="00E166BD"/>
    <w:rsid w:val="00E4613D"/>
    <w:rsid w:val="00E61178"/>
    <w:rsid w:val="00E708AD"/>
    <w:rsid w:val="00E74484"/>
    <w:rsid w:val="00E865F5"/>
    <w:rsid w:val="00EF2C00"/>
    <w:rsid w:val="00F02299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1FE44C-CD03-4B81-9621-5990DDB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character" w:styleId="CommentReference">
    <w:name w:val="annotation reference"/>
    <w:rsid w:val="00611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A73"/>
  </w:style>
  <w:style w:type="character" w:customStyle="1" w:styleId="CommentTextChar">
    <w:name w:val="Comment Text Char"/>
    <w:basedOn w:val="DefaultParagraphFont"/>
    <w:link w:val="CommentText"/>
    <w:rsid w:val="00611A73"/>
  </w:style>
  <w:style w:type="paragraph" w:styleId="CommentSubject">
    <w:name w:val="annotation subject"/>
    <w:basedOn w:val="CommentText"/>
    <w:next w:val="CommentText"/>
    <w:link w:val="CommentSubjectChar"/>
    <w:rsid w:val="00611A73"/>
    <w:rPr>
      <w:b/>
      <w:bCs/>
    </w:rPr>
  </w:style>
  <w:style w:type="character" w:customStyle="1" w:styleId="CommentSubjectChar">
    <w:name w:val="Comment Subject Char"/>
    <w:link w:val="CommentSubject"/>
    <w:rsid w:val="00611A73"/>
    <w:rPr>
      <w:b/>
      <w:bCs/>
    </w:rPr>
  </w:style>
  <w:style w:type="paragraph" w:styleId="BalloonText">
    <w:name w:val="Balloon Text"/>
    <w:basedOn w:val="Normal"/>
    <w:link w:val="BalloonTextChar"/>
    <w:rsid w:val="00611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2019-04-23T17:39:00Z</dcterms:created>
  <dcterms:modified xsi:type="dcterms:W3CDTF">2019-04-23T17:39:00Z</dcterms:modified>
</cp:coreProperties>
</file>