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SUBCOMMITTEE ON PLANNING, DISPOSITIONS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AND CONCESSIONS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L.U. No. </w:t>
      </w:r>
      <w:r w:rsidR="00594858">
        <w:rPr>
          <w:b/>
          <w:sz w:val="24"/>
        </w:rPr>
        <w:t xml:space="preserve">358 </w:t>
      </w:r>
      <w:r>
        <w:rPr>
          <w:b/>
          <w:sz w:val="24"/>
        </w:rPr>
        <w:t>(Res. No.</w:t>
      </w:r>
      <w:r w:rsidR="00A17B48">
        <w:rPr>
          <w:b/>
          <w:sz w:val="24"/>
        </w:rPr>
        <w:t xml:space="preserve"> </w:t>
      </w:r>
      <w:r w:rsidR="00692AEC">
        <w:rPr>
          <w:b/>
          <w:sz w:val="24"/>
        </w:rPr>
        <w:t>821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Kallos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 w:rsidP="00722009">
      <w:pPr>
        <w:jc w:val="both"/>
        <w:rPr>
          <w:sz w:val="24"/>
        </w:rPr>
      </w:pPr>
    </w:p>
    <w:p w:rsidR="00602F02" w:rsidRPr="00EA1721" w:rsidRDefault="00594858" w:rsidP="00722009">
      <w:pPr>
        <w:tabs>
          <w:tab w:val="left" w:pos="720"/>
          <w:tab w:val="left" w:pos="1440"/>
          <w:tab w:val="left" w:pos="76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EA1721" w:rsidRPr="00EA1721">
        <w:rPr>
          <w:b/>
          <w:sz w:val="24"/>
          <w:szCs w:val="24"/>
        </w:rPr>
        <w:t xml:space="preserve"> CB - </w:t>
      </w:r>
      <w:r>
        <w:rPr>
          <w:b/>
          <w:sz w:val="24"/>
          <w:szCs w:val="24"/>
        </w:rPr>
        <w:t>4</w:t>
      </w:r>
      <w:r w:rsidR="00EA1721" w:rsidRPr="00EA17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C 190078 HAK</w:t>
      </w:r>
    </w:p>
    <w:p w:rsidR="00EA1721" w:rsidRDefault="00EA1721" w:rsidP="00722009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594858" w:rsidRPr="000F7D8A" w:rsidRDefault="00EA1721" w:rsidP="00722009">
      <w:pPr>
        <w:tabs>
          <w:tab w:val="left" w:pos="720"/>
          <w:tab w:val="left" w:pos="70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4858" w:rsidRPr="00B67C01">
        <w:rPr>
          <w:sz w:val="24"/>
          <w:szCs w:val="24"/>
        </w:rPr>
        <w:t xml:space="preserve">City Planning Commission decision approving an application </w:t>
      </w:r>
      <w:r w:rsidR="00594858" w:rsidRPr="000F7D8A">
        <w:rPr>
          <w:sz w:val="24"/>
          <w:szCs w:val="24"/>
        </w:rPr>
        <w:t>submitted</w:t>
      </w:r>
      <w:r w:rsidR="00594858" w:rsidRPr="000F7D8A">
        <w:rPr>
          <w:spacing w:val="-7"/>
          <w:sz w:val="24"/>
          <w:szCs w:val="24"/>
        </w:rPr>
        <w:t xml:space="preserve"> </w:t>
      </w:r>
      <w:r w:rsidR="00594858" w:rsidRPr="000F7D8A">
        <w:rPr>
          <w:sz w:val="24"/>
          <w:szCs w:val="24"/>
        </w:rPr>
        <w:t>by</w:t>
      </w:r>
      <w:r w:rsidR="00594858" w:rsidRPr="000F7D8A">
        <w:rPr>
          <w:spacing w:val="-9"/>
          <w:sz w:val="24"/>
          <w:szCs w:val="24"/>
        </w:rPr>
        <w:t xml:space="preserve"> </w:t>
      </w:r>
      <w:r w:rsidR="00594858" w:rsidRPr="000F7D8A">
        <w:rPr>
          <w:sz w:val="24"/>
          <w:szCs w:val="24"/>
        </w:rPr>
        <w:t>the</w:t>
      </w:r>
      <w:r w:rsidR="00594858" w:rsidRPr="000F7D8A">
        <w:rPr>
          <w:spacing w:val="-4"/>
          <w:sz w:val="24"/>
          <w:szCs w:val="24"/>
        </w:rPr>
        <w:t xml:space="preserve"> </w:t>
      </w:r>
      <w:r w:rsidR="00594858" w:rsidRPr="000F7D8A">
        <w:rPr>
          <w:sz w:val="24"/>
          <w:szCs w:val="24"/>
        </w:rPr>
        <w:t>Department</w:t>
      </w:r>
      <w:r w:rsidR="00594858" w:rsidRPr="000F7D8A">
        <w:rPr>
          <w:spacing w:val="-3"/>
          <w:sz w:val="24"/>
          <w:szCs w:val="24"/>
        </w:rPr>
        <w:t xml:space="preserve"> </w:t>
      </w:r>
      <w:r w:rsidR="00594858" w:rsidRPr="000F7D8A">
        <w:rPr>
          <w:sz w:val="24"/>
          <w:szCs w:val="24"/>
        </w:rPr>
        <w:t>of</w:t>
      </w:r>
      <w:r w:rsidR="00594858" w:rsidRPr="000F7D8A">
        <w:rPr>
          <w:spacing w:val="-5"/>
          <w:sz w:val="24"/>
          <w:szCs w:val="24"/>
        </w:rPr>
        <w:t xml:space="preserve"> </w:t>
      </w:r>
      <w:r w:rsidR="00594858" w:rsidRPr="000F7D8A">
        <w:rPr>
          <w:sz w:val="24"/>
          <w:szCs w:val="24"/>
        </w:rPr>
        <w:t>Housing</w:t>
      </w:r>
      <w:r w:rsidR="00594858" w:rsidRPr="000F7D8A">
        <w:rPr>
          <w:spacing w:val="-6"/>
          <w:sz w:val="24"/>
          <w:szCs w:val="24"/>
        </w:rPr>
        <w:t xml:space="preserve"> </w:t>
      </w:r>
      <w:r w:rsidR="00594858" w:rsidRPr="000F7D8A">
        <w:rPr>
          <w:sz w:val="24"/>
          <w:szCs w:val="24"/>
        </w:rPr>
        <w:t>Preservation</w:t>
      </w:r>
      <w:r w:rsidR="00594858" w:rsidRPr="000F7D8A">
        <w:rPr>
          <w:spacing w:val="-4"/>
          <w:sz w:val="24"/>
          <w:szCs w:val="24"/>
        </w:rPr>
        <w:t xml:space="preserve"> </w:t>
      </w:r>
      <w:r w:rsidR="00594858" w:rsidRPr="000F7D8A">
        <w:rPr>
          <w:sz w:val="24"/>
          <w:szCs w:val="24"/>
        </w:rPr>
        <w:t>and Development</w:t>
      </w:r>
      <w:r w:rsidR="00594858" w:rsidRPr="000F7D8A">
        <w:rPr>
          <w:spacing w:val="-7"/>
          <w:sz w:val="24"/>
          <w:szCs w:val="24"/>
        </w:rPr>
        <w:t xml:space="preserve"> </w:t>
      </w:r>
      <w:r w:rsidR="00594858" w:rsidRPr="000F7D8A">
        <w:rPr>
          <w:sz w:val="24"/>
          <w:szCs w:val="24"/>
        </w:rPr>
        <w:t>(HPD):</w:t>
      </w:r>
    </w:p>
    <w:p w:rsidR="00594858" w:rsidRPr="000F7D8A" w:rsidRDefault="00594858" w:rsidP="00722009">
      <w:pPr>
        <w:jc w:val="both"/>
        <w:rPr>
          <w:sz w:val="24"/>
          <w:szCs w:val="24"/>
        </w:rPr>
      </w:pPr>
    </w:p>
    <w:p w:rsidR="00594858" w:rsidRPr="006F5053" w:rsidRDefault="00594858" w:rsidP="00722009">
      <w:pPr>
        <w:pStyle w:val="ListParagraph"/>
        <w:numPr>
          <w:ilvl w:val="0"/>
          <w:numId w:val="6"/>
        </w:numPr>
        <w:tabs>
          <w:tab w:val="left" w:pos="821"/>
        </w:tabs>
        <w:autoSpaceDE/>
        <w:autoSpaceDN/>
        <w:adjustRightInd/>
        <w:jc w:val="both"/>
      </w:pPr>
      <w:r w:rsidRPr="006F5053">
        <w:t>pursuant to Article 16 of the General Municipal Law of New York State</w:t>
      </w:r>
      <w:r w:rsidRPr="006F5053">
        <w:rPr>
          <w:spacing w:val="-2"/>
        </w:rPr>
        <w:t xml:space="preserve"> </w:t>
      </w:r>
      <w:r w:rsidRPr="006F5053">
        <w:t>for:</w:t>
      </w:r>
    </w:p>
    <w:p w:rsidR="00594858" w:rsidRPr="006F5053" w:rsidRDefault="00594858" w:rsidP="00722009">
      <w:pPr>
        <w:jc w:val="both"/>
        <w:rPr>
          <w:sz w:val="24"/>
          <w:szCs w:val="24"/>
        </w:rPr>
      </w:pPr>
    </w:p>
    <w:p w:rsidR="00594858" w:rsidRPr="000F7D8A" w:rsidRDefault="00594858" w:rsidP="00722009">
      <w:pPr>
        <w:pStyle w:val="ListParagraph"/>
        <w:numPr>
          <w:ilvl w:val="1"/>
          <w:numId w:val="5"/>
        </w:numPr>
        <w:tabs>
          <w:tab w:val="left" w:pos="1181"/>
        </w:tabs>
        <w:autoSpaceDE/>
        <w:autoSpaceDN/>
        <w:adjustRightInd/>
        <w:jc w:val="both"/>
      </w:pPr>
      <w:r w:rsidRPr="000F7D8A">
        <w:t>the</w:t>
      </w:r>
      <w:r w:rsidRPr="000F7D8A">
        <w:rPr>
          <w:spacing w:val="-17"/>
        </w:rPr>
        <w:t xml:space="preserve"> </w:t>
      </w:r>
      <w:r w:rsidRPr="000F7D8A">
        <w:t>designation</w:t>
      </w:r>
      <w:r w:rsidRPr="000F7D8A">
        <w:rPr>
          <w:spacing w:val="-17"/>
        </w:rPr>
        <w:t xml:space="preserve"> </w:t>
      </w:r>
      <w:r w:rsidRPr="000F7D8A">
        <w:t>of</w:t>
      </w:r>
      <w:r w:rsidRPr="000F7D8A">
        <w:rPr>
          <w:spacing w:val="-18"/>
        </w:rPr>
        <w:t xml:space="preserve"> </w:t>
      </w:r>
      <w:r w:rsidRPr="000F7D8A">
        <w:t>property</w:t>
      </w:r>
      <w:r w:rsidRPr="000F7D8A">
        <w:rPr>
          <w:spacing w:val="-17"/>
        </w:rPr>
        <w:t xml:space="preserve"> </w:t>
      </w:r>
      <w:r w:rsidRPr="000F7D8A">
        <w:t>located</w:t>
      </w:r>
      <w:r w:rsidRPr="000F7D8A">
        <w:rPr>
          <w:spacing w:val="-17"/>
        </w:rPr>
        <w:t xml:space="preserve"> </w:t>
      </w:r>
      <w:r w:rsidRPr="000F7D8A">
        <w:t>at</w:t>
      </w:r>
      <w:r w:rsidRPr="000F7D8A">
        <w:rPr>
          <w:spacing w:val="-16"/>
        </w:rPr>
        <w:t xml:space="preserve"> </w:t>
      </w:r>
      <w:r>
        <w:rPr>
          <w:spacing w:val="-16"/>
        </w:rPr>
        <w:t>63 Stockholm Street</w:t>
      </w:r>
      <w:r w:rsidRPr="000F7D8A">
        <w:rPr>
          <w:spacing w:val="-16"/>
        </w:rPr>
        <w:t xml:space="preserve"> (Block </w:t>
      </w:r>
      <w:r>
        <w:rPr>
          <w:spacing w:val="-16"/>
        </w:rPr>
        <w:t>3243</w:t>
      </w:r>
      <w:r w:rsidRPr="000F7D8A">
        <w:rPr>
          <w:spacing w:val="-16"/>
        </w:rPr>
        <w:t>, Lot 6</w:t>
      </w:r>
      <w:r>
        <w:rPr>
          <w:spacing w:val="-16"/>
        </w:rPr>
        <w:t>5</w:t>
      </w:r>
      <w:r w:rsidRPr="000F7D8A">
        <w:rPr>
          <w:spacing w:val="-16"/>
        </w:rPr>
        <w:t>)</w:t>
      </w:r>
      <w:r w:rsidRPr="000F7D8A">
        <w:t xml:space="preserve"> as an Urban Development Action Area;</w:t>
      </w:r>
      <w:r w:rsidRPr="000F7D8A">
        <w:rPr>
          <w:spacing w:val="1"/>
        </w:rPr>
        <w:t xml:space="preserve"> </w:t>
      </w:r>
      <w:r w:rsidRPr="000F7D8A">
        <w:t>and</w:t>
      </w:r>
    </w:p>
    <w:p w:rsidR="00594858" w:rsidRPr="000F7D8A" w:rsidRDefault="00594858" w:rsidP="00722009">
      <w:pPr>
        <w:jc w:val="both"/>
        <w:rPr>
          <w:sz w:val="24"/>
          <w:szCs w:val="24"/>
        </w:rPr>
      </w:pPr>
    </w:p>
    <w:p w:rsidR="00594858" w:rsidRPr="000F7D8A" w:rsidRDefault="00594858" w:rsidP="00722009">
      <w:pPr>
        <w:pStyle w:val="ListParagraph"/>
        <w:numPr>
          <w:ilvl w:val="1"/>
          <w:numId w:val="5"/>
        </w:numPr>
        <w:tabs>
          <w:tab w:val="left" w:pos="1241"/>
        </w:tabs>
        <w:autoSpaceDE/>
        <w:autoSpaceDN/>
        <w:adjustRightInd/>
        <w:ind w:left="1240" w:hanging="420"/>
        <w:jc w:val="both"/>
      </w:pPr>
      <w:r w:rsidRPr="000F7D8A">
        <w:t xml:space="preserve">as an Urban Development Action Area Project </w:t>
      </w:r>
      <w:r>
        <w:t xml:space="preserve">(UDAAP) </w:t>
      </w:r>
      <w:r w:rsidRPr="000F7D8A">
        <w:t>for such area;</w:t>
      </w:r>
      <w:r w:rsidRPr="000F7D8A">
        <w:rPr>
          <w:spacing w:val="-2"/>
        </w:rPr>
        <w:t xml:space="preserve"> </w:t>
      </w:r>
      <w:r w:rsidRPr="000F7D8A">
        <w:t>and</w:t>
      </w:r>
    </w:p>
    <w:p w:rsidR="00594858" w:rsidRPr="000F7D8A" w:rsidRDefault="00594858" w:rsidP="00722009">
      <w:pPr>
        <w:jc w:val="both"/>
        <w:rPr>
          <w:sz w:val="24"/>
          <w:szCs w:val="24"/>
        </w:rPr>
      </w:pPr>
    </w:p>
    <w:p w:rsidR="00594858" w:rsidRPr="006F5053" w:rsidRDefault="00594858" w:rsidP="00722009">
      <w:pPr>
        <w:pStyle w:val="ListParagraph"/>
        <w:numPr>
          <w:ilvl w:val="0"/>
          <w:numId w:val="6"/>
        </w:numPr>
        <w:tabs>
          <w:tab w:val="left" w:pos="821"/>
        </w:tabs>
        <w:autoSpaceDE/>
        <w:autoSpaceDN/>
        <w:adjustRightInd/>
        <w:jc w:val="both"/>
      </w:pPr>
      <w:r w:rsidRPr="006F5053">
        <w:t>pursuant</w:t>
      </w:r>
      <w:r w:rsidRPr="006F5053">
        <w:rPr>
          <w:spacing w:val="-13"/>
        </w:rPr>
        <w:t xml:space="preserve"> </w:t>
      </w:r>
      <w:r w:rsidRPr="006F5053">
        <w:t>to</w:t>
      </w:r>
      <w:r w:rsidRPr="006F5053">
        <w:rPr>
          <w:spacing w:val="-13"/>
        </w:rPr>
        <w:t xml:space="preserve"> </w:t>
      </w:r>
      <w:r w:rsidRPr="006F5053">
        <w:t>Section</w:t>
      </w:r>
      <w:r w:rsidRPr="006F5053">
        <w:rPr>
          <w:spacing w:val="-13"/>
        </w:rPr>
        <w:t xml:space="preserve"> </w:t>
      </w:r>
      <w:r w:rsidRPr="006F5053">
        <w:t>197-c</w:t>
      </w:r>
      <w:r w:rsidRPr="006F5053">
        <w:rPr>
          <w:spacing w:val="-14"/>
        </w:rPr>
        <w:t xml:space="preserve"> </w:t>
      </w:r>
      <w:r w:rsidRPr="006F5053">
        <w:t>of</w:t>
      </w:r>
      <w:r w:rsidRPr="006F5053">
        <w:rPr>
          <w:spacing w:val="-14"/>
        </w:rPr>
        <w:t xml:space="preserve"> </w:t>
      </w:r>
      <w:r w:rsidRPr="006F5053">
        <w:t>the</w:t>
      </w:r>
      <w:r w:rsidRPr="006F5053">
        <w:rPr>
          <w:spacing w:val="-14"/>
        </w:rPr>
        <w:t xml:space="preserve"> </w:t>
      </w:r>
      <w:r w:rsidRPr="006F5053">
        <w:t>New</w:t>
      </w:r>
      <w:r w:rsidRPr="006F5053">
        <w:rPr>
          <w:spacing w:val="-14"/>
        </w:rPr>
        <w:t xml:space="preserve"> </w:t>
      </w:r>
      <w:r w:rsidRPr="006F5053">
        <w:t>York</w:t>
      </w:r>
      <w:r w:rsidRPr="006F5053">
        <w:rPr>
          <w:spacing w:val="-13"/>
        </w:rPr>
        <w:t xml:space="preserve"> </w:t>
      </w:r>
      <w:r w:rsidRPr="006F5053">
        <w:t>City</w:t>
      </w:r>
      <w:r w:rsidRPr="006F5053">
        <w:rPr>
          <w:spacing w:val="-21"/>
        </w:rPr>
        <w:t xml:space="preserve"> </w:t>
      </w:r>
      <w:r w:rsidRPr="006F5053">
        <w:t>Charter</w:t>
      </w:r>
      <w:r w:rsidRPr="006F5053">
        <w:rPr>
          <w:spacing w:val="-14"/>
        </w:rPr>
        <w:t xml:space="preserve"> </w:t>
      </w:r>
      <w:r w:rsidRPr="006F5053">
        <w:t>for</w:t>
      </w:r>
      <w:r w:rsidRPr="006F5053">
        <w:rPr>
          <w:spacing w:val="-15"/>
        </w:rPr>
        <w:t xml:space="preserve"> </w:t>
      </w:r>
      <w:r w:rsidRPr="006F5053">
        <w:t>the</w:t>
      </w:r>
      <w:r w:rsidRPr="006F5053">
        <w:rPr>
          <w:spacing w:val="-14"/>
        </w:rPr>
        <w:t xml:space="preserve"> </w:t>
      </w:r>
      <w:r w:rsidRPr="006F5053">
        <w:t>disposition</w:t>
      </w:r>
      <w:r w:rsidRPr="006F5053">
        <w:rPr>
          <w:spacing w:val="-13"/>
        </w:rPr>
        <w:t xml:space="preserve"> </w:t>
      </w:r>
      <w:r w:rsidRPr="006F5053">
        <w:t>of</w:t>
      </w:r>
      <w:r w:rsidRPr="006F5053">
        <w:rPr>
          <w:spacing w:val="-14"/>
        </w:rPr>
        <w:t xml:space="preserve"> </w:t>
      </w:r>
      <w:r w:rsidRPr="006F5053">
        <w:t>such</w:t>
      </w:r>
      <w:r w:rsidRPr="006F5053">
        <w:rPr>
          <w:spacing w:val="-13"/>
        </w:rPr>
        <w:t xml:space="preserve"> </w:t>
      </w:r>
      <w:r w:rsidRPr="006F5053">
        <w:t>property to a developer to be selected by</w:t>
      </w:r>
      <w:r w:rsidRPr="006F5053">
        <w:rPr>
          <w:spacing w:val="-8"/>
        </w:rPr>
        <w:t xml:space="preserve"> </w:t>
      </w:r>
      <w:r w:rsidRPr="006F5053">
        <w:t>HPD;</w:t>
      </w:r>
    </w:p>
    <w:p w:rsidR="00594858" w:rsidRPr="000F7D8A" w:rsidRDefault="00594858" w:rsidP="00722009">
      <w:pPr>
        <w:jc w:val="both"/>
        <w:rPr>
          <w:sz w:val="24"/>
          <w:szCs w:val="24"/>
        </w:rPr>
      </w:pPr>
    </w:p>
    <w:p w:rsidR="00594858" w:rsidRDefault="00594858" w:rsidP="00722009">
      <w:pPr>
        <w:pStyle w:val="BodyText"/>
        <w:rPr>
          <w:szCs w:val="24"/>
        </w:rPr>
      </w:pPr>
      <w:proofErr w:type="gramStart"/>
      <w:r w:rsidRPr="000F7D8A">
        <w:rPr>
          <w:szCs w:val="24"/>
        </w:rPr>
        <w:t>to</w:t>
      </w:r>
      <w:proofErr w:type="gramEnd"/>
      <w:r w:rsidRPr="000F7D8A">
        <w:rPr>
          <w:szCs w:val="24"/>
        </w:rPr>
        <w:t xml:space="preserve"> facilitate </w:t>
      </w:r>
      <w:r>
        <w:rPr>
          <w:szCs w:val="24"/>
        </w:rPr>
        <w:t xml:space="preserve">an </w:t>
      </w:r>
      <w:r w:rsidRPr="000F7D8A">
        <w:rPr>
          <w:szCs w:val="24"/>
        </w:rPr>
        <w:t xml:space="preserve">affordable housing development containing approximately </w:t>
      </w:r>
      <w:r>
        <w:rPr>
          <w:szCs w:val="24"/>
        </w:rPr>
        <w:t>20 units</w:t>
      </w:r>
      <w:r w:rsidR="00722009">
        <w:rPr>
          <w:szCs w:val="24"/>
        </w:rPr>
        <w:t>.</w:t>
      </w:r>
    </w:p>
    <w:p w:rsidR="007C7914" w:rsidRDefault="007C7914" w:rsidP="00722009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A17B48" w:rsidRDefault="00A17B48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 w:rsidP="003E3258">
      <w:pPr>
        <w:jc w:val="both"/>
        <w:rPr>
          <w:sz w:val="24"/>
        </w:rPr>
      </w:pPr>
    </w:p>
    <w:p w:rsidR="003E3258" w:rsidRPr="003E3258" w:rsidRDefault="005D6A1A" w:rsidP="003E3258">
      <w:pPr>
        <w:jc w:val="both"/>
        <w:rPr>
          <w:sz w:val="24"/>
          <w:szCs w:val="24"/>
        </w:rPr>
      </w:pPr>
      <w:r w:rsidRPr="005D6A1A">
        <w:rPr>
          <w:rFonts w:eastAsia="Calibri"/>
          <w:sz w:val="24"/>
          <w:szCs w:val="22"/>
        </w:rPr>
        <w:tab/>
        <w:t xml:space="preserve">To approve the urban development action area designation, project approval, </w:t>
      </w:r>
      <w:r w:rsidR="000638EE">
        <w:rPr>
          <w:rFonts w:eastAsia="Calibri"/>
          <w:sz w:val="24"/>
          <w:szCs w:val="22"/>
        </w:rPr>
        <w:t xml:space="preserve">and </w:t>
      </w:r>
      <w:r w:rsidRPr="005D6A1A">
        <w:rPr>
          <w:rFonts w:eastAsia="Calibri"/>
          <w:sz w:val="24"/>
          <w:szCs w:val="22"/>
        </w:rPr>
        <w:t>disposition of city-owned property</w:t>
      </w:r>
      <w:r w:rsidR="003E3258">
        <w:rPr>
          <w:rFonts w:eastAsia="Calibri"/>
          <w:sz w:val="24"/>
          <w:szCs w:val="22"/>
        </w:rPr>
        <w:t xml:space="preserve"> located at 63 Stockholm Street (Block 3243, Lot 65) to </w:t>
      </w:r>
      <w:r w:rsidR="003E3258" w:rsidRPr="003E3258">
        <w:rPr>
          <w:sz w:val="24"/>
          <w:szCs w:val="24"/>
        </w:rPr>
        <w:t xml:space="preserve">facilitate the development of </w:t>
      </w:r>
      <w:r w:rsidR="003E3258" w:rsidRPr="003E3258">
        <w:rPr>
          <w:rFonts w:eastAsia="Calibri"/>
          <w:sz w:val="24"/>
          <w:szCs w:val="24"/>
        </w:rPr>
        <w:t>a new four-story building containing approximately 20 units of affordable housing at 63 Stockholm Street in the Bushwick neighborhood of Brooklyn, Community District 4.</w:t>
      </w:r>
    </w:p>
    <w:p w:rsidR="003E3258" w:rsidRDefault="003E3258" w:rsidP="003E3258">
      <w:pPr>
        <w:tabs>
          <w:tab w:val="left" w:pos="720"/>
        </w:tabs>
        <w:rPr>
          <w:rFonts w:eastAsia="Calibri"/>
          <w:sz w:val="24"/>
          <w:szCs w:val="22"/>
        </w:rPr>
      </w:pPr>
    </w:p>
    <w:p w:rsidR="003E3258" w:rsidRDefault="003E3258" w:rsidP="003E3258">
      <w:pPr>
        <w:tabs>
          <w:tab w:val="left" w:pos="720"/>
        </w:tabs>
        <w:rPr>
          <w:rFonts w:eastAsia="Calibri"/>
          <w:sz w:val="24"/>
          <w:szCs w:val="22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3E3258">
        <w:rPr>
          <w:sz w:val="24"/>
        </w:rPr>
        <w:t>March 6, 2019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3E3258">
        <w:rPr>
          <w:sz w:val="24"/>
        </w:rPr>
        <w:t>Two</w:t>
      </w:r>
      <w:r w:rsidR="00E1730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E1730C">
        <w:rPr>
          <w:sz w:val="24"/>
        </w:rPr>
        <w:t>None</w:t>
      </w:r>
    </w:p>
    <w:p w:rsidR="00E4613D" w:rsidRDefault="00E4613D">
      <w:pPr>
        <w:jc w:val="both"/>
        <w:rPr>
          <w:sz w:val="24"/>
        </w:rPr>
      </w:pPr>
    </w:p>
    <w:p w:rsidR="007C7914" w:rsidRDefault="007C7914" w:rsidP="007C7914"/>
    <w:p w:rsidR="000E2122" w:rsidRDefault="000E2122" w:rsidP="007C7914"/>
    <w:p w:rsidR="003E3258" w:rsidRDefault="003E3258" w:rsidP="007C7914"/>
    <w:p w:rsidR="00F6409E" w:rsidRDefault="00F6409E" w:rsidP="007C7914"/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3E3258">
        <w:rPr>
          <w:sz w:val="24"/>
        </w:rPr>
        <w:t>March 18, 2019</w:t>
      </w:r>
    </w:p>
    <w:p w:rsidR="00E4613D" w:rsidRDefault="00E4613D">
      <w:pPr>
        <w:jc w:val="both"/>
        <w:rPr>
          <w:sz w:val="24"/>
        </w:rPr>
      </w:pPr>
    </w:p>
    <w:p w:rsidR="003E3258" w:rsidRPr="003E3258" w:rsidRDefault="00E4613D" w:rsidP="003E3258">
      <w:pPr>
        <w:tabs>
          <w:tab w:val="left" w:pos="720"/>
        </w:tabs>
        <w:ind w:right="-180"/>
        <w:jc w:val="both"/>
        <w:rPr>
          <w:sz w:val="24"/>
          <w:szCs w:val="24"/>
        </w:rPr>
      </w:pPr>
      <w:r>
        <w:tab/>
      </w:r>
      <w:r w:rsidR="003E3258" w:rsidRPr="003E3258">
        <w:rPr>
          <w:sz w:val="24"/>
        </w:rPr>
        <w:t xml:space="preserve">The Subcommittee recommends that the Land Use Committee approve </w:t>
      </w:r>
      <w:r w:rsidR="003E3258" w:rsidRPr="003E3258">
        <w:rPr>
          <w:sz w:val="24"/>
          <w:szCs w:val="24"/>
        </w:rPr>
        <w:t>the decision and requests made by the New York City Department of Housing Preservation and Development.</w:t>
      </w:r>
    </w:p>
    <w:p w:rsidR="00E4613D" w:rsidRDefault="00E4613D" w:rsidP="003E3258">
      <w:pPr>
        <w:pStyle w:val="BodyText"/>
        <w:widowControl/>
        <w:tabs>
          <w:tab w:val="clear" w:pos="720"/>
          <w:tab w:val="clear" w:pos="7560"/>
        </w:tabs>
        <w:ind w:right="-180"/>
      </w:pPr>
    </w:p>
    <w:p w:rsidR="00E4613D" w:rsidRPr="00FC2A3B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 w:rsidRPr="00FC2A3B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  <w:r w:rsidR="00FC2A3B">
        <w:rPr>
          <w:b/>
          <w:sz w:val="24"/>
        </w:rPr>
        <w:t xml:space="preserve"> </w:t>
      </w:r>
    </w:p>
    <w:p w:rsidR="00CB6C53" w:rsidRDefault="00F73A15" w:rsidP="00CB6C53">
      <w:pPr>
        <w:rPr>
          <w:sz w:val="24"/>
          <w:szCs w:val="24"/>
        </w:rPr>
      </w:pPr>
      <w:r>
        <w:rPr>
          <w:sz w:val="24"/>
          <w:szCs w:val="24"/>
        </w:rPr>
        <w:t>Kallos</w:t>
      </w:r>
      <w:r w:rsidR="00FB400C">
        <w:rPr>
          <w:sz w:val="24"/>
          <w:szCs w:val="24"/>
        </w:rPr>
        <w:tab/>
      </w:r>
      <w:r w:rsidR="00FB400C">
        <w:rPr>
          <w:sz w:val="24"/>
          <w:szCs w:val="24"/>
        </w:rPr>
        <w:tab/>
      </w:r>
      <w:r w:rsidR="00FB400C">
        <w:rPr>
          <w:sz w:val="24"/>
          <w:szCs w:val="24"/>
        </w:rPr>
        <w:tab/>
      </w:r>
      <w:r w:rsidR="00FB400C">
        <w:rPr>
          <w:sz w:val="24"/>
          <w:szCs w:val="24"/>
        </w:rPr>
        <w:tab/>
      </w:r>
      <w:r w:rsidR="00FB400C" w:rsidRPr="00FC2A3B">
        <w:rPr>
          <w:sz w:val="24"/>
        </w:rPr>
        <w:t>None</w:t>
      </w:r>
      <w:r w:rsidR="00FB400C">
        <w:rPr>
          <w:sz w:val="24"/>
        </w:rPr>
        <w:tab/>
      </w:r>
      <w:r w:rsidR="00FB400C">
        <w:rPr>
          <w:sz w:val="24"/>
        </w:rPr>
        <w:tab/>
      </w:r>
      <w:r w:rsidR="00FB400C">
        <w:rPr>
          <w:sz w:val="24"/>
        </w:rPr>
        <w:tab/>
      </w:r>
      <w:r w:rsidR="00FB400C">
        <w:rPr>
          <w:sz w:val="24"/>
        </w:rPr>
        <w:tab/>
      </w:r>
      <w:r w:rsidR="00FB400C" w:rsidRPr="00FC2A3B">
        <w:rPr>
          <w:sz w:val="24"/>
        </w:rPr>
        <w:t>None</w:t>
      </w:r>
    </w:p>
    <w:p w:rsidR="002F4CDF" w:rsidRDefault="002F4CDF" w:rsidP="00CB6C53">
      <w:pPr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CB6C53" w:rsidRDefault="00CB6C53" w:rsidP="00CB6C53">
      <w:pPr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CB6C53" w:rsidRDefault="00CB6C53" w:rsidP="00CB6C53">
      <w:pPr>
        <w:rPr>
          <w:sz w:val="24"/>
          <w:szCs w:val="24"/>
        </w:rPr>
      </w:pPr>
      <w:r>
        <w:rPr>
          <w:sz w:val="24"/>
          <w:szCs w:val="24"/>
        </w:rPr>
        <w:t>Diaz</w:t>
      </w:r>
      <w:r w:rsidR="002F4CDF">
        <w:rPr>
          <w:sz w:val="24"/>
          <w:szCs w:val="24"/>
        </w:rPr>
        <w:t>, Sr.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0E2122" w:rsidRDefault="000E2122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2F4CDF">
        <w:rPr>
          <w:sz w:val="24"/>
        </w:rPr>
        <w:t>March 26, 2019</w:t>
      </w:r>
    </w:p>
    <w:p w:rsidR="00E4613D" w:rsidRDefault="00E4613D">
      <w:pPr>
        <w:jc w:val="both"/>
        <w:rPr>
          <w:sz w:val="24"/>
        </w:rPr>
      </w:pPr>
    </w:p>
    <w:p w:rsidR="00600B93" w:rsidRDefault="00E4613D" w:rsidP="00600B93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The Committee recommends that the Council </w:t>
      </w:r>
      <w:r w:rsidR="00600B93">
        <w:rPr>
          <w:sz w:val="24"/>
          <w:szCs w:val="24"/>
        </w:rPr>
        <w:t>approve the attached resolution.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1033B3" w:rsidRDefault="001033B3" w:rsidP="001033B3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  <w:t>None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Gibson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Barron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Constantinides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Deutsch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Kallos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King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Koo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lastRenderedPageBreak/>
        <w:t>Lancman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Levin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Reynoso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Richards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Torres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Grodenchik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Adams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Diaz, Sr.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Moya</w:t>
      </w:r>
    </w:p>
    <w:p w:rsidR="001033B3" w:rsidRDefault="001033B3" w:rsidP="001033B3">
      <w:pPr>
        <w:jc w:val="both"/>
        <w:rPr>
          <w:sz w:val="24"/>
        </w:rPr>
      </w:pPr>
      <w:r>
        <w:rPr>
          <w:sz w:val="24"/>
        </w:rPr>
        <w:t>Rivera</w:t>
      </w:r>
    </w:p>
    <w:p w:rsidR="001033B3" w:rsidRPr="001033B3" w:rsidRDefault="001033B3">
      <w:pPr>
        <w:jc w:val="both"/>
        <w:rPr>
          <w:sz w:val="24"/>
        </w:rPr>
      </w:pPr>
    </w:p>
    <w:sectPr w:rsidR="001033B3" w:rsidRPr="001033B3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E8" w:rsidRDefault="002C08E8">
      <w:r>
        <w:separator/>
      </w:r>
    </w:p>
  </w:endnote>
  <w:endnote w:type="continuationSeparator" w:id="0">
    <w:p w:rsidR="002C08E8" w:rsidRDefault="002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E8" w:rsidRDefault="002C08E8">
      <w:r>
        <w:separator/>
      </w:r>
    </w:p>
  </w:footnote>
  <w:footnote w:type="continuationSeparator" w:id="0">
    <w:p w:rsidR="002C08E8" w:rsidRDefault="002C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5D67B3" w:rsidRDefault="005D67B3">
    <w:pPr>
      <w:pStyle w:val="Header"/>
    </w:pPr>
  </w:p>
  <w:p w:rsidR="005D67B3" w:rsidRDefault="005D67B3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11234A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11234A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602F02" w:rsidRDefault="003E3258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 190078 HAK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3E3258">
      <w:rPr>
        <w:b/>
        <w:sz w:val="24"/>
        <w:szCs w:val="24"/>
      </w:rPr>
      <w:t>358</w:t>
    </w:r>
    <w:r>
      <w:rPr>
        <w:b/>
        <w:sz w:val="24"/>
        <w:szCs w:val="24"/>
      </w:rPr>
      <w:t xml:space="preserve"> (Res. No. </w:t>
    </w:r>
    <w:r w:rsidR="00692AEC">
      <w:rPr>
        <w:b/>
        <w:sz w:val="24"/>
        <w:szCs w:val="24"/>
      </w:rPr>
      <w:t>821</w:t>
    </w:r>
    <w:r>
      <w:rPr>
        <w:b/>
        <w:sz w:val="24"/>
        <w:szCs w:val="24"/>
      </w:rPr>
      <w:t>)</w:t>
    </w:r>
  </w:p>
  <w:p w:rsidR="005D67B3" w:rsidRDefault="005D67B3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5959"/>
    <w:multiLevelType w:val="hybridMultilevel"/>
    <w:tmpl w:val="CCEC34AE"/>
    <w:lvl w:ilvl="0" w:tplc="4A260E2A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0019E8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47EE512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94C0339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09A08894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1D1ADDB2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8FB8F24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00E23E36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187EEDB4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1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E666993"/>
    <w:multiLevelType w:val="hybridMultilevel"/>
    <w:tmpl w:val="032E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406BF"/>
    <w:rsid w:val="000638EE"/>
    <w:rsid w:val="000B6B9E"/>
    <w:rsid w:val="000E2122"/>
    <w:rsid w:val="001033B3"/>
    <w:rsid w:val="0011234A"/>
    <w:rsid w:val="00161321"/>
    <w:rsid w:val="001A66C8"/>
    <w:rsid w:val="001D40C3"/>
    <w:rsid w:val="00277209"/>
    <w:rsid w:val="002B54E5"/>
    <w:rsid w:val="002C08E8"/>
    <w:rsid w:val="002E1DAB"/>
    <w:rsid w:val="002F4CDF"/>
    <w:rsid w:val="00324509"/>
    <w:rsid w:val="00333C6C"/>
    <w:rsid w:val="0036689B"/>
    <w:rsid w:val="003B2A58"/>
    <w:rsid w:val="003E3258"/>
    <w:rsid w:val="004A4339"/>
    <w:rsid w:val="004F534A"/>
    <w:rsid w:val="004F55A4"/>
    <w:rsid w:val="00567160"/>
    <w:rsid w:val="00594858"/>
    <w:rsid w:val="005A70A6"/>
    <w:rsid w:val="005D67B3"/>
    <w:rsid w:val="005D6A1A"/>
    <w:rsid w:val="00600B93"/>
    <w:rsid w:val="00602F02"/>
    <w:rsid w:val="0062778A"/>
    <w:rsid w:val="00692AEC"/>
    <w:rsid w:val="006976FE"/>
    <w:rsid w:val="006C118D"/>
    <w:rsid w:val="006D09EB"/>
    <w:rsid w:val="006D78B6"/>
    <w:rsid w:val="00722009"/>
    <w:rsid w:val="00722D3F"/>
    <w:rsid w:val="00745FE8"/>
    <w:rsid w:val="00746A43"/>
    <w:rsid w:val="00757941"/>
    <w:rsid w:val="007815D1"/>
    <w:rsid w:val="007C7914"/>
    <w:rsid w:val="007D6971"/>
    <w:rsid w:val="00866718"/>
    <w:rsid w:val="008728C9"/>
    <w:rsid w:val="00900806"/>
    <w:rsid w:val="00944F2E"/>
    <w:rsid w:val="009832B1"/>
    <w:rsid w:val="009F587D"/>
    <w:rsid w:val="00A02D33"/>
    <w:rsid w:val="00A17B48"/>
    <w:rsid w:val="00A56C11"/>
    <w:rsid w:val="00A86BCF"/>
    <w:rsid w:val="00AA365A"/>
    <w:rsid w:val="00AA643D"/>
    <w:rsid w:val="00B37B02"/>
    <w:rsid w:val="00BA59B4"/>
    <w:rsid w:val="00BC3853"/>
    <w:rsid w:val="00C034C5"/>
    <w:rsid w:val="00C800FD"/>
    <w:rsid w:val="00C96CB5"/>
    <w:rsid w:val="00CB6C53"/>
    <w:rsid w:val="00CE532C"/>
    <w:rsid w:val="00D228D6"/>
    <w:rsid w:val="00D40054"/>
    <w:rsid w:val="00DE6CCA"/>
    <w:rsid w:val="00DF615E"/>
    <w:rsid w:val="00E0062D"/>
    <w:rsid w:val="00E1730C"/>
    <w:rsid w:val="00E306D6"/>
    <w:rsid w:val="00E4613D"/>
    <w:rsid w:val="00E865F5"/>
    <w:rsid w:val="00EA1721"/>
    <w:rsid w:val="00EA61A6"/>
    <w:rsid w:val="00F6194A"/>
    <w:rsid w:val="00F6409E"/>
    <w:rsid w:val="00F73A15"/>
    <w:rsid w:val="00FA5BC8"/>
    <w:rsid w:val="00FB400C"/>
    <w:rsid w:val="00FC2A3B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A8AA5F-1FDD-41EE-B60E-5B8E089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link w:val="ListParagraphChar"/>
    <w:uiPriority w:val="1"/>
    <w:qFormat/>
    <w:rsid w:val="00594858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1"/>
    <w:rsid w:val="00594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2019-03-29T18:03:00Z</dcterms:created>
  <dcterms:modified xsi:type="dcterms:W3CDTF">2019-03-29T18:03:00Z</dcterms:modified>
</cp:coreProperties>
</file>