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5D25B4">
        <w:rPr>
          <w:rFonts w:ascii="Times New Roman" w:hAnsi="Times New Roman"/>
          <w:b/>
          <w:bCs/>
          <w:sz w:val="24"/>
        </w:rPr>
        <w:t>791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0F7706" w:rsidRPr="000F7706" w:rsidRDefault="000F7706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0F7706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A8613F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B95705">
        <w:rPr>
          <w:rFonts w:ascii="Times New Roman" w:hAnsi="Times New Roman"/>
          <w:b/>
          <w:bCs/>
          <w:sz w:val="24"/>
        </w:rPr>
        <w:t>180457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B95705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B95705">
        <w:rPr>
          <w:rFonts w:ascii="Times New Roman" w:hAnsi="Times New Roman"/>
          <w:b/>
          <w:sz w:val="24"/>
        </w:rPr>
        <w:t>335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0F7706" w:rsidRDefault="000F7706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0F7706">
        <w:rPr>
          <w:rFonts w:ascii="Times New Roman" w:hAnsi="Times New Roman"/>
          <w:vanish/>
          <w:sz w:val="24"/>
        </w:rPr>
        <w:t>..Body</w:t>
      </w:r>
    </w:p>
    <w:p w:rsidR="000F7706" w:rsidRPr="00226572" w:rsidRDefault="000F7706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2461E2" w:rsidRDefault="00A1624D" w:rsidP="002461E2">
      <w:pPr>
        <w:jc w:val="both"/>
        <w:rPr>
          <w:rFonts w:ascii="Times New Roman" w:hAnsi="Times New Roman"/>
          <w:sz w:val="24"/>
        </w:rPr>
      </w:pPr>
      <w:r w:rsidRPr="002461E2">
        <w:rPr>
          <w:rFonts w:ascii="Times New Roman" w:hAnsi="Times New Roman"/>
          <w:sz w:val="24"/>
        </w:rPr>
        <w:tab/>
      </w:r>
      <w:r w:rsidR="0089419F" w:rsidRPr="002461E2">
        <w:rPr>
          <w:rFonts w:ascii="Times New Roman" w:hAnsi="Times New Roman"/>
          <w:sz w:val="24"/>
        </w:rPr>
        <w:t>WHEREAS, the City Planning Commission f</w:t>
      </w:r>
      <w:r w:rsidR="004B12DD" w:rsidRPr="002461E2">
        <w:rPr>
          <w:rFonts w:ascii="Times New Roman" w:hAnsi="Times New Roman"/>
          <w:sz w:val="24"/>
        </w:rPr>
        <w:t xml:space="preserve">iled with the Council on </w:t>
      </w:r>
      <w:r w:rsidR="00B95705" w:rsidRPr="002461E2">
        <w:rPr>
          <w:rFonts w:ascii="Times New Roman" w:hAnsi="Times New Roman"/>
          <w:sz w:val="24"/>
        </w:rPr>
        <w:t>January 22</w:t>
      </w:r>
      <w:r w:rsidR="0089419F" w:rsidRPr="002461E2">
        <w:rPr>
          <w:rFonts w:ascii="Times New Roman" w:hAnsi="Times New Roman"/>
          <w:sz w:val="24"/>
        </w:rPr>
        <w:t>, 201</w:t>
      </w:r>
      <w:r w:rsidR="008F0BAC" w:rsidRPr="002461E2">
        <w:rPr>
          <w:rFonts w:ascii="Times New Roman" w:hAnsi="Times New Roman"/>
          <w:sz w:val="24"/>
        </w:rPr>
        <w:t xml:space="preserve">9 </w:t>
      </w:r>
      <w:r w:rsidR="0089419F" w:rsidRPr="002461E2">
        <w:rPr>
          <w:rFonts w:ascii="Times New Roman" w:hAnsi="Times New Roman"/>
          <w:sz w:val="24"/>
        </w:rPr>
        <w:t xml:space="preserve"> its decision dated </w:t>
      </w:r>
      <w:r w:rsidR="00B95705" w:rsidRPr="002461E2">
        <w:rPr>
          <w:rFonts w:ascii="Times New Roman" w:hAnsi="Times New Roman"/>
          <w:sz w:val="24"/>
        </w:rPr>
        <w:t>January 9</w:t>
      </w:r>
      <w:r w:rsidR="0089419F" w:rsidRPr="002461E2">
        <w:rPr>
          <w:rFonts w:ascii="Times New Roman" w:hAnsi="Times New Roman"/>
          <w:sz w:val="24"/>
        </w:rPr>
        <w:t>, 201</w:t>
      </w:r>
      <w:r w:rsidR="008F0BAC" w:rsidRPr="002461E2">
        <w:rPr>
          <w:rFonts w:ascii="Times New Roman" w:hAnsi="Times New Roman"/>
          <w:sz w:val="24"/>
        </w:rPr>
        <w:t>9</w:t>
      </w:r>
      <w:r w:rsidR="0089419F" w:rsidRPr="002461E2">
        <w:rPr>
          <w:rFonts w:ascii="Times New Roman" w:hAnsi="Times New Roman"/>
          <w:sz w:val="24"/>
        </w:rPr>
        <w:t xml:space="preserve"> (the "Decision"), </w:t>
      </w:r>
      <w:r w:rsidR="00281FEC" w:rsidRPr="002461E2">
        <w:rPr>
          <w:rFonts w:ascii="Times New Roman" w:hAnsi="Times New Roman"/>
          <w:sz w:val="24"/>
        </w:rPr>
        <w:t xml:space="preserve">on the application submitted by </w:t>
      </w:r>
      <w:r w:rsidR="00B95705" w:rsidRPr="002461E2">
        <w:rPr>
          <w:rFonts w:ascii="Times New Roman" w:hAnsi="Times New Roman"/>
          <w:sz w:val="24"/>
        </w:rPr>
        <w:t>570 Fulton Street Property, LLC, and One Flatbush Avenue Property, LLC,</w:t>
      </w:r>
      <w:r w:rsidR="00B95705" w:rsidRPr="002461E2">
        <w:rPr>
          <w:rFonts w:ascii="Times New Roman" w:hAnsi="Times New Roman"/>
          <w:spacing w:val="-6"/>
          <w:w w:val="105"/>
          <w:sz w:val="24"/>
        </w:rPr>
        <w:t xml:space="preserve"> </w:t>
      </w:r>
      <w:r w:rsidR="00281FEC" w:rsidRPr="002461E2">
        <w:rPr>
          <w:rFonts w:ascii="Times New Roman" w:hAnsi="Times New Roman"/>
          <w:sz w:val="24"/>
        </w:rPr>
        <w:t>pursuant to Section 201 of the New York City Charter,</w:t>
      </w:r>
      <w:r w:rsidR="0089419F" w:rsidRPr="002461E2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B95705" w:rsidRPr="002461E2">
        <w:rPr>
          <w:rFonts w:ascii="Times New Roman" w:hAnsi="Times New Roman"/>
          <w:sz w:val="24"/>
        </w:rPr>
        <w:t xml:space="preserve">modifying Article X, Chapter 1 (Special Downtown Brooklyn District), </w:t>
      </w:r>
      <w:r w:rsidR="00B95705" w:rsidRPr="002461E2">
        <w:rPr>
          <w:rFonts w:ascii="Times New Roman" w:eastAsia="Calibri" w:hAnsi="Times New Roman"/>
          <w:sz w:val="24"/>
        </w:rPr>
        <w:t xml:space="preserve">to establish bulk regulations for C6-9 zoning districts mapped within the Special Downtown Brooklyn District (SDBD) and create a new special permit within the SDBD, </w:t>
      </w:r>
      <w:r w:rsidR="00B95705" w:rsidRPr="002461E2">
        <w:rPr>
          <w:rFonts w:ascii="Times New Roman" w:hAnsi="Times New Roman"/>
          <w:sz w:val="24"/>
        </w:rPr>
        <w:t xml:space="preserve">which in conjunction with the related actions would facilitate the construction of a new, approximately 200,000-square-foot mixed-use development with retail, office and residential units at 570 Fulton Street in the Downtown Brooklyn neighborhood of Community District 2, Brooklyn, </w:t>
      </w:r>
      <w:r w:rsidR="0089419F" w:rsidRPr="002461E2">
        <w:rPr>
          <w:rFonts w:ascii="Times New Roman" w:hAnsi="Times New Roman"/>
          <w:sz w:val="24"/>
        </w:rPr>
        <w:t xml:space="preserve">(Application No. N </w:t>
      </w:r>
      <w:r w:rsidR="008E0814" w:rsidRPr="002461E2">
        <w:rPr>
          <w:rFonts w:ascii="Times New Roman" w:hAnsi="Times New Roman"/>
          <w:sz w:val="24"/>
        </w:rPr>
        <w:t>180457</w:t>
      </w:r>
      <w:r w:rsidR="0089419F" w:rsidRPr="002461E2">
        <w:rPr>
          <w:rFonts w:ascii="Times New Roman" w:hAnsi="Times New Roman"/>
          <w:sz w:val="24"/>
        </w:rPr>
        <w:t xml:space="preserve"> ZR</w:t>
      </w:r>
      <w:r w:rsidR="008E0814" w:rsidRPr="002461E2">
        <w:rPr>
          <w:rFonts w:ascii="Times New Roman" w:hAnsi="Times New Roman"/>
          <w:sz w:val="24"/>
        </w:rPr>
        <w:t>K</w:t>
      </w:r>
      <w:r w:rsidR="0089419F" w:rsidRPr="002461E2">
        <w:rPr>
          <w:rFonts w:ascii="Times New Roman" w:hAnsi="Times New Roman"/>
          <w:sz w:val="24"/>
        </w:rPr>
        <w:t>), (the "Application");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461E2" w:rsidRPr="002461E2" w:rsidRDefault="009B77C3" w:rsidP="002461E2">
      <w:pPr>
        <w:jc w:val="both"/>
        <w:rPr>
          <w:rFonts w:ascii="Times New Roman" w:hAnsi="Times New Roman"/>
          <w:color w:val="000000"/>
          <w:sz w:val="24"/>
        </w:rPr>
      </w:pPr>
      <w:r w:rsidRPr="002461E2">
        <w:rPr>
          <w:rFonts w:ascii="Times New Roman" w:hAnsi="Times New Roman"/>
          <w:sz w:val="24"/>
        </w:rPr>
        <w:tab/>
        <w:t>WHEREAS, the Application is related to application</w:t>
      </w:r>
      <w:r w:rsidR="002461E2" w:rsidRPr="002461E2">
        <w:rPr>
          <w:rFonts w:ascii="Times New Roman" w:hAnsi="Times New Roman"/>
          <w:sz w:val="24"/>
        </w:rPr>
        <w:t>s C 180458 ZSK (L.U. No. 336), a special permit to modify to bulk regulations on irregular sites in C6-9 districts within the SDBD</w:t>
      </w:r>
      <w:r w:rsidR="002461E2">
        <w:rPr>
          <w:rFonts w:ascii="Times New Roman" w:hAnsi="Times New Roman"/>
          <w:sz w:val="24"/>
        </w:rPr>
        <w:t xml:space="preserve"> and</w:t>
      </w:r>
    </w:p>
    <w:p w:rsidR="002461E2" w:rsidRDefault="002461E2" w:rsidP="002461E2">
      <w:pPr>
        <w:jc w:val="both"/>
        <w:rPr>
          <w:rFonts w:ascii="Times New Roman" w:hAnsi="Times New Roman"/>
          <w:sz w:val="24"/>
        </w:rPr>
      </w:pPr>
      <w:r w:rsidRPr="002461E2">
        <w:rPr>
          <w:rFonts w:ascii="Times New Roman" w:hAnsi="Times New Roman"/>
          <w:bCs/>
          <w:sz w:val="24"/>
        </w:rPr>
        <w:t>C 180459 ZMK (L.U. No. 337), a zoning map amendment to rezone the project area from C6-4 to C6-9 within the SDBD</w:t>
      </w:r>
      <w:r>
        <w:rPr>
          <w:rFonts w:ascii="Times New Roman" w:hAnsi="Times New Roman"/>
          <w:bCs/>
          <w:sz w:val="24"/>
        </w:rPr>
        <w:t>;</w:t>
      </w:r>
    </w:p>
    <w:p w:rsidR="002461E2" w:rsidRDefault="002461E2" w:rsidP="00A1624D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</w:r>
      <w:proofErr w:type="gramStart"/>
      <w:r w:rsidRPr="00226572">
        <w:rPr>
          <w:rFonts w:ascii="Times New Roman" w:hAnsi="Times New Roman"/>
          <w:sz w:val="24"/>
        </w:rPr>
        <w:t>d(</w:t>
      </w:r>
      <w:proofErr w:type="gramEnd"/>
      <w:r w:rsidRPr="00226572">
        <w:rPr>
          <w:rFonts w:ascii="Times New Roman" w:hAnsi="Times New Roman"/>
          <w:sz w:val="24"/>
        </w:rPr>
        <w:t>b)(1) of the City Charter;</w:t>
      </w:r>
    </w:p>
    <w:p w:rsidR="004B49F3" w:rsidRPr="00226572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2461E2">
        <w:rPr>
          <w:rFonts w:ascii="Times New Roman" w:hAnsi="Times New Roman"/>
          <w:sz w:val="24"/>
        </w:rPr>
        <w:t>January 31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461E2">
        <w:rPr>
          <w:rFonts w:ascii="Times New Roman" w:hAnsi="Times New Roman"/>
          <w:sz w:val="24"/>
        </w:rPr>
        <w:tab/>
        <w:t>WHEREAS, the Council has considered the relevant environmental issues, including the negative declaration issued August 20th, 2018</w:t>
      </w:r>
      <w:r w:rsidRPr="002461E2">
        <w:rPr>
          <w:rFonts w:ascii="Times New Roman" w:hAnsi="Times New Roman"/>
          <w:bCs/>
          <w:sz w:val="24"/>
        </w:rPr>
        <w:t xml:space="preserve"> </w:t>
      </w:r>
      <w:r w:rsidRPr="002461E2">
        <w:rPr>
          <w:rFonts w:ascii="Times New Roman" w:hAnsi="Times New Roman"/>
          <w:sz w:val="24"/>
        </w:rPr>
        <w:t>(CEQR No. 18DCP111K), which includes an (E) designation to avoid the potential for significant adverse</w:t>
      </w:r>
      <w:r w:rsidR="00B00DF0">
        <w:rPr>
          <w:rFonts w:ascii="Times New Roman" w:hAnsi="Times New Roman"/>
          <w:sz w:val="24"/>
        </w:rPr>
        <w:t xml:space="preserve"> impacts related to air quality</w:t>
      </w:r>
      <w:r w:rsidRPr="002461E2">
        <w:rPr>
          <w:rFonts w:ascii="Times New Roman" w:hAnsi="Times New Roman"/>
          <w:sz w:val="24"/>
        </w:rPr>
        <w:t xml:space="preserve"> and noise (E-490) (the “Negative Declaration”).  </w:t>
      </w:r>
    </w:p>
    <w:p w:rsidR="002461E2" w:rsidRPr="002461E2" w:rsidRDefault="002461E2" w:rsidP="002461E2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2461E2" w:rsidRPr="002461E2" w:rsidRDefault="002461E2" w:rsidP="002461E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2461E2">
        <w:rPr>
          <w:rFonts w:ascii="Times New Roman" w:hAnsi="Times New Roman"/>
          <w:snapToGrid w:val="0"/>
          <w:sz w:val="24"/>
        </w:rPr>
        <w:t>RESOLVED:</w:t>
      </w:r>
    </w:p>
    <w:p w:rsidR="002461E2" w:rsidRPr="002461E2" w:rsidRDefault="002461E2" w:rsidP="002461E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2461E2" w:rsidRPr="002461E2" w:rsidRDefault="002461E2" w:rsidP="002461E2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2461E2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(E-490) and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B00DF0" w:rsidRDefault="00B00DF0" w:rsidP="002F6BAD">
      <w:pPr>
        <w:jc w:val="both"/>
        <w:rPr>
          <w:rFonts w:ascii="Times New Roman" w:hAnsi="Times New Roman"/>
          <w:sz w:val="24"/>
        </w:rPr>
      </w:pPr>
    </w:p>
    <w:p w:rsidR="002C42CD" w:rsidRPr="00226572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6225B7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2461E2">
        <w:rPr>
          <w:rFonts w:ascii="Times New Roman" w:hAnsi="Times New Roman"/>
          <w:sz w:val="24"/>
        </w:rPr>
        <w:t>180457 ZRK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>incorporated by reference herein,</w:t>
      </w:r>
      <w:r w:rsidR="002461E2" w:rsidRPr="002461E2">
        <w:rPr>
          <w:rFonts w:ascii="Times New Roman" w:hAnsi="Times New Roman"/>
          <w:snapToGrid w:val="0"/>
          <w:sz w:val="24"/>
          <w:szCs w:val="20"/>
        </w:rPr>
        <w:t xml:space="preserve"> and the record before the Council,</w:t>
      </w:r>
      <w:r w:rsidR="002461E2" w:rsidRPr="002461E2">
        <w:rPr>
          <w:rFonts w:ascii="Times New Roman" w:hAnsi="Times New Roman"/>
          <w:snapToGrid w:val="0"/>
          <w:sz w:val="24"/>
        </w:rPr>
        <w:t xml:space="preserve">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8613F">
        <w:rPr>
          <w:rFonts w:ascii="Times New Roman" w:hAnsi="Times New Roman"/>
          <w:sz w:val="24"/>
        </w:rPr>
        <w:t xml:space="preserve"> with the following modifications:</w:t>
      </w:r>
    </w:p>
    <w:p w:rsidR="00AF2D7C" w:rsidRDefault="00AF2D7C" w:rsidP="002461E2">
      <w:pPr>
        <w:jc w:val="both"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2461E2">
        <w:rPr>
          <w:rFonts w:ascii="Times New Roman" w:hAnsi="Times New Roman"/>
          <w:color w:val="222222"/>
          <w:sz w:val="24"/>
        </w:rPr>
        <w:t xml:space="preserve">Matter </w:t>
      </w:r>
      <w:r w:rsidRPr="002461E2">
        <w:rPr>
          <w:rFonts w:ascii="Times New Roman" w:hAnsi="Times New Roman"/>
          <w:color w:val="222222"/>
          <w:sz w:val="24"/>
          <w:u w:val="single"/>
        </w:rPr>
        <w:t>underlined</w:t>
      </w:r>
      <w:r w:rsidRPr="002461E2">
        <w:rPr>
          <w:rFonts w:ascii="Times New Roman" w:hAnsi="Times New Roman"/>
          <w:color w:val="222222"/>
          <w:sz w:val="24"/>
        </w:rPr>
        <w:t> is new, to be added;</w:t>
      </w:r>
    </w:p>
    <w:p w:rsidR="002461E2" w:rsidRPr="002461E2" w:rsidRDefault="002461E2" w:rsidP="002461E2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2461E2">
        <w:rPr>
          <w:rFonts w:ascii="Times New Roman" w:hAnsi="Times New Roman"/>
          <w:color w:val="222222"/>
          <w:sz w:val="24"/>
        </w:rPr>
        <w:t xml:space="preserve">Matter </w:t>
      </w:r>
      <w:r w:rsidRPr="002461E2">
        <w:rPr>
          <w:rFonts w:ascii="Times New Roman" w:hAnsi="Times New Roman"/>
          <w:strike/>
          <w:color w:val="222222"/>
          <w:sz w:val="24"/>
        </w:rPr>
        <w:t>struck out</w:t>
      </w:r>
      <w:r w:rsidRPr="002461E2">
        <w:rPr>
          <w:rFonts w:ascii="Times New Roman" w:hAnsi="Times New Roman"/>
          <w:color w:val="222222"/>
          <w:sz w:val="24"/>
        </w:rPr>
        <w:t> is to be deleted;</w:t>
      </w:r>
    </w:p>
    <w:p w:rsidR="002461E2" w:rsidRDefault="002461E2" w:rsidP="002461E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  <w:r w:rsidRPr="002461E2">
        <w:rPr>
          <w:rFonts w:ascii="Times New Roman" w:hAnsi="Times New Roman"/>
          <w:color w:val="222222"/>
          <w:sz w:val="24"/>
        </w:rPr>
        <w:t>Matter within # # is defined in Section 12-10;</w:t>
      </w:r>
    </w:p>
    <w:p w:rsidR="00D34DC4" w:rsidRPr="00C70A6D" w:rsidRDefault="00D34DC4" w:rsidP="00D34DC4">
      <w:pPr>
        <w:rPr>
          <w:rFonts w:ascii="Times New Roman" w:hAnsi="Times New Roman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dstrike/>
          <w:sz w:val="24"/>
        </w:rPr>
        <w:t>double struck out</w:t>
      </w:r>
      <w:r w:rsidRPr="00C70A6D">
        <w:rPr>
          <w:rFonts w:ascii="Times New Roman" w:hAnsi="Times New Roman"/>
          <w:sz w:val="24"/>
        </w:rPr>
        <w:t xml:space="preserve"> is old, deleted by the City Council;</w:t>
      </w:r>
    </w:p>
    <w:p w:rsidR="00D34DC4" w:rsidRPr="002461E2" w:rsidRDefault="00D34DC4" w:rsidP="00D34DC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sz w:val="24"/>
          <w:u w:val="double"/>
        </w:rPr>
        <w:t>double-underlined</w:t>
      </w:r>
      <w:r w:rsidRPr="00C70A6D">
        <w:rPr>
          <w:rFonts w:ascii="Times New Roman" w:hAnsi="Times New Roman"/>
          <w:sz w:val="24"/>
        </w:rPr>
        <w:t xml:space="preserve"> is new, added by the City Council</w:t>
      </w:r>
    </w:p>
    <w:p w:rsidR="002461E2" w:rsidRPr="002461E2" w:rsidRDefault="002461E2" w:rsidP="002461E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  <w:r w:rsidRPr="002461E2">
        <w:rPr>
          <w:rFonts w:ascii="Times New Roman" w:hAnsi="Times New Roman"/>
          <w:color w:val="222222"/>
          <w:sz w:val="24"/>
        </w:rPr>
        <w:t>*</w:t>
      </w:r>
      <w:proofErr w:type="gramStart"/>
      <w:r w:rsidRPr="002461E2">
        <w:rPr>
          <w:rFonts w:ascii="Times New Roman" w:hAnsi="Times New Roman"/>
          <w:color w:val="222222"/>
          <w:sz w:val="24"/>
        </w:rPr>
        <w:t>  *</w:t>
      </w:r>
      <w:proofErr w:type="gramEnd"/>
      <w:r w:rsidRPr="002461E2">
        <w:rPr>
          <w:rFonts w:ascii="Times New Roman" w:hAnsi="Times New Roman"/>
          <w:color w:val="222222"/>
          <w:sz w:val="24"/>
        </w:rPr>
        <w:t>  * indicates where unchanged text appears in the Zoning Resolution</w:t>
      </w:r>
    </w:p>
    <w:p w:rsidR="002461E2" w:rsidRPr="002461E2" w:rsidRDefault="002461E2" w:rsidP="002461E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autoSpaceDE/>
        <w:autoSpaceDN/>
        <w:adjustRightInd/>
        <w:rPr>
          <w:rFonts w:ascii="Times New Roman" w:hAnsi="Times New Roman"/>
          <w:sz w:val="24"/>
          <w:szCs w:val="19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ARTICLE X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SPECIAL PURPOSE DISTRICTS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Chapter 1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Special Downtown Brooklyn District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sz w:val="24"/>
        </w:rPr>
      </w:pPr>
      <w:r w:rsidRPr="002461E2">
        <w:rPr>
          <w:rFonts w:ascii="Times New Roman" w:hAnsi="Times New Roman"/>
          <w:b/>
          <w:sz w:val="24"/>
        </w:rPr>
        <w:t>101-20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sz w:val="24"/>
        </w:rPr>
      </w:pPr>
      <w:r w:rsidRPr="002461E2">
        <w:rPr>
          <w:rFonts w:ascii="Times New Roman" w:hAnsi="Times New Roman"/>
          <w:b/>
          <w:sz w:val="24"/>
        </w:rPr>
        <w:t>SPECIAL BULK REGULATIONS</w:t>
      </w:r>
    </w:p>
    <w:p w:rsidR="002461E2" w:rsidRPr="002461E2" w:rsidRDefault="002461E2" w:rsidP="002461E2">
      <w:pPr>
        <w:widowControl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101-21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Special Floor Area and Lot Coverage Regulations</w:t>
      </w:r>
    </w:p>
    <w:p w:rsidR="002461E2" w:rsidRPr="002461E2" w:rsidRDefault="002461E2" w:rsidP="002461E2">
      <w:pPr>
        <w:widowControl/>
        <w:rPr>
          <w:rFonts w:ascii="Times New Roman" w:hAnsi="Times New Roman"/>
          <w:bCs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Cs/>
          <w:sz w:val="24"/>
          <w:u w:val="single"/>
        </w:rPr>
      </w:pPr>
      <w:r w:rsidRPr="002461E2">
        <w:rPr>
          <w:rFonts w:ascii="Times New Roman" w:hAnsi="Times New Roman"/>
          <w:bCs/>
          <w:sz w:val="24"/>
        </w:rPr>
        <w:t>R7-1   C6-1   C6-4.5   C6-6</w:t>
      </w:r>
      <w:r w:rsidRPr="002461E2">
        <w:rPr>
          <w:rFonts w:ascii="Times New Roman" w:hAnsi="Times New Roman"/>
          <w:bCs/>
          <w:sz w:val="24"/>
        </w:rPr>
        <w:tab/>
        <w:t>C6-9</w:t>
      </w:r>
    </w:p>
    <w:p w:rsidR="002461E2" w:rsidRPr="002461E2" w:rsidRDefault="002461E2" w:rsidP="002461E2">
      <w:pPr>
        <w:widowControl/>
        <w:rPr>
          <w:rFonts w:ascii="Times New Roman" w:hAnsi="Times New Roman"/>
          <w:bCs/>
          <w:sz w:val="24"/>
          <w:u w:val="single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sz w:val="24"/>
        </w:rPr>
      </w:pPr>
      <w:r w:rsidRPr="002461E2">
        <w:rPr>
          <w:rFonts w:ascii="Times New Roman" w:hAnsi="Times New Roman"/>
          <w:sz w:val="24"/>
        </w:rPr>
        <w:t xml:space="preserve">(e) </w:t>
      </w:r>
      <w:r w:rsidRPr="002461E2">
        <w:rPr>
          <w:rFonts w:ascii="Times New Roman" w:hAnsi="Times New Roman"/>
          <w:sz w:val="24"/>
        </w:rPr>
        <w:tab/>
        <w:t>In C6-9 Districts</w:t>
      </w:r>
    </w:p>
    <w:p w:rsidR="002461E2" w:rsidRPr="002461E2" w:rsidRDefault="002461E2" w:rsidP="002461E2">
      <w:pPr>
        <w:widowControl/>
        <w:autoSpaceDE/>
        <w:autoSpaceDN/>
        <w:adjustRightInd/>
        <w:rPr>
          <w:rFonts w:ascii="Times New Roman" w:hAnsi="Times New Roman"/>
          <w:sz w:val="24"/>
          <w:szCs w:val="19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19"/>
          <w:u w:val="single"/>
        </w:rPr>
      </w:pPr>
      <w:r w:rsidRPr="002461E2">
        <w:rPr>
          <w:rFonts w:ascii="Times New Roman" w:hAnsi="Times New Roman"/>
          <w:sz w:val="24"/>
          <w:szCs w:val="19"/>
          <w:u w:val="single"/>
        </w:rPr>
        <w:t xml:space="preserve">In C6-9 Districts, the maximum permitted #floor area ratio# for #commercial# or #community facility uses# shall be 18.0, and no #commercial# or #community facility floor area# bonuses shall </w:t>
      </w:r>
      <w:r w:rsidRPr="002461E2">
        <w:rPr>
          <w:rFonts w:ascii="Times New Roman" w:hAnsi="Times New Roman"/>
          <w:sz w:val="24"/>
          <w:szCs w:val="19"/>
          <w:u w:val="single"/>
        </w:rPr>
        <w:lastRenderedPageBreak/>
        <w:t>be permitted. In addition, #residential floor area ratio# may be increased only pursuant to the applicable provisions of Section 23-154 (Inclusionary Housing), and no other #residential floor area# bonuses shall be permitted.</w:t>
      </w:r>
    </w:p>
    <w:p w:rsidR="002461E2" w:rsidRPr="002461E2" w:rsidRDefault="002461E2" w:rsidP="002461E2">
      <w:pPr>
        <w:widowControl/>
        <w:autoSpaceDE/>
        <w:autoSpaceDN/>
        <w:adjustRightInd/>
        <w:rPr>
          <w:rFonts w:ascii="Times New Roman" w:hAnsi="Times New Roman"/>
          <w:sz w:val="24"/>
          <w:szCs w:val="19"/>
          <w:u w:val="single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  <w:u w:val="single"/>
        </w:rPr>
        <w:t>However,</w:t>
      </w:r>
      <w:r w:rsidRPr="002461E2">
        <w:rPr>
          <w:rFonts w:ascii="Times New Roman" w:hAnsi="Times New Roman"/>
          <w:sz w:val="24"/>
          <w:szCs w:val="19"/>
        </w:rPr>
        <w:t xml:space="preserve"> </w:t>
      </w:r>
      <w:r w:rsidRPr="002461E2">
        <w:rPr>
          <w:rFonts w:ascii="Times New Roman" w:hAnsi="Times New Roman"/>
          <w:strike/>
          <w:sz w:val="24"/>
          <w:szCs w:val="19"/>
        </w:rPr>
        <w:t>In</w:t>
      </w:r>
      <w:r w:rsidRPr="002461E2">
        <w:rPr>
          <w:rFonts w:ascii="Times New Roman" w:hAnsi="Times New Roman"/>
          <w:sz w:val="24"/>
          <w:szCs w:val="19"/>
        </w:rPr>
        <w:t xml:space="preserve"> </w:t>
      </w:r>
      <w:r w:rsidRPr="002461E2">
        <w:rPr>
          <w:rFonts w:ascii="Times New Roman" w:hAnsi="Times New Roman"/>
          <w:sz w:val="24"/>
          <w:szCs w:val="19"/>
          <w:u w:val="single"/>
        </w:rPr>
        <w:t>in the</w:t>
      </w:r>
      <w:r w:rsidRPr="002461E2">
        <w:rPr>
          <w:rFonts w:ascii="Times New Roman" w:hAnsi="Times New Roman"/>
          <w:sz w:val="24"/>
          <w:szCs w:val="19"/>
        </w:rPr>
        <w:t xml:space="preserve"> C6-9 District</w:t>
      </w:r>
      <w:r w:rsidRPr="002461E2">
        <w:rPr>
          <w:rFonts w:ascii="Times New Roman" w:hAnsi="Times New Roman"/>
          <w:strike/>
          <w:sz w:val="24"/>
          <w:szCs w:val="19"/>
        </w:rPr>
        <w:t>s</w:t>
      </w:r>
      <w:r w:rsidRPr="002461E2">
        <w:rPr>
          <w:rFonts w:ascii="Times New Roman" w:hAnsi="Times New Roman"/>
          <w:sz w:val="24"/>
          <w:szCs w:val="19"/>
        </w:rPr>
        <w:t xml:space="preserve"> </w:t>
      </w:r>
      <w:r w:rsidRPr="002461E2">
        <w:rPr>
          <w:rFonts w:ascii="Times New Roman" w:hAnsi="Times New Roman"/>
          <w:sz w:val="24"/>
          <w:szCs w:val="19"/>
          <w:u w:val="single"/>
        </w:rPr>
        <w:t xml:space="preserve">bounded by Flatbush Avenue, State Street, 3rd Avenue and </w:t>
      </w:r>
      <w:proofErr w:type="spellStart"/>
      <w:r w:rsidRPr="002461E2">
        <w:rPr>
          <w:rFonts w:ascii="Times New Roman" w:hAnsi="Times New Roman"/>
          <w:sz w:val="24"/>
          <w:szCs w:val="19"/>
          <w:u w:val="single"/>
        </w:rPr>
        <w:t>Schermerhorn</w:t>
      </w:r>
      <w:proofErr w:type="spellEnd"/>
      <w:r w:rsidRPr="002461E2">
        <w:rPr>
          <w:rFonts w:ascii="Times New Roman" w:hAnsi="Times New Roman"/>
          <w:sz w:val="24"/>
          <w:szCs w:val="19"/>
          <w:u w:val="single"/>
        </w:rPr>
        <w:t xml:space="preserve"> Street</w:t>
      </w:r>
      <w:r w:rsidRPr="002461E2">
        <w:rPr>
          <w:rFonts w:ascii="Times New Roman" w:hAnsi="Times New Roman"/>
          <w:sz w:val="24"/>
          <w:szCs w:val="19"/>
        </w:rPr>
        <w:t>, the maximum permitted #floor area ratio# for #commercial# or #community facility uses# shall be 12.0, and the maximum #residential floor area ratio# shall be 9.0. No #floor area# bonuses shall be permitted. However, on a #zoning lot# with a minimum #lot area# of 50,000 square feet improved with public #schools# containing at least 100,000 square feet of floor space #developed# pursuant to an agreement with the New York City Educational Construction Fund, the maximum permitted #floor area ratio# for #commercial# or #community facility uses# shall be 15.0, and the maximum #residential floor area ratio# shall be 12.0. Up to 46,050 square feet of floor space within such public #schools# shall be exempt from the definition of #floor area# for the purposes of calculating the permitted #floor area ratio# for #community facility uses# and the total maximum #floor area ratio# of the #zoning lot# In addition, any #building# containing #residences# may be #developed# in accordance with the Quality Housing Program and the regulations of Article II, Chapter 8 shall apply. In such instances, the #bulk# regulations of this Chapter shall</w:t>
      </w:r>
    </w:p>
    <w:p w:rsidR="002461E2" w:rsidRPr="002461E2" w:rsidRDefault="002461E2" w:rsidP="002461E2">
      <w:pPr>
        <w:widowControl/>
        <w:autoSpaceDE/>
        <w:autoSpaceDN/>
        <w:adjustRightInd/>
        <w:rPr>
          <w:rFonts w:ascii="Times New Roman" w:hAnsi="Times New Roman"/>
          <w:sz w:val="24"/>
          <w:szCs w:val="19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101-80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  <w:r w:rsidRPr="002461E2">
        <w:rPr>
          <w:rFonts w:ascii="Times New Roman" w:hAnsi="Times New Roman"/>
          <w:b/>
          <w:bCs/>
          <w:sz w:val="24"/>
        </w:rPr>
        <w:t>SPECIAL PERMITS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</w:rPr>
      </w:pP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  <w:u w:val="single"/>
        </w:rPr>
      </w:pPr>
      <w:r w:rsidRPr="002461E2">
        <w:rPr>
          <w:rFonts w:ascii="Times New Roman" w:hAnsi="Times New Roman"/>
          <w:b/>
          <w:sz w:val="24"/>
          <w:u w:val="single"/>
        </w:rPr>
        <w:t>101-82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  <w:u w:val="single"/>
        </w:rPr>
      </w:pPr>
      <w:r w:rsidRPr="002461E2">
        <w:rPr>
          <w:rFonts w:ascii="Times New Roman" w:hAnsi="Times New Roman"/>
          <w:b/>
          <w:bCs/>
          <w:sz w:val="24"/>
          <w:u w:val="single"/>
        </w:rPr>
        <w:t>Modification of Bulk Regulations for Certain Buildings on Irregular Sites</w:t>
      </w:r>
    </w:p>
    <w:p w:rsidR="002461E2" w:rsidRPr="002461E2" w:rsidRDefault="002461E2" w:rsidP="002461E2">
      <w:pPr>
        <w:widowControl/>
        <w:rPr>
          <w:rFonts w:ascii="Times New Roman" w:hAnsi="Times New Roman"/>
          <w:b/>
          <w:bCs/>
          <w:sz w:val="24"/>
          <w:u w:val="single"/>
        </w:rPr>
      </w:pPr>
    </w:p>
    <w:p w:rsidR="002461E2" w:rsidRPr="002461E2" w:rsidRDefault="002461E2" w:rsidP="002461E2">
      <w:pPr>
        <w:widowControl/>
        <w:jc w:val="both"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>In C6-9 Districts within the #Special Downtown Brooklyn District#, mapped after [date of adoption], for #developments# or #enlargements# on irregular sites, the City Planning Commission may modify underlying #bulk# regulations, other than #floor area ratio#, provided that</w:t>
      </w:r>
      <w:r w:rsidR="00851AAB">
        <w:rPr>
          <w:rFonts w:ascii="Times New Roman" w:hAnsi="Times New Roman"/>
          <w:sz w:val="24"/>
          <w:u w:val="single"/>
        </w:rPr>
        <w:t xml:space="preserve"> </w:t>
      </w:r>
      <w:r w:rsidR="00851AAB" w:rsidRPr="00851AAB">
        <w:rPr>
          <w:rFonts w:ascii="Times New Roman" w:hAnsi="Times New Roman"/>
          <w:sz w:val="24"/>
          <w:u w:val="double"/>
        </w:rPr>
        <w:t>no Use Group 5 #use# shall be permitted in any portion of the #building# receiving such modifications, and</w:t>
      </w:r>
      <w:r w:rsidRPr="002461E2">
        <w:rPr>
          <w:rFonts w:ascii="Times New Roman" w:hAnsi="Times New Roman"/>
          <w:sz w:val="24"/>
          <w:u w:val="single"/>
        </w:rPr>
        <w:t>:</w:t>
      </w:r>
    </w:p>
    <w:p w:rsidR="002461E2" w:rsidRPr="002461E2" w:rsidRDefault="002461E2" w:rsidP="002461E2">
      <w:pPr>
        <w:widowControl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numPr>
          <w:ilvl w:val="0"/>
          <w:numId w:val="10"/>
        </w:numPr>
        <w:autoSpaceDE/>
        <w:autoSpaceDN/>
        <w:adjustRightInd/>
        <w:ind w:left="720"/>
        <w:contextualSpacing/>
        <w:jc w:val="both"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 xml:space="preserve">there are physical conditions, including irregularity, narrowness or shallowness of lot shape or size that create practical difficulties in complying with the #bulk# regulations and would adversely affect the #building# configuration or site plan; </w:t>
      </w:r>
    </w:p>
    <w:p w:rsidR="002461E2" w:rsidRPr="002461E2" w:rsidRDefault="002461E2" w:rsidP="002461E2">
      <w:pPr>
        <w:widowControl/>
        <w:ind w:left="720"/>
        <w:contextualSpacing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ind w:left="720"/>
        <w:contextualSpacing/>
        <w:jc w:val="both"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>the practical difficulties of developing on the #zoning lot# have not been created by the   owner or by a predecessor in title;</w:t>
      </w:r>
    </w:p>
    <w:p w:rsidR="002461E2" w:rsidRPr="002461E2" w:rsidRDefault="002461E2" w:rsidP="002461E2">
      <w:pPr>
        <w:widowControl/>
        <w:autoSpaceDE/>
        <w:autoSpaceDN/>
        <w:adjustRightInd/>
        <w:ind w:left="720"/>
        <w:contextualSpacing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numPr>
          <w:ilvl w:val="0"/>
          <w:numId w:val="10"/>
        </w:numPr>
        <w:autoSpaceDE/>
        <w:autoSpaceDN/>
        <w:adjustRightInd/>
        <w:ind w:left="720"/>
        <w:contextualSpacing/>
        <w:jc w:val="both"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>the proposed modifications are limited to the minimum needed to relieve such difficulties;</w:t>
      </w:r>
    </w:p>
    <w:p w:rsidR="002461E2" w:rsidRPr="002461E2" w:rsidRDefault="002461E2" w:rsidP="002461E2">
      <w:pPr>
        <w:widowControl/>
        <w:autoSpaceDE/>
        <w:autoSpaceDN/>
        <w:adjustRightInd/>
        <w:ind w:left="720"/>
        <w:contextualSpacing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numPr>
          <w:ilvl w:val="0"/>
          <w:numId w:val="10"/>
        </w:numPr>
        <w:autoSpaceDE/>
        <w:autoSpaceDN/>
        <w:adjustRightInd/>
        <w:ind w:left="720"/>
        <w:contextualSpacing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>the proposed modifications will not unduly obstruct access of light and air to adjoining properties or #streets#; and</w:t>
      </w:r>
    </w:p>
    <w:p w:rsidR="002461E2" w:rsidRPr="002461E2" w:rsidRDefault="002461E2" w:rsidP="002461E2">
      <w:pPr>
        <w:widowControl/>
        <w:autoSpaceDE/>
        <w:autoSpaceDN/>
        <w:adjustRightInd/>
        <w:ind w:left="720"/>
        <w:contextualSpacing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numPr>
          <w:ilvl w:val="0"/>
          <w:numId w:val="10"/>
        </w:numPr>
        <w:autoSpaceDE/>
        <w:autoSpaceDN/>
        <w:adjustRightInd/>
        <w:ind w:left="720"/>
        <w:contextualSpacing/>
        <w:jc w:val="both"/>
        <w:rPr>
          <w:rFonts w:ascii="Times New Roman" w:hAnsi="Times New Roman"/>
          <w:sz w:val="24"/>
          <w:u w:val="single"/>
        </w:rPr>
      </w:pPr>
      <w:proofErr w:type="gramStart"/>
      <w:r w:rsidRPr="002461E2">
        <w:rPr>
          <w:rFonts w:ascii="Times New Roman" w:hAnsi="Times New Roman"/>
          <w:sz w:val="24"/>
          <w:u w:val="single"/>
        </w:rPr>
        <w:t>the</w:t>
      </w:r>
      <w:proofErr w:type="gramEnd"/>
      <w:r w:rsidRPr="002461E2">
        <w:rPr>
          <w:rFonts w:ascii="Times New Roman" w:hAnsi="Times New Roman"/>
          <w:sz w:val="24"/>
          <w:u w:val="single"/>
        </w:rPr>
        <w:t xml:space="preserve"> proposed scale and placement of the #development# or #enlargement# relates harmoniously with the surrounding area. </w:t>
      </w:r>
    </w:p>
    <w:p w:rsidR="002461E2" w:rsidRPr="002461E2" w:rsidRDefault="002461E2" w:rsidP="002461E2">
      <w:pPr>
        <w:widowControl/>
        <w:rPr>
          <w:rFonts w:ascii="Times New Roman" w:hAnsi="Times New Roman"/>
          <w:sz w:val="24"/>
          <w:u w:val="single"/>
        </w:rPr>
      </w:pPr>
    </w:p>
    <w:p w:rsidR="002461E2" w:rsidRPr="002461E2" w:rsidRDefault="002461E2" w:rsidP="002461E2">
      <w:pPr>
        <w:widowControl/>
        <w:jc w:val="both"/>
        <w:rPr>
          <w:rFonts w:ascii="Times New Roman" w:hAnsi="Times New Roman"/>
          <w:sz w:val="24"/>
          <w:u w:val="single"/>
        </w:rPr>
      </w:pPr>
      <w:r w:rsidRPr="002461E2">
        <w:rPr>
          <w:rFonts w:ascii="Times New Roman" w:hAnsi="Times New Roman"/>
          <w:sz w:val="24"/>
          <w:u w:val="single"/>
        </w:rPr>
        <w:t xml:space="preserve">The Commission may prescribe additional conditions and safeguards to minimize adverse effects on the character of the surrounding area and to improve the quality of the site configuration. </w:t>
      </w:r>
    </w:p>
    <w:p w:rsidR="002461E2" w:rsidRPr="002461E2" w:rsidRDefault="002461E2" w:rsidP="002461E2">
      <w:pPr>
        <w:widowControl/>
        <w:ind w:firstLine="720"/>
        <w:rPr>
          <w:rFonts w:ascii="Times New Roman" w:hAnsi="Times New Roman"/>
          <w:sz w:val="24"/>
        </w:rPr>
      </w:pPr>
    </w:p>
    <w:p w:rsidR="002461E2" w:rsidRPr="002461E2" w:rsidRDefault="002461E2" w:rsidP="002461E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19"/>
        </w:rPr>
      </w:pPr>
      <w:r w:rsidRPr="002461E2">
        <w:rPr>
          <w:rFonts w:ascii="Times New Roman" w:hAnsi="Times New Roman"/>
          <w:sz w:val="24"/>
          <w:szCs w:val="19"/>
        </w:rPr>
        <w:t>*  *  *</w:t>
      </w:r>
    </w:p>
    <w:p w:rsidR="002461E2" w:rsidRDefault="002461E2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</w:t>
      </w:r>
      <w:proofErr w:type="gramStart"/>
      <w:r w:rsidRPr="00226572">
        <w:rPr>
          <w:rFonts w:ascii="Times New Roman" w:hAnsi="Times New Roman"/>
          <w:sz w:val="24"/>
        </w:rPr>
        <w:t>, }</w:t>
      </w:r>
      <w:proofErr w:type="gramEnd"/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</w:t>
      </w:r>
      <w:proofErr w:type="gramStart"/>
      <w:r w:rsidRPr="00226572">
        <w:rPr>
          <w:rFonts w:ascii="Times New Roman" w:hAnsi="Times New Roman"/>
          <w:sz w:val="24"/>
        </w:rPr>
        <w:t>,  }</w:t>
      </w:r>
      <w:proofErr w:type="gramEnd"/>
      <w:r w:rsidRPr="00226572">
        <w:rPr>
          <w:rFonts w:ascii="Times New Roman" w:hAnsi="Times New Roman"/>
          <w:sz w:val="24"/>
        </w:rPr>
        <w:t xml:space="preserve">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5D25B4">
        <w:t>March 13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 xml:space="preserve">City Clerk, Clerk of </w:t>
      </w:r>
      <w:proofErr w:type="gramStart"/>
      <w:r w:rsidRPr="00226572">
        <w:rPr>
          <w:rFonts w:ascii="Times New Roman" w:hAnsi="Times New Roman"/>
          <w:sz w:val="24"/>
        </w:rPr>
        <w:t>The</w:t>
      </w:r>
      <w:proofErr w:type="gramEnd"/>
      <w:r w:rsidRPr="00226572">
        <w:rPr>
          <w:rFonts w:ascii="Times New Roman" w:hAnsi="Times New Roman"/>
          <w:sz w:val="24"/>
        </w:rPr>
        <w:t xml:space="preserve">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86" w:rsidRDefault="006D0186">
      <w:r>
        <w:separator/>
      </w:r>
    </w:p>
  </w:endnote>
  <w:endnote w:type="continuationSeparator" w:id="0">
    <w:p w:rsidR="006D0186" w:rsidRDefault="006D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86" w:rsidRDefault="006D0186">
      <w:r>
        <w:separator/>
      </w:r>
    </w:p>
  </w:footnote>
  <w:footnote w:type="continuationSeparator" w:id="0">
    <w:p w:rsidR="006D0186" w:rsidRDefault="006D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0F7706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1624D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B00DF0">
      <w:rPr>
        <w:rFonts w:ascii="Times New Roman" w:hAnsi="Times New Roman"/>
        <w:b/>
      </w:rPr>
      <w:t>180457</w:t>
    </w:r>
    <w:r w:rsidR="00A1624D">
      <w:rPr>
        <w:rFonts w:ascii="Times New Roman" w:hAnsi="Times New Roman"/>
        <w:b/>
      </w:rPr>
      <w:t xml:space="preserve"> ZRK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5D25B4">
      <w:rPr>
        <w:rFonts w:ascii="Times New Roman" w:hAnsi="Times New Roman"/>
        <w:b/>
      </w:rPr>
      <w:t>791</w:t>
    </w:r>
    <w:r>
      <w:rPr>
        <w:rFonts w:ascii="Times New Roman" w:hAnsi="Times New Roman"/>
        <w:b/>
      </w:rPr>
      <w:t xml:space="preserve"> (L.U. No. </w:t>
    </w:r>
    <w:r w:rsidR="00B00DF0">
      <w:rPr>
        <w:rFonts w:ascii="Times New Roman" w:hAnsi="Times New Roman"/>
        <w:b/>
      </w:rPr>
      <w:t>335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A124F7"/>
    <w:multiLevelType w:val="hybridMultilevel"/>
    <w:tmpl w:val="81228FE6"/>
    <w:lvl w:ilvl="0" w:tplc="530A412C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A85A2182">
      <w:start w:val="1"/>
      <w:numFmt w:val="lowerLetter"/>
      <w:lvlText w:val="%2."/>
      <w:lvlJc w:val="left"/>
      <w:pPr>
        <w:ind w:left="1440" w:hanging="360"/>
      </w:pPr>
    </w:lvl>
    <w:lvl w:ilvl="2" w:tplc="BB867F40" w:tentative="1">
      <w:start w:val="1"/>
      <w:numFmt w:val="lowerRoman"/>
      <w:lvlText w:val="%3."/>
      <w:lvlJc w:val="right"/>
      <w:pPr>
        <w:ind w:left="2160" w:hanging="180"/>
      </w:pPr>
    </w:lvl>
    <w:lvl w:ilvl="3" w:tplc="27821B5E" w:tentative="1">
      <w:start w:val="1"/>
      <w:numFmt w:val="decimal"/>
      <w:lvlText w:val="%4."/>
      <w:lvlJc w:val="left"/>
      <w:pPr>
        <w:ind w:left="2880" w:hanging="360"/>
      </w:pPr>
    </w:lvl>
    <w:lvl w:ilvl="4" w:tplc="31B686B0" w:tentative="1">
      <w:start w:val="1"/>
      <w:numFmt w:val="lowerLetter"/>
      <w:lvlText w:val="%5."/>
      <w:lvlJc w:val="left"/>
      <w:pPr>
        <w:ind w:left="3600" w:hanging="360"/>
      </w:pPr>
    </w:lvl>
    <w:lvl w:ilvl="5" w:tplc="AD0424D8" w:tentative="1">
      <w:start w:val="1"/>
      <w:numFmt w:val="lowerRoman"/>
      <w:lvlText w:val="%6."/>
      <w:lvlJc w:val="right"/>
      <w:pPr>
        <w:ind w:left="4320" w:hanging="180"/>
      </w:pPr>
    </w:lvl>
    <w:lvl w:ilvl="6" w:tplc="E18C7208" w:tentative="1">
      <w:start w:val="1"/>
      <w:numFmt w:val="decimal"/>
      <w:lvlText w:val="%7."/>
      <w:lvlJc w:val="left"/>
      <w:pPr>
        <w:ind w:left="5040" w:hanging="360"/>
      </w:pPr>
    </w:lvl>
    <w:lvl w:ilvl="7" w:tplc="12EAE258" w:tentative="1">
      <w:start w:val="1"/>
      <w:numFmt w:val="lowerLetter"/>
      <w:lvlText w:val="%8."/>
      <w:lvlJc w:val="left"/>
      <w:pPr>
        <w:ind w:left="5760" w:hanging="360"/>
      </w:pPr>
    </w:lvl>
    <w:lvl w:ilvl="8" w:tplc="D32E2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5"/>
  </w:num>
  <w:num w:numId="7">
    <w:abstractNumId w:val="24"/>
  </w:num>
  <w:num w:numId="8">
    <w:abstractNumId w:val="18"/>
  </w:num>
  <w:num w:numId="9">
    <w:abstractNumId w:val="2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0F7706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2DE0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61E2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B7399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5B4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5B7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2A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0186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1AAB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814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2A5E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1D27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613F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0DF0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705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4DC4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E94F7B"/>
  <w15:chartTrackingRefBased/>
  <w15:docId w15:val="{C7B39AE4-0E25-4CE2-87B9-8ED94DD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C57D-A516-476F-B229-00188E91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2019-03-29T14:54:00Z</dcterms:created>
  <dcterms:modified xsi:type="dcterms:W3CDTF">2019-03-29T14:54:00Z</dcterms:modified>
</cp:coreProperties>
</file>