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E4613D" w:rsidRDefault="00E4613D">
      <w:pPr>
        <w:jc w:val="center"/>
        <w:rPr>
          <w:b/>
          <w:sz w:val="24"/>
        </w:rPr>
      </w:pPr>
      <w:r>
        <w:rPr>
          <w:b/>
          <w:sz w:val="24"/>
        </w:rPr>
        <w:t>SUBCOMMITTEE ON PLANNING, DISPOSITIONS</w:t>
      </w:r>
    </w:p>
    <w:p w:rsidR="00E4613D" w:rsidRDefault="00E4613D">
      <w:pPr>
        <w:jc w:val="center"/>
        <w:rPr>
          <w:b/>
          <w:sz w:val="24"/>
        </w:rPr>
      </w:pPr>
      <w:r>
        <w:rPr>
          <w:b/>
          <w:sz w:val="24"/>
        </w:rPr>
        <w:t>AND CONCESSIONS</w:t>
      </w:r>
    </w:p>
    <w:p w:rsidR="00E4613D" w:rsidRDefault="00E4613D">
      <w:pPr>
        <w:jc w:val="center"/>
        <w:rPr>
          <w:b/>
          <w:sz w:val="24"/>
        </w:rPr>
      </w:pPr>
    </w:p>
    <w:p w:rsidR="00E4613D" w:rsidRDefault="00EC6A62">
      <w:pPr>
        <w:jc w:val="center"/>
        <w:rPr>
          <w:b/>
          <w:sz w:val="24"/>
        </w:rPr>
      </w:pPr>
      <w:r>
        <w:rPr>
          <w:b/>
          <w:sz w:val="24"/>
        </w:rPr>
        <w:t xml:space="preserve">Preconsidered </w:t>
      </w:r>
      <w:r w:rsidR="00E4613D">
        <w:rPr>
          <w:b/>
          <w:sz w:val="24"/>
        </w:rPr>
        <w:t xml:space="preserve">L.U. No. </w:t>
      </w:r>
      <w:r>
        <w:rPr>
          <w:b/>
          <w:sz w:val="24"/>
        </w:rPr>
        <w:t>342</w:t>
      </w:r>
      <w:r w:rsidR="00E4613D">
        <w:rPr>
          <w:b/>
          <w:sz w:val="24"/>
        </w:rPr>
        <w:t xml:space="preserve"> (Res. No.</w:t>
      </w:r>
      <w:r w:rsidR="00A17B48">
        <w:rPr>
          <w:b/>
          <w:sz w:val="24"/>
        </w:rPr>
        <w:t xml:space="preserve"> </w:t>
      </w:r>
      <w:r w:rsidR="0039627A">
        <w:rPr>
          <w:b/>
          <w:sz w:val="24"/>
        </w:rPr>
        <w:t>785</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9C2986">
        <w:rPr>
          <w:b/>
          <w:sz w:val="24"/>
        </w:rPr>
        <w:t>Kallos</w:t>
      </w:r>
    </w:p>
    <w:p w:rsidR="00E4613D" w:rsidRDefault="00E4613D">
      <w:pPr>
        <w:rPr>
          <w:b/>
          <w:sz w:val="24"/>
        </w:rPr>
      </w:pPr>
    </w:p>
    <w:p w:rsidR="00E4613D" w:rsidRDefault="00E4613D">
      <w:pPr>
        <w:rPr>
          <w:b/>
          <w:sz w:val="24"/>
        </w:rPr>
      </w:pPr>
    </w:p>
    <w:p w:rsidR="00E4613D" w:rsidRDefault="00E4613D">
      <w:pPr>
        <w:pStyle w:val="Heading2"/>
      </w:pPr>
      <w:r>
        <w:t>SUBJECT</w:t>
      </w:r>
    </w:p>
    <w:p w:rsidR="00D212E8" w:rsidRDefault="00D212E8" w:rsidP="00D212E8">
      <w:pPr>
        <w:tabs>
          <w:tab w:val="left" w:pos="720"/>
          <w:tab w:val="left" w:pos="1440"/>
          <w:tab w:val="left" w:pos="7650"/>
        </w:tabs>
        <w:jc w:val="both"/>
        <w:rPr>
          <w:sz w:val="24"/>
        </w:rPr>
      </w:pPr>
    </w:p>
    <w:p w:rsidR="005F3950" w:rsidRPr="005F3950" w:rsidRDefault="005F3950" w:rsidP="005F3950">
      <w:pPr>
        <w:widowControl w:val="0"/>
        <w:tabs>
          <w:tab w:val="left" w:pos="6240"/>
          <w:tab w:val="left" w:pos="7650"/>
        </w:tabs>
        <w:jc w:val="both"/>
        <w:rPr>
          <w:b/>
          <w:snapToGrid w:val="0"/>
          <w:sz w:val="24"/>
          <w:szCs w:val="24"/>
        </w:rPr>
      </w:pPr>
      <w:r>
        <w:rPr>
          <w:rFonts w:eastAsia="Calibri"/>
          <w:b/>
          <w:sz w:val="24"/>
          <w:szCs w:val="24"/>
        </w:rPr>
        <w:t>BROOKLYN</w:t>
      </w:r>
      <w:r w:rsidR="0037318B">
        <w:rPr>
          <w:rFonts w:eastAsia="Calibri"/>
          <w:b/>
          <w:sz w:val="24"/>
          <w:szCs w:val="24"/>
        </w:rPr>
        <w:t xml:space="preserve"> </w:t>
      </w:r>
      <w:r w:rsidR="00D212E8">
        <w:rPr>
          <w:rFonts w:eastAsia="Calibri"/>
          <w:b/>
          <w:sz w:val="24"/>
          <w:szCs w:val="24"/>
        </w:rPr>
        <w:t>CB</w:t>
      </w:r>
      <w:r>
        <w:rPr>
          <w:rFonts w:eastAsia="Calibri"/>
          <w:b/>
          <w:sz w:val="24"/>
          <w:szCs w:val="24"/>
        </w:rPr>
        <w:t>s</w:t>
      </w:r>
      <w:r w:rsidR="00D212E8">
        <w:rPr>
          <w:rFonts w:eastAsia="Calibri"/>
          <w:b/>
          <w:sz w:val="24"/>
          <w:szCs w:val="24"/>
        </w:rPr>
        <w:t xml:space="preserve"> </w:t>
      </w:r>
      <w:r>
        <w:rPr>
          <w:rFonts w:eastAsia="Calibri"/>
          <w:b/>
          <w:sz w:val="24"/>
          <w:szCs w:val="24"/>
        </w:rPr>
        <w:t>-</w:t>
      </w:r>
      <w:r w:rsidR="00D212E8">
        <w:rPr>
          <w:rFonts w:eastAsia="Calibri"/>
          <w:b/>
          <w:sz w:val="24"/>
          <w:szCs w:val="24"/>
        </w:rPr>
        <w:t xml:space="preserve"> </w:t>
      </w:r>
      <w:r>
        <w:rPr>
          <w:rFonts w:eastAsia="Calibri"/>
          <w:b/>
          <w:sz w:val="24"/>
          <w:szCs w:val="24"/>
        </w:rPr>
        <w:t>2, 3 and 8</w:t>
      </w:r>
      <w:r w:rsidR="00D212E8">
        <w:rPr>
          <w:rFonts w:eastAsia="Calibri"/>
          <w:b/>
          <w:sz w:val="24"/>
          <w:szCs w:val="24"/>
        </w:rPr>
        <w:tab/>
      </w:r>
      <w:r>
        <w:rPr>
          <w:rFonts w:eastAsia="Calibri"/>
          <w:b/>
          <w:sz w:val="24"/>
          <w:szCs w:val="24"/>
        </w:rPr>
        <w:tab/>
      </w:r>
      <w:r w:rsidRPr="005F3950">
        <w:rPr>
          <w:b/>
          <w:snapToGrid w:val="0"/>
          <w:sz w:val="24"/>
          <w:szCs w:val="24"/>
        </w:rPr>
        <w:t>20195365 HAK</w:t>
      </w:r>
    </w:p>
    <w:p w:rsidR="00D212E8" w:rsidRDefault="00D212E8" w:rsidP="00D212E8">
      <w:pPr>
        <w:widowControl w:val="0"/>
        <w:tabs>
          <w:tab w:val="left" w:pos="720"/>
          <w:tab w:val="left" w:pos="7740"/>
        </w:tabs>
        <w:jc w:val="both"/>
        <w:rPr>
          <w:rFonts w:eastAsia="Calibri"/>
          <w:sz w:val="24"/>
          <w:szCs w:val="24"/>
        </w:rPr>
      </w:pPr>
    </w:p>
    <w:p w:rsidR="005F3950" w:rsidRDefault="00D212E8" w:rsidP="005F3950">
      <w:pPr>
        <w:widowControl w:val="0"/>
        <w:tabs>
          <w:tab w:val="left" w:pos="720"/>
        </w:tabs>
        <w:jc w:val="both"/>
        <w:rPr>
          <w:rFonts w:eastAsia="Calibri"/>
          <w:sz w:val="24"/>
          <w:szCs w:val="24"/>
        </w:rPr>
      </w:pPr>
      <w:r>
        <w:rPr>
          <w:rFonts w:eastAsia="Calibri"/>
          <w:sz w:val="24"/>
          <w:szCs w:val="24"/>
        </w:rPr>
        <w:tab/>
      </w:r>
      <w:r w:rsidRPr="00D212E8">
        <w:rPr>
          <w:rFonts w:eastAsia="Calibri"/>
          <w:sz w:val="24"/>
          <w:szCs w:val="24"/>
        </w:rPr>
        <w:t>Application</w:t>
      </w:r>
      <w:r>
        <w:rPr>
          <w:rFonts w:eastAsia="Calibri"/>
          <w:sz w:val="24"/>
          <w:szCs w:val="24"/>
        </w:rPr>
        <w:t xml:space="preserve"> </w:t>
      </w:r>
      <w:r w:rsidRPr="00D212E8">
        <w:rPr>
          <w:rFonts w:ascii="Calibri" w:eastAsia="Calibri" w:hAnsi="Calibri"/>
          <w:sz w:val="22"/>
          <w:szCs w:val="22"/>
        </w:rPr>
        <w:t>s</w:t>
      </w:r>
      <w:r w:rsidRPr="00D212E8">
        <w:rPr>
          <w:rFonts w:eastAsia="Calibri"/>
          <w:sz w:val="24"/>
          <w:szCs w:val="24"/>
        </w:rPr>
        <w:t xml:space="preserve">ubmitted by the New York City Department of Housing Preservation and Development pursuant to </w:t>
      </w:r>
      <w:r w:rsidR="0037318B">
        <w:rPr>
          <w:rFonts w:eastAsia="Calibri"/>
          <w:sz w:val="24"/>
          <w:szCs w:val="24"/>
        </w:rPr>
        <w:t>Article 16 of the General Municipal Law for approval of an urban development action area project, waiver of the area designation requirement of Section 693 of the General Municipal Law, and waiver of the requirements of Sections 197-c and 197-d of the New York City Charter and a real property tax exemption pursuant to Article XI of the Private Housing Finance Law for propert</w:t>
      </w:r>
      <w:r w:rsidR="005F3950">
        <w:rPr>
          <w:rFonts w:eastAsia="Calibri"/>
          <w:sz w:val="24"/>
          <w:szCs w:val="24"/>
        </w:rPr>
        <w:t>ies</w:t>
      </w:r>
      <w:r w:rsidR="0037318B">
        <w:rPr>
          <w:rFonts w:eastAsia="Calibri"/>
          <w:sz w:val="24"/>
          <w:szCs w:val="24"/>
        </w:rPr>
        <w:t xml:space="preserve"> located at </w:t>
      </w:r>
      <w:r w:rsidR="005F3950" w:rsidRPr="005F3950">
        <w:rPr>
          <w:snapToGrid w:val="0"/>
          <w:sz w:val="24"/>
          <w:szCs w:val="24"/>
        </w:rPr>
        <w:t xml:space="preserve">32 Putnam Avenue (Block 1992, Lot 18), 34 Putnam Avenue (Block 1992, Lot 18), 550 Dekalb Avenue (Block 1778, Lot 14), 55 Carlton Avenue – aka 153 Park Place (Block 2031, Lot 1), 374-76 Prospect Place (Block 1160, Lot 30), </w:t>
      </w:r>
      <w:proofErr w:type="gramStart"/>
      <w:r w:rsidR="005F3950" w:rsidRPr="005F3950">
        <w:rPr>
          <w:snapToGrid w:val="0"/>
          <w:sz w:val="24"/>
          <w:szCs w:val="24"/>
        </w:rPr>
        <w:t>and</w:t>
      </w:r>
      <w:proofErr w:type="gramEnd"/>
      <w:r w:rsidR="005F3950" w:rsidRPr="005F3950">
        <w:rPr>
          <w:snapToGrid w:val="0"/>
          <w:sz w:val="24"/>
          <w:szCs w:val="24"/>
        </w:rPr>
        <w:t xml:space="preserve"> 1216 Pacific Street (Block 1206, Lot 20),</w:t>
      </w:r>
    </w:p>
    <w:p w:rsidR="00D212E8" w:rsidRDefault="00D212E8" w:rsidP="00223089">
      <w:pPr>
        <w:tabs>
          <w:tab w:val="left" w:pos="720"/>
          <w:tab w:val="left" w:pos="1440"/>
          <w:tab w:val="left" w:pos="7560"/>
        </w:tabs>
        <w:jc w:val="both"/>
        <w:rPr>
          <w:sz w:val="24"/>
        </w:rPr>
      </w:pPr>
    </w:p>
    <w:p w:rsidR="00D212E8" w:rsidRDefault="00D212E8" w:rsidP="00223089">
      <w:pPr>
        <w:tabs>
          <w:tab w:val="left" w:pos="720"/>
          <w:tab w:val="left" w:pos="1440"/>
          <w:tab w:val="left" w:pos="7560"/>
        </w:tabs>
        <w:jc w:val="both"/>
        <w:rPr>
          <w:sz w:val="24"/>
        </w:rPr>
      </w:pPr>
    </w:p>
    <w:p w:rsidR="00E4613D" w:rsidRDefault="00E4613D">
      <w:pPr>
        <w:jc w:val="both"/>
        <w:rPr>
          <w:sz w:val="24"/>
        </w:rPr>
      </w:pPr>
    </w:p>
    <w:p w:rsidR="005F3950" w:rsidRDefault="005F3950">
      <w:pPr>
        <w:jc w:val="both"/>
        <w:rPr>
          <w:sz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223089" w:rsidRDefault="00223089" w:rsidP="00C36748">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for the </w:t>
      </w:r>
      <w:r w:rsidR="008A66A9">
        <w:rPr>
          <w:sz w:val="24"/>
        </w:rPr>
        <w:t xml:space="preserve">rehabilitation of occupied City-owned residential buildings </w:t>
      </w:r>
      <w:proofErr w:type="gramStart"/>
      <w:r w:rsidR="00E72696">
        <w:rPr>
          <w:sz w:val="24"/>
        </w:rPr>
        <w:t>to  provide</w:t>
      </w:r>
      <w:proofErr w:type="gramEnd"/>
      <w:r w:rsidR="00E72696">
        <w:rPr>
          <w:sz w:val="24"/>
        </w:rPr>
        <w:t xml:space="preserve"> approximately </w:t>
      </w:r>
      <w:r w:rsidR="005F3950">
        <w:rPr>
          <w:sz w:val="24"/>
        </w:rPr>
        <w:t>51 affordable cooperative dwelling units, 5 affordable rental dwelling units, approximately 2 storefront commercial spaces at 550 Dekalb Avenue</w:t>
      </w:r>
      <w:r w:rsidR="00C36748">
        <w:rPr>
          <w:sz w:val="24"/>
        </w:rPr>
        <w:t>, and approximately 2 storefront commercial spaces at 55 Carlton Avenue</w:t>
      </w:r>
      <w:r w:rsidR="008A66A9">
        <w:rPr>
          <w:sz w:val="24"/>
        </w:rPr>
        <w:t xml:space="preserve">.  </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lastRenderedPageBreak/>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C36748">
        <w:rPr>
          <w:sz w:val="24"/>
        </w:rPr>
        <w:t>February 11, 2019</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EC6A62">
        <w:rPr>
          <w:sz w:val="24"/>
        </w:rPr>
        <w:t>Three</w:t>
      </w:r>
      <w:r w:rsidR="00D212E8">
        <w:rPr>
          <w:sz w:val="24"/>
        </w:rPr>
        <w:tab/>
      </w:r>
      <w:r>
        <w:rPr>
          <w:sz w:val="24"/>
        </w:rPr>
        <w:tab/>
      </w:r>
      <w:r>
        <w:rPr>
          <w:sz w:val="24"/>
        </w:rPr>
        <w:tab/>
      </w:r>
      <w:r>
        <w:rPr>
          <w:sz w:val="24"/>
        </w:rPr>
        <w:tab/>
      </w:r>
      <w:r>
        <w:rPr>
          <w:b/>
          <w:sz w:val="24"/>
        </w:rPr>
        <w:t>Witnesses Against:</w:t>
      </w:r>
      <w:r>
        <w:rPr>
          <w:sz w:val="24"/>
        </w:rPr>
        <w:t xml:space="preserve">  </w:t>
      </w:r>
      <w:r w:rsidR="00EC6A62">
        <w:rPr>
          <w:sz w:val="24"/>
        </w:rPr>
        <w:t>None</w:t>
      </w:r>
    </w:p>
    <w:p w:rsidR="00E4613D" w:rsidRDefault="00E4613D">
      <w:pPr>
        <w:jc w:val="both"/>
        <w:rPr>
          <w:sz w:val="24"/>
        </w:rPr>
      </w:pPr>
    </w:p>
    <w:p w:rsidR="00C36748" w:rsidRDefault="00C36748">
      <w:pPr>
        <w:jc w:val="both"/>
        <w:rPr>
          <w:sz w:val="24"/>
        </w:rPr>
      </w:pPr>
    </w:p>
    <w:p w:rsidR="00C36748" w:rsidRDefault="00C36748">
      <w:pPr>
        <w:jc w:val="both"/>
        <w:rPr>
          <w:sz w:val="24"/>
        </w:rPr>
      </w:pPr>
    </w:p>
    <w:p w:rsidR="007C7914" w:rsidRDefault="007C7914"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EC6A62">
        <w:rPr>
          <w:sz w:val="24"/>
        </w:rPr>
        <w:t>March 6</w:t>
      </w:r>
      <w:r w:rsidR="00C36748">
        <w:rPr>
          <w:sz w:val="24"/>
        </w:rPr>
        <w:t>, 2019</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E4613D">
      <w:pPr>
        <w:jc w:val="both"/>
        <w:rPr>
          <w:sz w:val="24"/>
        </w:rPr>
      </w:pPr>
      <w:r>
        <w:rPr>
          <w:b/>
          <w:sz w:val="24"/>
        </w:rPr>
        <w:t>In Favor:</w:t>
      </w:r>
      <w:r>
        <w:rPr>
          <w:b/>
          <w:sz w:val="24"/>
        </w:rPr>
        <w:tab/>
      </w:r>
      <w:r>
        <w:rPr>
          <w:b/>
          <w:sz w:val="24"/>
        </w:rPr>
        <w:tab/>
      </w:r>
      <w:r w:rsidR="00274A56">
        <w:rPr>
          <w:b/>
          <w:sz w:val="24"/>
        </w:rPr>
        <w:tab/>
      </w:r>
      <w:r>
        <w:rPr>
          <w:b/>
          <w:sz w:val="24"/>
        </w:rPr>
        <w:t>Against:</w:t>
      </w:r>
      <w:r>
        <w:rPr>
          <w:b/>
          <w:sz w:val="24"/>
        </w:rPr>
        <w:tab/>
      </w:r>
      <w:r>
        <w:rPr>
          <w:b/>
          <w:sz w:val="24"/>
        </w:rPr>
        <w:tab/>
      </w:r>
      <w:r>
        <w:rPr>
          <w:b/>
          <w:sz w:val="24"/>
        </w:rPr>
        <w:tab/>
        <w:t>Abstain:</w:t>
      </w:r>
      <w:r w:rsidR="00D05401">
        <w:rPr>
          <w:b/>
          <w:sz w:val="24"/>
        </w:rPr>
        <w:t xml:space="preserve"> </w:t>
      </w:r>
    </w:p>
    <w:p w:rsidR="0045753C" w:rsidRDefault="0045753C" w:rsidP="0045753C">
      <w:pPr>
        <w:jc w:val="both"/>
        <w:rPr>
          <w:sz w:val="24"/>
        </w:rPr>
      </w:pPr>
      <w:r>
        <w:rPr>
          <w:sz w:val="24"/>
        </w:rPr>
        <w:t>Kallos</w:t>
      </w:r>
      <w:r>
        <w:rPr>
          <w:sz w:val="24"/>
        </w:rPr>
        <w:tab/>
      </w:r>
      <w:r>
        <w:rPr>
          <w:sz w:val="24"/>
        </w:rPr>
        <w:tab/>
      </w:r>
      <w:r>
        <w:rPr>
          <w:sz w:val="24"/>
        </w:rPr>
        <w:tab/>
      </w:r>
      <w:r>
        <w:rPr>
          <w:sz w:val="24"/>
        </w:rPr>
        <w:tab/>
        <w:t>None</w:t>
      </w:r>
      <w:r>
        <w:rPr>
          <w:sz w:val="24"/>
        </w:rPr>
        <w:tab/>
      </w:r>
      <w:r>
        <w:rPr>
          <w:sz w:val="24"/>
        </w:rPr>
        <w:tab/>
      </w:r>
      <w:r>
        <w:rPr>
          <w:sz w:val="24"/>
        </w:rPr>
        <w:tab/>
      </w:r>
      <w:r>
        <w:rPr>
          <w:sz w:val="24"/>
        </w:rPr>
        <w:tab/>
        <w:t>None</w:t>
      </w:r>
    </w:p>
    <w:p w:rsidR="0045753C" w:rsidRDefault="0045753C" w:rsidP="0045753C">
      <w:pPr>
        <w:jc w:val="both"/>
        <w:rPr>
          <w:sz w:val="24"/>
        </w:rPr>
      </w:pPr>
      <w:r>
        <w:rPr>
          <w:sz w:val="24"/>
        </w:rPr>
        <w:t>Gibson</w:t>
      </w:r>
    </w:p>
    <w:p w:rsidR="0045753C" w:rsidRDefault="0045753C" w:rsidP="0045753C">
      <w:pPr>
        <w:jc w:val="both"/>
        <w:rPr>
          <w:sz w:val="24"/>
        </w:rPr>
      </w:pPr>
      <w:r>
        <w:rPr>
          <w:sz w:val="24"/>
        </w:rPr>
        <w:t>Deutsch</w:t>
      </w:r>
    </w:p>
    <w:p w:rsidR="0045753C" w:rsidRDefault="0045753C" w:rsidP="0045753C">
      <w:pPr>
        <w:jc w:val="both"/>
        <w:rPr>
          <w:sz w:val="24"/>
        </w:rPr>
      </w:pPr>
      <w:r>
        <w:rPr>
          <w:sz w:val="24"/>
        </w:rPr>
        <w:t>Diaz</w:t>
      </w:r>
    </w:p>
    <w:p w:rsidR="00E4613D" w:rsidRDefault="00E4613D">
      <w:pPr>
        <w:jc w:val="both"/>
        <w:rPr>
          <w:sz w:val="24"/>
        </w:rPr>
      </w:pPr>
    </w:p>
    <w:p w:rsidR="00C36748" w:rsidRDefault="00C36748">
      <w:pPr>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EC6A62">
        <w:rPr>
          <w:sz w:val="24"/>
        </w:rPr>
        <w:t>March 7</w:t>
      </w:r>
      <w:r w:rsidR="00C36748">
        <w:rPr>
          <w:sz w:val="24"/>
        </w:rPr>
        <w:t>, 2019</w:t>
      </w:r>
    </w:p>
    <w:p w:rsidR="00E4613D" w:rsidRDefault="00E4613D">
      <w:pPr>
        <w:jc w:val="both"/>
        <w:rPr>
          <w:sz w:val="24"/>
        </w:rPr>
      </w:pPr>
    </w:p>
    <w:p w:rsidR="002957E6" w:rsidRDefault="00E4613D" w:rsidP="002957E6">
      <w:pPr>
        <w:tabs>
          <w:tab w:val="left" w:pos="-1440"/>
        </w:tabs>
        <w:jc w:val="both"/>
        <w:rPr>
          <w:sz w:val="24"/>
          <w:szCs w:val="24"/>
        </w:rPr>
      </w:pPr>
      <w:r>
        <w:rPr>
          <w:sz w:val="24"/>
        </w:rPr>
        <w:tab/>
        <w:t xml:space="preserve">The Committee recommends that the Council </w:t>
      </w:r>
      <w:r w:rsidR="002957E6">
        <w:rPr>
          <w:sz w:val="24"/>
          <w:szCs w:val="24"/>
        </w:rPr>
        <w:t>approve the attached resolution.</w:t>
      </w:r>
    </w:p>
    <w:p w:rsidR="00E4613D" w:rsidRDefault="00E4613D">
      <w:pPr>
        <w:jc w:val="both"/>
        <w:rPr>
          <w:sz w:val="24"/>
        </w:rPr>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E173B4" w:rsidRDefault="00E173B4" w:rsidP="00E173B4">
      <w:pPr>
        <w:jc w:val="both"/>
        <w:rPr>
          <w:sz w:val="24"/>
        </w:rPr>
      </w:pPr>
      <w:r>
        <w:rPr>
          <w:sz w:val="24"/>
        </w:rPr>
        <w:t>Salamanca</w:t>
      </w:r>
      <w:r>
        <w:rPr>
          <w:sz w:val="24"/>
        </w:rPr>
        <w:tab/>
      </w:r>
      <w:r>
        <w:rPr>
          <w:sz w:val="24"/>
        </w:rPr>
        <w:tab/>
      </w:r>
      <w:r>
        <w:rPr>
          <w:sz w:val="24"/>
        </w:rPr>
        <w:tab/>
        <w:t>None</w:t>
      </w:r>
      <w:r>
        <w:rPr>
          <w:sz w:val="24"/>
        </w:rPr>
        <w:tab/>
      </w:r>
      <w:r>
        <w:rPr>
          <w:sz w:val="24"/>
        </w:rPr>
        <w:tab/>
      </w:r>
      <w:r>
        <w:rPr>
          <w:sz w:val="24"/>
        </w:rPr>
        <w:tab/>
      </w:r>
      <w:r>
        <w:rPr>
          <w:sz w:val="24"/>
        </w:rPr>
        <w:tab/>
        <w:t>None</w:t>
      </w:r>
    </w:p>
    <w:p w:rsidR="00E173B4" w:rsidRDefault="00E173B4" w:rsidP="00E173B4">
      <w:pPr>
        <w:jc w:val="both"/>
        <w:rPr>
          <w:sz w:val="24"/>
        </w:rPr>
      </w:pPr>
      <w:r>
        <w:rPr>
          <w:sz w:val="24"/>
        </w:rPr>
        <w:t>Gibson</w:t>
      </w:r>
    </w:p>
    <w:p w:rsidR="00E173B4" w:rsidRDefault="00E173B4" w:rsidP="00E173B4">
      <w:pPr>
        <w:jc w:val="both"/>
        <w:rPr>
          <w:sz w:val="24"/>
        </w:rPr>
      </w:pPr>
      <w:r>
        <w:rPr>
          <w:sz w:val="24"/>
        </w:rPr>
        <w:t>Barron</w:t>
      </w:r>
    </w:p>
    <w:p w:rsidR="00E173B4" w:rsidRDefault="00E173B4" w:rsidP="00E173B4">
      <w:pPr>
        <w:jc w:val="both"/>
        <w:rPr>
          <w:sz w:val="24"/>
        </w:rPr>
      </w:pPr>
      <w:r>
        <w:rPr>
          <w:sz w:val="24"/>
        </w:rPr>
        <w:t>Deutsch</w:t>
      </w:r>
    </w:p>
    <w:p w:rsidR="00E173B4" w:rsidRDefault="00E173B4" w:rsidP="00E173B4">
      <w:pPr>
        <w:jc w:val="both"/>
        <w:rPr>
          <w:sz w:val="24"/>
        </w:rPr>
      </w:pPr>
      <w:r>
        <w:rPr>
          <w:sz w:val="24"/>
        </w:rPr>
        <w:t>Kallos</w:t>
      </w:r>
    </w:p>
    <w:p w:rsidR="00E173B4" w:rsidRDefault="00E173B4" w:rsidP="00E173B4">
      <w:pPr>
        <w:jc w:val="both"/>
        <w:rPr>
          <w:sz w:val="24"/>
        </w:rPr>
      </w:pPr>
      <w:r>
        <w:rPr>
          <w:sz w:val="24"/>
        </w:rPr>
        <w:t>Koo</w:t>
      </w:r>
    </w:p>
    <w:p w:rsidR="00E173B4" w:rsidRDefault="00E173B4" w:rsidP="00E173B4">
      <w:pPr>
        <w:jc w:val="both"/>
        <w:rPr>
          <w:sz w:val="24"/>
        </w:rPr>
      </w:pPr>
      <w:r>
        <w:rPr>
          <w:sz w:val="24"/>
        </w:rPr>
        <w:t>Levin</w:t>
      </w:r>
    </w:p>
    <w:p w:rsidR="00E173B4" w:rsidRDefault="00E173B4" w:rsidP="00E173B4">
      <w:pPr>
        <w:jc w:val="both"/>
        <w:rPr>
          <w:sz w:val="24"/>
        </w:rPr>
      </w:pPr>
      <w:r>
        <w:rPr>
          <w:sz w:val="24"/>
        </w:rPr>
        <w:t>Miller</w:t>
      </w:r>
    </w:p>
    <w:p w:rsidR="00E173B4" w:rsidRDefault="00E173B4" w:rsidP="00E173B4">
      <w:pPr>
        <w:jc w:val="both"/>
        <w:rPr>
          <w:sz w:val="24"/>
        </w:rPr>
      </w:pPr>
      <w:r>
        <w:rPr>
          <w:sz w:val="24"/>
        </w:rPr>
        <w:t>Reynoso</w:t>
      </w:r>
    </w:p>
    <w:p w:rsidR="00E173B4" w:rsidRDefault="00E173B4" w:rsidP="00E173B4">
      <w:pPr>
        <w:jc w:val="both"/>
        <w:rPr>
          <w:sz w:val="24"/>
        </w:rPr>
      </w:pPr>
      <w:r>
        <w:rPr>
          <w:sz w:val="24"/>
        </w:rPr>
        <w:t>Richards</w:t>
      </w:r>
    </w:p>
    <w:p w:rsidR="00E173B4" w:rsidRDefault="00E173B4" w:rsidP="00E173B4">
      <w:pPr>
        <w:jc w:val="both"/>
        <w:rPr>
          <w:sz w:val="24"/>
        </w:rPr>
      </w:pPr>
      <w:r>
        <w:rPr>
          <w:sz w:val="24"/>
        </w:rPr>
        <w:lastRenderedPageBreak/>
        <w:t>Grodenchik</w:t>
      </w:r>
    </w:p>
    <w:p w:rsidR="00E173B4" w:rsidRDefault="00E173B4" w:rsidP="00E173B4">
      <w:pPr>
        <w:jc w:val="both"/>
        <w:rPr>
          <w:sz w:val="24"/>
        </w:rPr>
      </w:pPr>
      <w:r>
        <w:rPr>
          <w:sz w:val="24"/>
        </w:rPr>
        <w:t>Adams</w:t>
      </w:r>
    </w:p>
    <w:p w:rsidR="00E173B4" w:rsidRDefault="00E173B4" w:rsidP="00E173B4">
      <w:pPr>
        <w:jc w:val="both"/>
        <w:rPr>
          <w:sz w:val="24"/>
        </w:rPr>
      </w:pPr>
      <w:r>
        <w:rPr>
          <w:sz w:val="24"/>
        </w:rPr>
        <w:t>Diaz</w:t>
      </w:r>
    </w:p>
    <w:p w:rsidR="00E173B4" w:rsidRDefault="00E173B4" w:rsidP="00E173B4">
      <w:pPr>
        <w:jc w:val="both"/>
        <w:rPr>
          <w:sz w:val="24"/>
        </w:rPr>
      </w:pPr>
      <w:r>
        <w:rPr>
          <w:sz w:val="24"/>
        </w:rPr>
        <w:t>Moya</w:t>
      </w:r>
    </w:p>
    <w:p w:rsidR="00E173B4" w:rsidRDefault="00E173B4" w:rsidP="00E173B4">
      <w:pPr>
        <w:jc w:val="both"/>
        <w:rPr>
          <w:sz w:val="24"/>
        </w:rPr>
      </w:pPr>
      <w:r>
        <w:rPr>
          <w:sz w:val="24"/>
        </w:rPr>
        <w:t>Rivera</w:t>
      </w:r>
    </w:p>
    <w:p w:rsidR="00E4613D" w:rsidRDefault="00E4613D">
      <w:pPr>
        <w:jc w:val="both"/>
        <w:rPr>
          <w:sz w:val="24"/>
        </w:rPr>
      </w:pPr>
    </w:p>
    <w:sectPr w:rsidR="00E4613D"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91" w:rsidRDefault="00F56291">
      <w:r>
        <w:separator/>
      </w:r>
    </w:p>
  </w:endnote>
  <w:endnote w:type="continuationSeparator" w:id="0">
    <w:p w:rsidR="00F56291" w:rsidRDefault="00F5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91" w:rsidRDefault="00F56291">
      <w:r>
        <w:separator/>
      </w:r>
    </w:p>
  </w:footnote>
  <w:footnote w:type="continuationSeparator" w:id="0">
    <w:p w:rsidR="00F56291" w:rsidRDefault="00F5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5C5782">
      <w:rPr>
        <w:b/>
        <w:noProof/>
        <w:sz w:val="24"/>
        <w:szCs w:val="24"/>
      </w:rPr>
      <w:t>3</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5C5782">
      <w:rPr>
        <w:b/>
        <w:noProof/>
        <w:sz w:val="24"/>
        <w:szCs w:val="24"/>
      </w:rPr>
      <w:t>3</w:t>
    </w:r>
    <w:r w:rsidRPr="00A17B48">
      <w:rPr>
        <w:b/>
        <w:sz w:val="24"/>
        <w:szCs w:val="24"/>
      </w:rPr>
      <w:fldChar w:fldCharType="end"/>
    </w:r>
  </w:p>
  <w:p w:rsidR="00C36748" w:rsidRDefault="00C36748">
    <w:pPr>
      <w:pStyle w:val="Header"/>
      <w:rPr>
        <w:b/>
        <w:sz w:val="24"/>
        <w:szCs w:val="24"/>
      </w:rPr>
    </w:pPr>
    <w:r w:rsidRPr="005F3950">
      <w:rPr>
        <w:b/>
        <w:snapToGrid w:val="0"/>
        <w:sz w:val="24"/>
        <w:szCs w:val="24"/>
      </w:rPr>
      <w:t>20195365 HAK</w:t>
    </w:r>
    <w:r>
      <w:rPr>
        <w:b/>
        <w:sz w:val="24"/>
        <w:szCs w:val="24"/>
      </w:rPr>
      <w:t xml:space="preserve"> </w:t>
    </w:r>
  </w:p>
  <w:p w:rsidR="0062778A" w:rsidRDefault="00EC6A62">
    <w:pPr>
      <w:pStyle w:val="Header"/>
      <w:rPr>
        <w:b/>
        <w:sz w:val="24"/>
        <w:szCs w:val="24"/>
      </w:rPr>
    </w:pPr>
    <w:r>
      <w:rPr>
        <w:b/>
        <w:sz w:val="24"/>
        <w:szCs w:val="24"/>
      </w:rPr>
      <w:t xml:space="preserve">Pre. </w:t>
    </w:r>
    <w:r w:rsidR="0062778A">
      <w:rPr>
        <w:b/>
        <w:sz w:val="24"/>
        <w:szCs w:val="24"/>
      </w:rPr>
      <w:t xml:space="preserve">L.U. No. </w:t>
    </w:r>
    <w:r>
      <w:rPr>
        <w:b/>
        <w:sz w:val="24"/>
        <w:szCs w:val="24"/>
      </w:rPr>
      <w:t>342</w:t>
    </w:r>
    <w:r w:rsidR="0062778A">
      <w:rPr>
        <w:b/>
        <w:sz w:val="24"/>
        <w:szCs w:val="24"/>
      </w:rPr>
      <w:t xml:space="preserve"> (Res. No. </w:t>
    </w:r>
    <w:r w:rsidR="0039627A">
      <w:rPr>
        <w:b/>
        <w:sz w:val="24"/>
      </w:rPr>
      <w:t>785</w:t>
    </w:r>
    <w:r w:rsidR="0062778A">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223089"/>
    <w:rsid w:val="00230C93"/>
    <w:rsid w:val="002418DE"/>
    <w:rsid w:val="00252FAB"/>
    <w:rsid w:val="00274A56"/>
    <w:rsid w:val="0028527E"/>
    <w:rsid w:val="002957E6"/>
    <w:rsid w:val="00333C6C"/>
    <w:rsid w:val="0036689B"/>
    <w:rsid w:val="0037318B"/>
    <w:rsid w:val="0039627A"/>
    <w:rsid w:val="003C7E07"/>
    <w:rsid w:val="003F423C"/>
    <w:rsid w:val="00424EFF"/>
    <w:rsid w:val="00442B6E"/>
    <w:rsid w:val="0045753C"/>
    <w:rsid w:val="00457AA7"/>
    <w:rsid w:val="004D2722"/>
    <w:rsid w:val="004F55A4"/>
    <w:rsid w:val="005337DE"/>
    <w:rsid w:val="00567160"/>
    <w:rsid w:val="005C5782"/>
    <w:rsid w:val="005F3950"/>
    <w:rsid w:val="005F7A45"/>
    <w:rsid w:val="00602F02"/>
    <w:rsid w:val="0062778A"/>
    <w:rsid w:val="006976FE"/>
    <w:rsid w:val="006C118D"/>
    <w:rsid w:val="006C206D"/>
    <w:rsid w:val="006D78B6"/>
    <w:rsid w:val="00722D3F"/>
    <w:rsid w:val="00746A43"/>
    <w:rsid w:val="00757941"/>
    <w:rsid w:val="007658EC"/>
    <w:rsid w:val="007708AF"/>
    <w:rsid w:val="007815D1"/>
    <w:rsid w:val="007C7914"/>
    <w:rsid w:val="007D6EB9"/>
    <w:rsid w:val="00803634"/>
    <w:rsid w:val="00822B74"/>
    <w:rsid w:val="0084011B"/>
    <w:rsid w:val="008728C9"/>
    <w:rsid w:val="008A66A9"/>
    <w:rsid w:val="008E183E"/>
    <w:rsid w:val="008F380F"/>
    <w:rsid w:val="00925E4A"/>
    <w:rsid w:val="00974B02"/>
    <w:rsid w:val="009832B1"/>
    <w:rsid w:val="009C2986"/>
    <w:rsid w:val="009C6C5B"/>
    <w:rsid w:val="009F587D"/>
    <w:rsid w:val="00A10CCD"/>
    <w:rsid w:val="00A17B48"/>
    <w:rsid w:val="00A51ECD"/>
    <w:rsid w:val="00A53F3A"/>
    <w:rsid w:val="00A56C11"/>
    <w:rsid w:val="00AB0073"/>
    <w:rsid w:val="00AB71DC"/>
    <w:rsid w:val="00AE7E07"/>
    <w:rsid w:val="00B37B02"/>
    <w:rsid w:val="00C034C5"/>
    <w:rsid w:val="00C36748"/>
    <w:rsid w:val="00C800FD"/>
    <w:rsid w:val="00C87C45"/>
    <w:rsid w:val="00C96CB5"/>
    <w:rsid w:val="00CE532C"/>
    <w:rsid w:val="00D05401"/>
    <w:rsid w:val="00D212E8"/>
    <w:rsid w:val="00D228D6"/>
    <w:rsid w:val="00D55B22"/>
    <w:rsid w:val="00D80120"/>
    <w:rsid w:val="00DF615E"/>
    <w:rsid w:val="00E0062D"/>
    <w:rsid w:val="00E173B4"/>
    <w:rsid w:val="00E4613D"/>
    <w:rsid w:val="00E72696"/>
    <w:rsid w:val="00E865F5"/>
    <w:rsid w:val="00EC6A62"/>
    <w:rsid w:val="00F03A69"/>
    <w:rsid w:val="00F05473"/>
    <w:rsid w:val="00F56291"/>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CAA7A6-4DCD-41EC-979C-0651BF1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2019-03-28T18:19:00Z</dcterms:created>
  <dcterms:modified xsi:type="dcterms:W3CDTF">2019-03-28T18:19:00Z</dcterms:modified>
</cp:coreProperties>
</file>