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6E" w:rsidRPr="00CA2A03" w:rsidRDefault="00E8426E" w:rsidP="00D84956">
      <w:pPr>
        <w:ind w:left="5760" w:firstLine="720"/>
        <w:rPr>
          <w:rFonts w:ascii="Century" w:hAnsi="Century"/>
          <w:color w:val="000000"/>
          <w:szCs w:val="24"/>
        </w:rPr>
      </w:pPr>
      <w:bookmarkStart w:id="0" w:name="_GoBack"/>
      <w:bookmarkEnd w:id="0"/>
    </w:p>
    <w:p w:rsidR="00E8426E" w:rsidRPr="00725EF0" w:rsidRDefault="00E8426E" w:rsidP="00E8426E">
      <w:pPr>
        <w:jc w:val="center"/>
        <w:rPr>
          <w:rFonts w:ascii="Century" w:hAnsi="Century"/>
          <w:color w:val="000000"/>
          <w:sz w:val="26"/>
          <w:szCs w:val="26"/>
        </w:rPr>
      </w:pPr>
    </w:p>
    <w:p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  <w:r w:rsidRPr="00725EF0">
        <w:rPr>
          <w:rFonts w:ascii="Century Schoolbook" w:hAnsi="Century Schoolbook"/>
          <w:b/>
          <w:bCs/>
          <w:color w:val="000000"/>
          <w:sz w:val="26"/>
          <w:szCs w:val="26"/>
        </w:rPr>
        <w:t>THE COUNCIL OF THE CITY OF NEW YORK</w:t>
      </w:r>
    </w:p>
    <w:p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</w:p>
    <w:p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  <w:r w:rsidRPr="00725EF0">
        <w:rPr>
          <w:rFonts w:ascii="Century Schoolbook" w:hAnsi="Century Schoolbook"/>
          <w:noProof/>
          <w:snapToGrid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0BCBA5B" wp14:editId="6345EB88">
            <wp:simplePos x="0" y="0"/>
            <wp:positionH relativeFrom="column">
              <wp:posOffset>2305050</wp:posOffset>
            </wp:positionH>
            <wp:positionV relativeFrom="paragraph">
              <wp:posOffset>19050</wp:posOffset>
            </wp:positionV>
            <wp:extent cx="1133475" cy="1143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</w:p>
    <w:p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</w:p>
    <w:p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</w:p>
    <w:p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</w:p>
    <w:p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</w:p>
    <w:p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  <w:r w:rsidRPr="00725EF0">
        <w:rPr>
          <w:rFonts w:ascii="Century Schoolbook" w:hAnsi="Century Schoolbook"/>
          <w:b/>
          <w:bCs/>
          <w:color w:val="000000"/>
          <w:sz w:val="26"/>
          <w:szCs w:val="26"/>
        </w:rPr>
        <w:t>OFFICE OF THE GENERAL COUNSEL</w:t>
      </w:r>
    </w:p>
    <w:p w:rsidR="00E8426E" w:rsidRPr="00725EF0" w:rsidRDefault="005E69B9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  <w:r w:rsidRPr="005E69B9">
        <w:rPr>
          <w:rFonts w:ascii="Century" w:hAnsi="Century"/>
          <w:color w:val="000000"/>
          <w:sz w:val="26"/>
          <w:szCs w:val="26"/>
        </w:rPr>
        <w:t xml:space="preserve">Jason Adolfo </w:t>
      </w:r>
      <w:proofErr w:type="spellStart"/>
      <w:r w:rsidRPr="005E69B9">
        <w:rPr>
          <w:rFonts w:ascii="Century" w:hAnsi="Century"/>
          <w:color w:val="000000"/>
          <w:sz w:val="26"/>
          <w:szCs w:val="26"/>
        </w:rPr>
        <w:t>Otaño</w:t>
      </w:r>
      <w:proofErr w:type="spellEnd"/>
      <w:r w:rsidR="00E8426E" w:rsidRPr="00725EF0">
        <w:rPr>
          <w:rFonts w:ascii="Century Schoolbook" w:hAnsi="Century Schoolbook"/>
          <w:b/>
          <w:bCs/>
          <w:color w:val="000000"/>
          <w:sz w:val="26"/>
          <w:szCs w:val="26"/>
        </w:rPr>
        <w:t xml:space="preserve">, </w:t>
      </w:r>
      <w:r w:rsidR="00E8426E" w:rsidRPr="005E69B9">
        <w:rPr>
          <w:rFonts w:ascii="Century Schoolbook" w:hAnsi="Century Schoolbook"/>
          <w:bCs/>
          <w:color w:val="000000"/>
          <w:sz w:val="26"/>
          <w:szCs w:val="26"/>
        </w:rPr>
        <w:t>General Counsel</w:t>
      </w:r>
    </w:p>
    <w:p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</w:p>
    <w:p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  <w:u w:val="single"/>
        </w:rPr>
      </w:pPr>
      <w:r w:rsidRPr="00725EF0">
        <w:rPr>
          <w:rFonts w:ascii="Century Schoolbook" w:hAnsi="Century Schoolbook"/>
          <w:b/>
          <w:bCs/>
          <w:color w:val="000000"/>
          <w:sz w:val="26"/>
          <w:szCs w:val="26"/>
          <w:u w:val="single"/>
        </w:rPr>
        <w:t>COMMITTEE REPORT OF THE</w:t>
      </w:r>
    </w:p>
    <w:p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  <w:u w:val="single"/>
        </w:rPr>
      </w:pPr>
      <w:r w:rsidRPr="00725EF0">
        <w:rPr>
          <w:rFonts w:ascii="Century Schoolbook" w:hAnsi="Century Schoolbook"/>
          <w:b/>
          <w:bCs/>
          <w:color w:val="000000"/>
          <w:sz w:val="26"/>
          <w:szCs w:val="26"/>
          <w:u w:val="single"/>
        </w:rPr>
        <w:t>COMMITTEE ON RULES, PRIVILEGES AND ELECTIONS</w:t>
      </w:r>
    </w:p>
    <w:p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  <w:r w:rsidRPr="00725EF0">
        <w:rPr>
          <w:rFonts w:ascii="Century Schoolbook" w:hAnsi="Century Schoolbook"/>
          <w:b/>
          <w:bCs/>
          <w:color w:val="000000"/>
          <w:sz w:val="26"/>
          <w:szCs w:val="26"/>
        </w:rPr>
        <w:t xml:space="preserve">Hon. </w:t>
      </w:r>
      <w:r w:rsidR="00D84956">
        <w:rPr>
          <w:rFonts w:ascii="Century Schoolbook" w:hAnsi="Century Schoolbook"/>
          <w:b/>
          <w:bCs/>
          <w:color w:val="000000"/>
          <w:sz w:val="26"/>
          <w:szCs w:val="26"/>
        </w:rPr>
        <w:t xml:space="preserve">Karen </w:t>
      </w:r>
      <w:proofErr w:type="spellStart"/>
      <w:r w:rsidR="00D84956">
        <w:rPr>
          <w:rFonts w:ascii="Century Schoolbook" w:hAnsi="Century Schoolbook"/>
          <w:b/>
          <w:bCs/>
          <w:color w:val="000000"/>
          <w:sz w:val="26"/>
          <w:szCs w:val="26"/>
        </w:rPr>
        <w:t>Koslowitz</w:t>
      </w:r>
      <w:proofErr w:type="spellEnd"/>
      <w:r w:rsidRPr="00725EF0">
        <w:rPr>
          <w:rFonts w:ascii="Century Schoolbook" w:hAnsi="Century Schoolbook"/>
          <w:b/>
          <w:bCs/>
          <w:color w:val="000000"/>
          <w:sz w:val="26"/>
          <w:szCs w:val="26"/>
        </w:rPr>
        <w:t>, Chairperson</w:t>
      </w:r>
    </w:p>
    <w:p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</w:p>
    <w:p w:rsidR="00E8426E" w:rsidRPr="00725EF0" w:rsidRDefault="002337CA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  <w:r>
        <w:rPr>
          <w:rFonts w:ascii="Century Schoolbook" w:hAnsi="Century Schoolbook"/>
          <w:b/>
          <w:bCs/>
          <w:color w:val="000000"/>
          <w:sz w:val="26"/>
          <w:szCs w:val="26"/>
        </w:rPr>
        <w:t>March 28, 201</w:t>
      </w:r>
      <w:r w:rsidR="006860F9">
        <w:rPr>
          <w:rFonts w:ascii="Century Schoolbook" w:hAnsi="Century Schoolbook"/>
          <w:b/>
          <w:bCs/>
          <w:color w:val="000000"/>
          <w:sz w:val="26"/>
          <w:szCs w:val="26"/>
        </w:rPr>
        <w:t>9</w:t>
      </w:r>
    </w:p>
    <w:p w:rsidR="00E8426E" w:rsidRPr="00725EF0" w:rsidRDefault="00E8426E" w:rsidP="00E8426E">
      <w:pPr>
        <w:rPr>
          <w:rFonts w:ascii="Century Schoolbook" w:hAnsi="Century Schoolbook"/>
          <w:b/>
          <w:bCs/>
          <w:color w:val="000000"/>
          <w:sz w:val="26"/>
          <w:szCs w:val="26"/>
        </w:rPr>
      </w:pPr>
    </w:p>
    <w:p w:rsidR="00E8426E" w:rsidRPr="00725EF0" w:rsidRDefault="00E8426E" w:rsidP="00E8426E">
      <w:pPr>
        <w:jc w:val="center"/>
        <w:rPr>
          <w:rFonts w:ascii="Century Schoolbook" w:hAnsi="Century Schoolbook"/>
          <w:b/>
          <w:sz w:val="26"/>
          <w:szCs w:val="26"/>
        </w:rPr>
      </w:pPr>
      <w:r w:rsidRPr="00725EF0">
        <w:rPr>
          <w:rFonts w:ascii="Century Schoolbook" w:hAnsi="Century Schoolbook"/>
          <w:b/>
          <w:sz w:val="26"/>
          <w:szCs w:val="26"/>
        </w:rPr>
        <w:t>Co</w:t>
      </w:r>
      <w:r w:rsidR="00221930">
        <w:rPr>
          <w:rFonts w:ascii="Century Schoolbook" w:hAnsi="Century Schoolbook"/>
          <w:b/>
          <w:sz w:val="26"/>
          <w:szCs w:val="26"/>
        </w:rPr>
        <w:t>uncil</w:t>
      </w:r>
      <w:r w:rsidRPr="00725EF0">
        <w:rPr>
          <w:rFonts w:ascii="Century Schoolbook" w:hAnsi="Century Schoolbook"/>
          <w:b/>
          <w:sz w:val="26"/>
          <w:szCs w:val="26"/>
        </w:rPr>
        <w:t xml:space="preserve"> </w:t>
      </w:r>
      <w:r w:rsidR="00D84956">
        <w:rPr>
          <w:rFonts w:ascii="Century Schoolbook" w:hAnsi="Century Schoolbook"/>
          <w:b/>
          <w:sz w:val="26"/>
          <w:szCs w:val="26"/>
        </w:rPr>
        <w:t>Chambers</w:t>
      </w:r>
    </w:p>
    <w:p w:rsidR="00E8426E" w:rsidRPr="00725EF0" w:rsidRDefault="00E8426E" w:rsidP="00E8426E">
      <w:pPr>
        <w:jc w:val="center"/>
        <w:rPr>
          <w:rFonts w:ascii="Century Schoolbook" w:hAnsi="Century Schoolbook"/>
          <w:b/>
          <w:sz w:val="26"/>
          <w:szCs w:val="26"/>
        </w:rPr>
      </w:pPr>
      <w:r w:rsidRPr="00725EF0">
        <w:rPr>
          <w:rFonts w:ascii="Century Schoolbook" w:hAnsi="Century Schoolbook"/>
          <w:b/>
          <w:sz w:val="26"/>
          <w:szCs w:val="26"/>
        </w:rPr>
        <w:t>City Hall</w:t>
      </w:r>
    </w:p>
    <w:p w:rsidR="003C6183" w:rsidRPr="00725EF0" w:rsidRDefault="003C6183" w:rsidP="003C6183">
      <w:pPr>
        <w:pStyle w:val="Heading2"/>
        <w:ind w:left="0"/>
        <w:rPr>
          <w:rFonts w:ascii="Century" w:hAnsi="Century" w:cs="Tahoma"/>
          <w:b/>
          <w:sz w:val="24"/>
          <w:szCs w:val="24"/>
        </w:rPr>
      </w:pPr>
    </w:p>
    <w:p w:rsidR="003C6183" w:rsidRPr="00725EF0" w:rsidRDefault="003C6183" w:rsidP="001B61CC">
      <w:pPr>
        <w:pStyle w:val="Heading2"/>
        <w:ind w:left="0"/>
        <w:rPr>
          <w:rFonts w:ascii="Century" w:hAnsi="Century" w:cs="Tahoma"/>
          <w:sz w:val="24"/>
          <w:szCs w:val="24"/>
        </w:rPr>
      </w:pPr>
    </w:p>
    <w:p w:rsidR="00214328" w:rsidRPr="00725EF0" w:rsidRDefault="00214328" w:rsidP="00214328">
      <w:pPr>
        <w:snapToGrid w:val="0"/>
        <w:jc w:val="both"/>
        <w:rPr>
          <w:rFonts w:ascii="Century" w:hAnsi="Century"/>
        </w:rPr>
      </w:pPr>
      <w:r w:rsidRPr="00725EF0">
        <w:rPr>
          <w:rFonts w:ascii="Century" w:hAnsi="Century"/>
          <w:b/>
          <w:bCs/>
          <w:i/>
          <w:iCs/>
        </w:rPr>
        <w:t>New York City Planning Commission – (</w:t>
      </w:r>
      <w:r w:rsidR="0074403D" w:rsidRPr="00725EF0">
        <w:rPr>
          <w:rFonts w:ascii="Century" w:hAnsi="Century"/>
          <w:b/>
          <w:bCs/>
          <w:i/>
          <w:iCs/>
        </w:rPr>
        <w:t>C</w:t>
      </w:r>
      <w:r w:rsidRPr="00725EF0">
        <w:rPr>
          <w:rFonts w:ascii="Century" w:hAnsi="Century"/>
          <w:b/>
          <w:bCs/>
          <w:i/>
          <w:iCs/>
        </w:rPr>
        <w:t>andidate</w:t>
      </w:r>
      <w:r w:rsidR="0074403D" w:rsidRPr="00725EF0">
        <w:rPr>
          <w:rFonts w:ascii="Century" w:hAnsi="Century"/>
          <w:b/>
          <w:bCs/>
          <w:i/>
          <w:iCs/>
        </w:rPr>
        <w:t xml:space="preserve"> </w:t>
      </w:r>
      <w:r w:rsidRPr="00725EF0">
        <w:rPr>
          <w:rFonts w:ascii="Century" w:hAnsi="Century"/>
          <w:b/>
          <w:bCs/>
          <w:i/>
          <w:iCs/>
        </w:rPr>
        <w:t>for appointmen</w:t>
      </w:r>
      <w:r w:rsidR="002116B3" w:rsidRPr="00725EF0">
        <w:rPr>
          <w:rFonts w:ascii="Century" w:hAnsi="Century"/>
          <w:b/>
          <w:bCs/>
          <w:i/>
          <w:iCs/>
        </w:rPr>
        <w:t>t</w:t>
      </w:r>
      <w:r w:rsidRPr="00725EF0">
        <w:rPr>
          <w:rFonts w:ascii="Century" w:hAnsi="Century"/>
          <w:b/>
          <w:bCs/>
          <w:i/>
          <w:iCs/>
        </w:rPr>
        <w:t xml:space="preserve"> </w:t>
      </w:r>
      <w:r w:rsidR="006E16E0">
        <w:rPr>
          <w:rFonts w:ascii="Century" w:hAnsi="Century"/>
          <w:b/>
          <w:bCs/>
          <w:i/>
          <w:iCs/>
        </w:rPr>
        <w:t xml:space="preserve">by the </w:t>
      </w:r>
      <w:r w:rsidR="002337CA">
        <w:rPr>
          <w:rFonts w:ascii="Century" w:hAnsi="Century"/>
          <w:b/>
          <w:bCs/>
          <w:i/>
          <w:iCs/>
        </w:rPr>
        <w:t>Mayor</w:t>
      </w:r>
      <w:r w:rsidR="006E16E0">
        <w:rPr>
          <w:rFonts w:ascii="Century" w:hAnsi="Century"/>
          <w:b/>
          <w:bCs/>
          <w:i/>
          <w:iCs/>
        </w:rPr>
        <w:t xml:space="preserve"> </w:t>
      </w:r>
      <w:r w:rsidRPr="00725EF0">
        <w:rPr>
          <w:rFonts w:ascii="Century" w:hAnsi="Century"/>
          <w:b/>
          <w:bCs/>
          <w:i/>
          <w:iCs/>
        </w:rPr>
        <w:t xml:space="preserve">upon </w:t>
      </w:r>
      <w:r w:rsidR="0074403D" w:rsidRPr="00725EF0">
        <w:rPr>
          <w:rFonts w:ascii="Century" w:hAnsi="Century"/>
          <w:b/>
          <w:bCs/>
          <w:i/>
          <w:iCs/>
        </w:rPr>
        <w:t xml:space="preserve">the </w:t>
      </w:r>
      <w:r w:rsidRPr="00725EF0">
        <w:rPr>
          <w:rFonts w:ascii="Century" w:hAnsi="Century"/>
          <w:b/>
          <w:bCs/>
          <w:i/>
          <w:iCs/>
        </w:rPr>
        <w:t>advice and consent of the Council)</w:t>
      </w:r>
    </w:p>
    <w:p w:rsidR="00214328" w:rsidRDefault="00214328" w:rsidP="00214328">
      <w:pPr>
        <w:jc w:val="both"/>
        <w:rPr>
          <w:rFonts w:ascii="Century" w:hAnsi="Century"/>
          <w:b/>
          <w:bCs/>
          <w:i/>
          <w:iCs/>
        </w:rPr>
      </w:pPr>
    </w:p>
    <w:p w:rsidR="00F04E85" w:rsidRDefault="002337CA" w:rsidP="00F04E85">
      <w:pPr>
        <w:widowControl/>
        <w:numPr>
          <w:ilvl w:val="0"/>
          <w:numId w:val="10"/>
        </w:numPr>
        <w:snapToGrid w:val="0"/>
        <w:rPr>
          <w:rFonts w:ascii="Century" w:hAnsi="Century"/>
          <w:b/>
          <w:bCs/>
        </w:rPr>
      </w:pPr>
      <w:r w:rsidRPr="001C56BF">
        <w:rPr>
          <w:rFonts w:ascii="Palatino Linotype" w:hAnsi="Palatino Linotype"/>
          <w:b/>
        </w:rPr>
        <w:t>David Burney</w:t>
      </w:r>
      <w:r w:rsidR="00923C63">
        <w:rPr>
          <w:rFonts w:ascii="Palatino Linotype" w:hAnsi="Palatino Linotype"/>
        </w:rPr>
        <w:t xml:space="preserve"> </w:t>
      </w:r>
      <w:r w:rsidR="00F04E85">
        <w:rPr>
          <w:rFonts w:ascii="Century" w:hAnsi="Century"/>
          <w:b/>
          <w:bCs/>
        </w:rPr>
        <w:t>[M</w:t>
      </w:r>
      <w:r>
        <w:rPr>
          <w:rFonts w:ascii="Century" w:hAnsi="Century"/>
          <w:b/>
          <w:bCs/>
        </w:rPr>
        <w:t>-140</w:t>
      </w:r>
      <w:r w:rsidR="00F04E85">
        <w:rPr>
          <w:rFonts w:ascii="Century" w:hAnsi="Century"/>
          <w:b/>
          <w:bCs/>
        </w:rPr>
        <w:t>]</w:t>
      </w:r>
    </w:p>
    <w:p w:rsidR="00214328" w:rsidRPr="00725EF0" w:rsidRDefault="00214328" w:rsidP="00F04E85">
      <w:pPr>
        <w:widowControl/>
        <w:rPr>
          <w:rFonts w:ascii="Century" w:hAnsi="Century"/>
          <w:b/>
        </w:rPr>
      </w:pPr>
    </w:p>
    <w:p w:rsidR="00214328" w:rsidRPr="00725EF0" w:rsidRDefault="007F0762" w:rsidP="008C5721">
      <w:pPr>
        <w:snapToGrid w:val="0"/>
        <w:jc w:val="both"/>
        <w:rPr>
          <w:rFonts w:ascii="Century" w:hAnsi="Century"/>
        </w:rPr>
      </w:pPr>
      <w:r w:rsidRPr="00725EF0">
        <w:rPr>
          <w:rFonts w:ascii="Century" w:hAnsi="Century"/>
        </w:rPr>
        <w:t>Pursuant to</w:t>
      </w:r>
      <w:r w:rsidR="00214328" w:rsidRPr="00725EF0">
        <w:rPr>
          <w:rFonts w:ascii="Century" w:hAnsi="Century"/>
        </w:rPr>
        <w:t xml:space="preserve"> the </w:t>
      </w:r>
      <w:r w:rsidR="00214328" w:rsidRPr="00725EF0">
        <w:rPr>
          <w:rFonts w:ascii="Century" w:hAnsi="Century"/>
          <w:i/>
          <w:iCs/>
        </w:rPr>
        <w:t>New York City Charter</w:t>
      </w:r>
      <w:r w:rsidR="00AB1805" w:rsidRPr="00725EF0">
        <w:rPr>
          <w:rFonts w:ascii="Century" w:hAnsi="Century"/>
        </w:rPr>
        <w:t xml:space="preserve"> (</w:t>
      </w:r>
      <w:r w:rsidR="00AB1805" w:rsidRPr="00725EF0">
        <w:rPr>
          <w:rFonts w:ascii="Century" w:hAnsi="Century"/>
          <w:i/>
        </w:rPr>
        <w:t>“Charter”</w:t>
      </w:r>
      <w:r w:rsidR="00AB1805" w:rsidRPr="00725EF0">
        <w:rPr>
          <w:rFonts w:ascii="Century" w:hAnsi="Century"/>
        </w:rPr>
        <w:t>)</w:t>
      </w:r>
      <w:r w:rsidR="00BF63B8" w:rsidRPr="00725EF0">
        <w:rPr>
          <w:rFonts w:ascii="Century" w:hAnsi="Century"/>
        </w:rPr>
        <w:t xml:space="preserve"> §192</w:t>
      </w:r>
      <w:r w:rsidR="00AB1805" w:rsidRPr="00725EF0">
        <w:rPr>
          <w:rFonts w:ascii="Century" w:hAnsi="Century"/>
        </w:rPr>
        <w:t xml:space="preserve">, </w:t>
      </w:r>
      <w:r w:rsidR="00214328" w:rsidRPr="00725EF0">
        <w:rPr>
          <w:rFonts w:ascii="Century" w:hAnsi="Century"/>
        </w:rPr>
        <w:t>there shall be a thirteen-member C</w:t>
      </w:r>
      <w:r w:rsidR="00AB1805" w:rsidRPr="00725EF0">
        <w:rPr>
          <w:rFonts w:ascii="Century" w:hAnsi="Century"/>
        </w:rPr>
        <w:t>ity Planning Commission,</w:t>
      </w:r>
      <w:r w:rsidR="00214328" w:rsidRPr="00725EF0">
        <w:rPr>
          <w:rFonts w:ascii="Century" w:hAnsi="Century"/>
        </w:rPr>
        <w:t xml:space="preserve"> with seven appointments made by the Mayor (including the Chair), one by the Public Advocate, and one by each Borough President</w:t>
      </w:r>
      <w:r w:rsidR="00770ED7" w:rsidRPr="00725EF0">
        <w:rPr>
          <w:rFonts w:ascii="Century" w:hAnsi="Century"/>
        </w:rPr>
        <w:t>.</w:t>
      </w:r>
      <w:r w:rsidR="00214328" w:rsidRPr="00725EF0">
        <w:rPr>
          <w:rFonts w:ascii="Century" w:hAnsi="Century"/>
        </w:rPr>
        <w:t xml:space="preserve"> [</w:t>
      </w:r>
      <w:r w:rsidR="00214328" w:rsidRPr="00725EF0">
        <w:rPr>
          <w:rFonts w:ascii="Century" w:hAnsi="Century"/>
          <w:i/>
          <w:iCs/>
        </w:rPr>
        <w:t>Charter</w:t>
      </w:r>
      <w:r w:rsidR="00214328" w:rsidRPr="00725EF0">
        <w:rPr>
          <w:rFonts w:ascii="Century" w:hAnsi="Century"/>
        </w:rPr>
        <w:t xml:space="preserve"> §192(a)]    All members, except the Chair, are subject to the advice and consent of the Council</w:t>
      </w:r>
      <w:r w:rsidR="00770ED7" w:rsidRPr="00725EF0">
        <w:rPr>
          <w:rFonts w:ascii="Century" w:hAnsi="Century"/>
        </w:rPr>
        <w:t>.</w:t>
      </w:r>
      <w:r w:rsidR="00214328" w:rsidRPr="00725EF0">
        <w:rPr>
          <w:rFonts w:ascii="Century" w:hAnsi="Century"/>
        </w:rPr>
        <w:t xml:space="preserve"> [</w:t>
      </w:r>
      <w:r w:rsidR="00214328" w:rsidRPr="00725EF0">
        <w:rPr>
          <w:rFonts w:ascii="Century" w:hAnsi="Century"/>
          <w:i/>
          <w:iCs/>
        </w:rPr>
        <w:t>Charter</w:t>
      </w:r>
      <w:r w:rsidR="00214328" w:rsidRPr="00725EF0">
        <w:rPr>
          <w:rFonts w:ascii="Century" w:hAnsi="Century"/>
        </w:rPr>
        <w:t xml:space="preserve"> §192(a)]  Further, the </w:t>
      </w:r>
      <w:r w:rsidR="00214328" w:rsidRPr="00725EF0">
        <w:rPr>
          <w:rFonts w:ascii="Century" w:hAnsi="Century"/>
          <w:i/>
          <w:iCs/>
        </w:rPr>
        <w:t>Charter</w:t>
      </w:r>
      <w:r w:rsidR="00214328" w:rsidRPr="00725EF0">
        <w:rPr>
          <w:rFonts w:ascii="Century" w:hAnsi="Century"/>
        </w:rPr>
        <w:t xml:space="preserve"> states that members are to be chosen for their independence, integrity, and civic commitment</w:t>
      </w:r>
      <w:r w:rsidR="00770ED7" w:rsidRPr="00725EF0">
        <w:rPr>
          <w:rFonts w:ascii="Century" w:hAnsi="Century"/>
        </w:rPr>
        <w:t>.</w:t>
      </w:r>
      <w:r w:rsidR="00214328" w:rsidRPr="00725EF0">
        <w:rPr>
          <w:rFonts w:ascii="Century" w:hAnsi="Century"/>
        </w:rPr>
        <w:t xml:space="preserve"> [</w:t>
      </w:r>
      <w:r w:rsidR="00214328" w:rsidRPr="00725EF0">
        <w:rPr>
          <w:rFonts w:ascii="Century" w:hAnsi="Century"/>
          <w:i/>
          <w:iCs/>
        </w:rPr>
        <w:t>Charter</w:t>
      </w:r>
      <w:r w:rsidR="00214328" w:rsidRPr="00725EF0">
        <w:rPr>
          <w:rFonts w:ascii="Century" w:hAnsi="Century"/>
        </w:rPr>
        <w:t xml:space="preserve"> §192(a)]</w:t>
      </w:r>
    </w:p>
    <w:p w:rsidR="00214328" w:rsidRPr="00725EF0" w:rsidRDefault="00214328" w:rsidP="00214328">
      <w:pPr>
        <w:snapToGrid w:val="0"/>
        <w:jc w:val="both"/>
        <w:rPr>
          <w:rFonts w:ascii="Century" w:hAnsi="Century"/>
        </w:rPr>
      </w:pPr>
    </w:p>
    <w:p w:rsidR="00214328" w:rsidRPr="00725EF0" w:rsidRDefault="00214328" w:rsidP="00214328">
      <w:pPr>
        <w:snapToGrid w:val="0"/>
        <w:jc w:val="both"/>
        <w:rPr>
          <w:rFonts w:ascii="Century" w:hAnsi="Century"/>
        </w:rPr>
      </w:pPr>
      <w:r w:rsidRPr="00725EF0">
        <w:rPr>
          <w:rFonts w:ascii="Century" w:hAnsi="Century"/>
        </w:rPr>
        <w:t xml:space="preserve">The </w:t>
      </w:r>
      <w:r w:rsidRPr="00725EF0">
        <w:rPr>
          <w:rFonts w:ascii="Century" w:hAnsi="Century"/>
          <w:i/>
          <w:iCs/>
        </w:rPr>
        <w:t xml:space="preserve">Charter </w:t>
      </w:r>
      <w:r w:rsidRPr="00725EF0">
        <w:rPr>
          <w:rFonts w:ascii="Century" w:hAnsi="Century"/>
        </w:rPr>
        <w:t xml:space="preserve">provides that CPC members </w:t>
      </w:r>
      <w:r w:rsidR="00BF63B8" w:rsidRPr="00725EF0">
        <w:rPr>
          <w:rFonts w:ascii="Century" w:hAnsi="Century"/>
        </w:rPr>
        <w:t xml:space="preserve">shall </w:t>
      </w:r>
      <w:r w:rsidRPr="00725EF0">
        <w:rPr>
          <w:rFonts w:ascii="Century" w:hAnsi="Century"/>
        </w:rPr>
        <w:t>serve for staggered five-year terms, except for the Chair, who as Director of the Department of City Planning (</w:t>
      </w:r>
      <w:r w:rsidRPr="00725EF0">
        <w:rPr>
          <w:rFonts w:ascii="Century" w:hAnsi="Century"/>
          <w:i/>
          <w:iCs/>
        </w:rPr>
        <w:t>Charter</w:t>
      </w:r>
      <w:r w:rsidRPr="00725EF0">
        <w:rPr>
          <w:rFonts w:ascii="Century" w:hAnsi="Century"/>
        </w:rPr>
        <w:t xml:space="preserve"> §191), serves at the pleasure of the Mayor</w:t>
      </w:r>
      <w:r w:rsidR="00770ED7" w:rsidRPr="00725EF0">
        <w:rPr>
          <w:rFonts w:ascii="Century" w:hAnsi="Century"/>
        </w:rPr>
        <w:t>.</w:t>
      </w:r>
      <w:r w:rsidRPr="00725EF0">
        <w:rPr>
          <w:rFonts w:ascii="Century" w:hAnsi="Century"/>
        </w:rPr>
        <w:t xml:space="preserve"> [</w:t>
      </w:r>
      <w:r w:rsidRPr="00725EF0">
        <w:rPr>
          <w:rFonts w:ascii="Century" w:hAnsi="Century"/>
          <w:i/>
          <w:iCs/>
        </w:rPr>
        <w:t>Charter</w:t>
      </w:r>
      <w:r w:rsidRPr="00725EF0">
        <w:rPr>
          <w:rFonts w:ascii="Century" w:hAnsi="Century"/>
        </w:rPr>
        <w:t xml:space="preserve"> §192(a)]  For purposes of Chapter 68 of the </w:t>
      </w:r>
      <w:r w:rsidRPr="00725EF0">
        <w:rPr>
          <w:rFonts w:ascii="Century" w:hAnsi="Century"/>
          <w:i/>
          <w:iCs/>
        </w:rPr>
        <w:t>Charter</w:t>
      </w:r>
      <w:r w:rsidR="00BF63B8" w:rsidRPr="00725EF0">
        <w:rPr>
          <w:rFonts w:ascii="Century" w:hAnsi="Century"/>
          <w:i/>
          <w:iCs/>
        </w:rPr>
        <w:t xml:space="preserve"> </w:t>
      </w:r>
      <w:r w:rsidR="00BF63B8" w:rsidRPr="00725EF0">
        <w:rPr>
          <w:rFonts w:ascii="Century" w:hAnsi="Century"/>
        </w:rPr>
        <w:t>(Conflicts of Interest)</w:t>
      </w:r>
      <w:r w:rsidRPr="00725EF0">
        <w:rPr>
          <w:rFonts w:ascii="Century" w:hAnsi="Century"/>
          <w:i/>
          <w:iCs/>
        </w:rPr>
        <w:t xml:space="preserve">, </w:t>
      </w:r>
      <w:r w:rsidRPr="00725EF0">
        <w:rPr>
          <w:rFonts w:ascii="Century" w:hAnsi="Century"/>
        </w:rPr>
        <w:t>CPC members, other than the Chair, shall not be considered regular employees of the City</w:t>
      </w:r>
      <w:r w:rsidR="00770ED7" w:rsidRPr="00725EF0">
        <w:rPr>
          <w:rFonts w:ascii="Century" w:hAnsi="Century"/>
        </w:rPr>
        <w:t>.</w:t>
      </w:r>
      <w:r w:rsidRPr="00725EF0">
        <w:rPr>
          <w:rFonts w:ascii="Century" w:hAnsi="Century"/>
        </w:rPr>
        <w:t xml:space="preserve"> [</w:t>
      </w:r>
      <w:r w:rsidRPr="00725EF0">
        <w:rPr>
          <w:rFonts w:ascii="Century" w:hAnsi="Century"/>
          <w:i/>
          <w:iCs/>
        </w:rPr>
        <w:t>Charter</w:t>
      </w:r>
      <w:r w:rsidRPr="00725EF0">
        <w:rPr>
          <w:rFonts w:ascii="Century" w:hAnsi="Century"/>
        </w:rPr>
        <w:t xml:space="preserve"> §192(b</w:t>
      </w:r>
      <w:r w:rsidR="00770ED7" w:rsidRPr="00725EF0">
        <w:rPr>
          <w:rFonts w:ascii="Century" w:hAnsi="Century"/>
        </w:rPr>
        <w:t>)]</w:t>
      </w:r>
      <w:r w:rsidRPr="00725EF0">
        <w:rPr>
          <w:rFonts w:ascii="Century" w:hAnsi="Century"/>
        </w:rPr>
        <w:t xml:space="preserve">  There is no limitation on the number of terms a CPC member may serve</w:t>
      </w:r>
      <w:r w:rsidR="00770ED7" w:rsidRPr="00725EF0">
        <w:rPr>
          <w:rFonts w:ascii="Century" w:hAnsi="Century"/>
        </w:rPr>
        <w:t>.</w:t>
      </w:r>
      <w:r w:rsidRPr="00725EF0">
        <w:rPr>
          <w:rFonts w:ascii="Century" w:hAnsi="Century"/>
        </w:rPr>
        <w:t xml:space="preserve"> [</w:t>
      </w:r>
      <w:r w:rsidRPr="00725EF0">
        <w:rPr>
          <w:rFonts w:ascii="Century" w:hAnsi="Century"/>
          <w:i/>
          <w:iCs/>
        </w:rPr>
        <w:t>Charter</w:t>
      </w:r>
      <w:r w:rsidR="00770ED7" w:rsidRPr="00725EF0">
        <w:rPr>
          <w:rFonts w:ascii="Century" w:hAnsi="Century"/>
        </w:rPr>
        <w:t xml:space="preserve"> §192(a)]</w:t>
      </w:r>
      <w:r w:rsidRPr="00725EF0">
        <w:rPr>
          <w:rFonts w:ascii="Century" w:hAnsi="Century"/>
        </w:rPr>
        <w:t xml:space="preserve"> CPC members are prohibited from holding any other City office while they serve on </w:t>
      </w:r>
      <w:r w:rsidR="00770ED7" w:rsidRPr="00725EF0">
        <w:rPr>
          <w:rFonts w:ascii="Century" w:hAnsi="Century"/>
        </w:rPr>
        <w:t xml:space="preserve">the </w:t>
      </w:r>
      <w:r w:rsidRPr="00725EF0">
        <w:rPr>
          <w:rFonts w:ascii="Century" w:hAnsi="Century"/>
        </w:rPr>
        <w:lastRenderedPageBreak/>
        <w:t>CPC</w:t>
      </w:r>
      <w:r w:rsidR="00770ED7" w:rsidRPr="00725EF0">
        <w:rPr>
          <w:rFonts w:ascii="Century" w:hAnsi="Century"/>
        </w:rPr>
        <w:t>.</w:t>
      </w:r>
      <w:r w:rsidRPr="00725EF0">
        <w:rPr>
          <w:rFonts w:ascii="Century" w:hAnsi="Century"/>
        </w:rPr>
        <w:t xml:space="preserve"> [</w:t>
      </w:r>
      <w:r w:rsidRPr="00725EF0">
        <w:rPr>
          <w:rFonts w:ascii="Century" w:hAnsi="Century"/>
          <w:i/>
          <w:iCs/>
        </w:rPr>
        <w:t>Charter</w:t>
      </w:r>
      <w:r w:rsidR="00770ED7" w:rsidRPr="00725EF0">
        <w:rPr>
          <w:rFonts w:ascii="Century" w:hAnsi="Century"/>
        </w:rPr>
        <w:t xml:space="preserve"> §192(b)]</w:t>
      </w:r>
      <w:r w:rsidRPr="00725EF0">
        <w:rPr>
          <w:rFonts w:ascii="Century" w:hAnsi="Century"/>
        </w:rPr>
        <w:t xml:space="preserve"> The Chair receives an annual salary of $2</w:t>
      </w:r>
      <w:r w:rsidR="00BB0EB6" w:rsidRPr="00725EF0">
        <w:rPr>
          <w:rFonts w:ascii="Century" w:hAnsi="Century"/>
        </w:rPr>
        <w:t>14</w:t>
      </w:r>
      <w:r w:rsidRPr="00725EF0">
        <w:rPr>
          <w:rFonts w:ascii="Century" w:hAnsi="Century"/>
        </w:rPr>
        <w:t>,</w:t>
      </w:r>
      <w:r w:rsidR="00BB0EB6" w:rsidRPr="00725EF0">
        <w:rPr>
          <w:rFonts w:ascii="Century" w:hAnsi="Century"/>
        </w:rPr>
        <w:t>413</w:t>
      </w:r>
      <w:r w:rsidRPr="00725EF0">
        <w:rPr>
          <w:rFonts w:ascii="Century" w:hAnsi="Century"/>
        </w:rPr>
        <w:t xml:space="preserve">.  The </w:t>
      </w:r>
      <w:r w:rsidR="00BF63B8" w:rsidRPr="00725EF0">
        <w:rPr>
          <w:rFonts w:ascii="Century" w:hAnsi="Century"/>
        </w:rPr>
        <w:t xml:space="preserve">CPC </w:t>
      </w:r>
      <w:r w:rsidRPr="00725EF0">
        <w:rPr>
          <w:rFonts w:ascii="Century" w:hAnsi="Century"/>
        </w:rPr>
        <w:t xml:space="preserve">member designated </w:t>
      </w:r>
      <w:r w:rsidR="00BF63B8" w:rsidRPr="00725EF0">
        <w:rPr>
          <w:rFonts w:ascii="Century" w:hAnsi="Century"/>
        </w:rPr>
        <w:t xml:space="preserve">to serve </w:t>
      </w:r>
      <w:r w:rsidRPr="00725EF0">
        <w:rPr>
          <w:rFonts w:ascii="Century" w:hAnsi="Century"/>
        </w:rPr>
        <w:t>as</w:t>
      </w:r>
      <w:r w:rsidR="00BF63B8" w:rsidRPr="00725EF0">
        <w:rPr>
          <w:rFonts w:ascii="Century" w:hAnsi="Century"/>
        </w:rPr>
        <w:t xml:space="preserve"> the</w:t>
      </w:r>
      <w:r w:rsidRPr="00725EF0">
        <w:rPr>
          <w:rFonts w:ascii="Century" w:hAnsi="Century"/>
        </w:rPr>
        <w:t xml:space="preserve"> Vice-Chair receives an annual salary of $6</w:t>
      </w:r>
      <w:r w:rsidR="00BB0EB6" w:rsidRPr="00725EF0">
        <w:rPr>
          <w:rFonts w:ascii="Century" w:hAnsi="Century"/>
        </w:rPr>
        <w:t>5</w:t>
      </w:r>
      <w:r w:rsidRPr="00725EF0">
        <w:rPr>
          <w:rFonts w:ascii="Century" w:hAnsi="Century"/>
        </w:rPr>
        <w:t>,</w:t>
      </w:r>
      <w:r w:rsidR="00BB0EB6" w:rsidRPr="00725EF0">
        <w:rPr>
          <w:rFonts w:ascii="Century" w:hAnsi="Century"/>
        </w:rPr>
        <w:t>12</w:t>
      </w:r>
      <w:r w:rsidRPr="00725EF0">
        <w:rPr>
          <w:rFonts w:ascii="Century" w:hAnsi="Century"/>
        </w:rPr>
        <w:t xml:space="preserve">1.  The other </w:t>
      </w:r>
      <w:r w:rsidR="004E79DF" w:rsidRPr="00725EF0">
        <w:rPr>
          <w:rFonts w:ascii="Century" w:hAnsi="Century"/>
        </w:rPr>
        <w:t xml:space="preserve">CPC </w:t>
      </w:r>
      <w:r w:rsidRPr="00725EF0">
        <w:rPr>
          <w:rFonts w:ascii="Century" w:hAnsi="Century"/>
        </w:rPr>
        <w:t xml:space="preserve">members receive an annual salary of $54,150.    </w:t>
      </w:r>
    </w:p>
    <w:p w:rsidR="00214328" w:rsidRPr="00725EF0" w:rsidRDefault="00214328" w:rsidP="00214328">
      <w:pPr>
        <w:snapToGrid w:val="0"/>
        <w:jc w:val="both"/>
        <w:rPr>
          <w:rFonts w:ascii="Century" w:hAnsi="Century"/>
        </w:rPr>
      </w:pPr>
    </w:p>
    <w:p w:rsidR="00214328" w:rsidRPr="00725EF0" w:rsidRDefault="00214328" w:rsidP="00214328">
      <w:pPr>
        <w:snapToGrid w:val="0"/>
        <w:jc w:val="both"/>
        <w:rPr>
          <w:rFonts w:ascii="Century" w:hAnsi="Century"/>
        </w:rPr>
      </w:pPr>
      <w:r w:rsidRPr="00725EF0">
        <w:rPr>
          <w:rFonts w:ascii="Century" w:hAnsi="Century"/>
        </w:rPr>
        <w:t>CPC is responsible for</w:t>
      </w:r>
      <w:r w:rsidR="00155CCD" w:rsidRPr="00725EF0">
        <w:rPr>
          <w:rFonts w:ascii="Century" w:hAnsi="Century"/>
        </w:rPr>
        <w:t xml:space="preserve"> the following</w:t>
      </w:r>
      <w:r w:rsidRPr="00725EF0">
        <w:rPr>
          <w:rFonts w:ascii="Century" w:hAnsi="Century"/>
        </w:rPr>
        <w:t>:</w:t>
      </w:r>
    </w:p>
    <w:p w:rsidR="00155CCD" w:rsidRPr="00725EF0" w:rsidRDefault="00282F54" w:rsidP="00155CCD">
      <w:pPr>
        <w:pStyle w:val="ListParagraph"/>
        <w:numPr>
          <w:ilvl w:val="0"/>
          <w:numId w:val="6"/>
        </w:numPr>
        <w:snapToGrid w:val="0"/>
        <w:jc w:val="both"/>
        <w:rPr>
          <w:rFonts w:ascii="Century" w:hAnsi="Century"/>
        </w:rPr>
      </w:pPr>
      <w:r w:rsidRPr="00725EF0">
        <w:rPr>
          <w:rFonts w:ascii="Century" w:hAnsi="Century"/>
        </w:rPr>
        <w:t>CPC must engage in planning focused on</w:t>
      </w:r>
      <w:r w:rsidR="00214328" w:rsidRPr="00725EF0">
        <w:rPr>
          <w:rFonts w:ascii="Century" w:hAnsi="Century"/>
        </w:rPr>
        <w:t xml:space="preserve"> the City’s orderly growth, improvement</w:t>
      </w:r>
      <w:r w:rsidR="00770ED7" w:rsidRPr="00725EF0">
        <w:rPr>
          <w:rFonts w:ascii="Century" w:hAnsi="Century"/>
        </w:rPr>
        <w:t>,</w:t>
      </w:r>
      <w:r w:rsidR="00214328" w:rsidRPr="00725EF0">
        <w:rPr>
          <w:rFonts w:ascii="Century" w:hAnsi="Century"/>
        </w:rPr>
        <w:t xml:space="preserve"> and future development,</w:t>
      </w:r>
      <w:r w:rsidRPr="00725EF0">
        <w:rPr>
          <w:rFonts w:ascii="Century" w:hAnsi="Century"/>
        </w:rPr>
        <w:t xml:space="preserve"> which includes consideration of </w:t>
      </w:r>
      <w:r w:rsidR="00214328" w:rsidRPr="00725EF0">
        <w:rPr>
          <w:rFonts w:ascii="Century" w:hAnsi="Century"/>
        </w:rPr>
        <w:t>appropriate resources for housing, business, industry, recreation</w:t>
      </w:r>
      <w:r w:rsidRPr="00725EF0">
        <w:rPr>
          <w:rFonts w:ascii="Century" w:hAnsi="Century"/>
        </w:rPr>
        <w:t>,</w:t>
      </w:r>
      <w:r w:rsidR="00214328" w:rsidRPr="00725EF0">
        <w:rPr>
          <w:rFonts w:ascii="Century" w:hAnsi="Century"/>
        </w:rPr>
        <w:t xml:space="preserve"> and culture</w:t>
      </w:r>
      <w:r w:rsidRPr="00725EF0">
        <w:rPr>
          <w:rFonts w:ascii="Century" w:hAnsi="Century"/>
        </w:rPr>
        <w:t>.</w:t>
      </w:r>
      <w:r w:rsidR="00214328" w:rsidRPr="00725EF0">
        <w:rPr>
          <w:rFonts w:ascii="Century" w:hAnsi="Century"/>
        </w:rPr>
        <w:t xml:space="preserve"> [</w:t>
      </w:r>
      <w:r w:rsidR="00214328" w:rsidRPr="00725EF0">
        <w:rPr>
          <w:rFonts w:ascii="Century" w:hAnsi="Century"/>
          <w:i/>
          <w:iCs/>
        </w:rPr>
        <w:t>Charter</w:t>
      </w:r>
      <w:r w:rsidR="00214328" w:rsidRPr="00725EF0">
        <w:rPr>
          <w:rFonts w:ascii="Century" w:hAnsi="Century"/>
        </w:rPr>
        <w:t xml:space="preserve"> §192(d)];</w:t>
      </w:r>
    </w:p>
    <w:p w:rsidR="00770ED7" w:rsidRPr="00725EF0" w:rsidRDefault="00770ED7" w:rsidP="00770ED7">
      <w:pPr>
        <w:pStyle w:val="ListParagraph"/>
        <w:snapToGrid w:val="0"/>
        <w:ind w:left="1440"/>
        <w:jc w:val="both"/>
        <w:rPr>
          <w:rFonts w:ascii="Century" w:hAnsi="Century"/>
        </w:rPr>
      </w:pPr>
    </w:p>
    <w:p w:rsidR="00155CCD" w:rsidRPr="00725EF0" w:rsidRDefault="00282F54" w:rsidP="00155CCD">
      <w:pPr>
        <w:pStyle w:val="ListParagraph"/>
        <w:numPr>
          <w:ilvl w:val="0"/>
          <w:numId w:val="6"/>
        </w:numPr>
        <w:snapToGrid w:val="0"/>
        <w:jc w:val="both"/>
        <w:rPr>
          <w:rFonts w:ascii="Century" w:hAnsi="Century"/>
        </w:rPr>
      </w:pPr>
      <w:r w:rsidRPr="00725EF0">
        <w:rPr>
          <w:rFonts w:ascii="Century" w:hAnsi="Century"/>
        </w:rPr>
        <w:t xml:space="preserve">CPC </w:t>
      </w:r>
      <w:r w:rsidR="00214328" w:rsidRPr="00725EF0">
        <w:rPr>
          <w:rFonts w:ascii="Century" w:hAnsi="Century"/>
        </w:rPr>
        <w:t>assist</w:t>
      </w:r>
      <w:r w:rsidRPr="00725EF0">
        <w:rPr>
          <w:rFonts w:ascii="Century" w:hAnsi="Century"/>
        </w:rPr>
        <w:t>s</w:t>
      </w:r>
      <w:r w:rsidR="00214328" w:rsidRPr="00725EF0">
        <w:rPr>
          <w:rFonts w:ascii="Century" w:hAnsi="Century"/>
        </w:rPr>
        <w:t xml:space="preserve"> the Mayor and other officials in developing the ten-year capital strategy, </w:t>
      </w:r>
      <w:r w:rsidR="00770ED7" w:rsidRPr="00725EF0">
        <w:rPr>
          <w:rFonts w:ascii="Century" w:hAnsi="Century"/>
        </w:rPr>
        <w:t>the four-year capital program</w:t>
      </w:r>
      <w:r w:rsidR="00C4497E" w:rsidRPr="00725EF0">
        <w:rPr>
          <w:rFonts w:ascii="Century" w:hAnsi="Century"/>
        </w:rPr>
        <w:t>,</w:t>
      </w:r>
      <w:r w:rsidR="00770ED7" w:rsidRPr="00725EF0">
        <w:rPr>
          <w:rFonts w:ascii="Century" w:hAnsi="Century"/>
        </w:rPr>
        <w:t xml:space="preserve"> as well as</w:t>
      </w:r>
      <w:r w:rsidR="00214328" w:rsidRPr="00725EF0">
        <w:rPr>
          <w:rFonts w:ascii="Century" w:hAnsi="Century"/>
        </w:rPr>
        <w:t xml:space="preserve"> the annual </w:t>
      </w:r>
      <w:r w:rsidR="00214328" w:rsidRPr="00725EF0">
        <w:rPr>
          <w:rFonts w:ascii="Century" w:hAnsi="Century"/>
          <w:i/>
          <w:iCs/>
        </w:rPr>
        <w:t>Statement of Needs</w:t>
      </w:r>
      <w:r w:rsidRPr="00725EF0">
        <w:rPr>
          <w:rFonts w:ascii="Century" w:hAnsi="Century"/>
          <w:i/>
          <w:iCs/>
        </w:rPr>
        <w:t>.</w:t>
      </w:r>
      <w:r w:rsidR="00214328" w:rsidRPr="00725EF0">
        <w:rPr>
          <w:rFonts w:ascii="Century" w:hAnsi="Century"/>
          <w:i/>
          <w:iCs/>
        </w:rPr>
        <w:t xml:space="preserve"> </w:t>
      </w:r>
      <w:r w:rsidR="00214328" w:rsidRPr="00725EF0">
        <w:rPr>
          <w:rFonts w:ascii="Century" w:hAnsi="Century"/>
        </w:rPr>
        <w:t>[</w:t>
      </w:r>
      <w:r w:rsidR="00214328" w:rsidRPr="00725EF0">
        <w:rPr>
          <w:rFonts w:ascii="Century" w:hAnsi="Century"/>
          <w:i/>
          <w:iCs/>
        </w:rPr>
        <w:t>Charter</w:t>
      </w:r>
      <w:r w:rsidR="00214328" w:rsidRPr="00725EF0">
        <w:rPr>
          <w:rFonts w:ascii="Century" w:hAnsi="Century"/>
        </w:rPr>
        <w:t xml:space="preserve"> §192(f)];  </w:t>
      </w:r>
    </w:p>
    <w:p w:rsidR="00770ED7" w:rsidRPr="00725EF0" w:rsidRDefault="00770ED7" w:rsidP="00770ED7">
      <w:pPr>
        <w:pStyle w:val="ListParagraph"/>
        <w:snapToGrid w:val="0"/>
        <w:ind w:left="1440"/>
        <w:jc w:val="both"/>
        <w:rPr>
          <w:rFonts w:ascii="Century" w:hAnsi="Century"/>
        </w:rPr>
      </w:pPr>
    </w:p>
    <w:p w:rsidR="00155CCD" w:rsidRPr="00725EF0" w:rsidRDefault="00282F54" w:rsidP="00155CCD">
      <w:pPr>
        <w:pStyle w:val="ListParagraph"/>
        <w:numPr>
          <w:ilvl w:val="0"/>
          <w:numId w:val="6"/>
        </w:numPr>
        <w:snapToGrid w:val="0"/>
        <w:jc w:val="both"/>
        <w:rPr>
          <w:rFonts w:ascii="Century" w:hAnsi="Century"/>
        </w:rPr>
      </w:pPr>
      <w:r w:rsidRPr="00725EF0">
        <w:rPr>
          <w:rFonts w:ascii="Century" w:hAnsi="Century"/>
        </w:rPr>
        <w:t xml:space="preserve">CPC </w:t>
      </w:r>
      <w:r w:rsidR="00214328" w:rsidRPr="00725EF0">
        <w:rPr>
          <w:rFonts w:ascii="Century" w:hAnsi="Century"/>
        </w:rPr>
        <w:t>oversee</w:t>
      </w:r>
      <w:r w:rsidRPr="00725EF0">
        <w:rPr>
          <w:rFonts w:ascii="Century" w:hAnsi="Century"/>
        </w:rPr>
        <w:t>s and coordinates</w:t>
      </w:r>
      <w:r w:rsidR="00214328" w:rsidRPr="00725EF0">
        <w:rPr>
          <w:rFonts w:ascii="Century" w:hAnsi="Century"/>
        </w:rPr>
        <w:t xml:space="preserve"> environmental reviews under the </w:t>
      </w:r>
      <w:r w:rsidR="00214328" w:rsidRPr="00725EF0">
        <w:rPr>
          <w:rFonts w:ascii="Century" w:hAnsi="Century"/>
          <w:i/>
          <w:iCs/>
        </w:rPr>
        <w:t>City Environmental Quality Review</w:t>
      </w:r>
      <w:r w:rsidR="00214328" w:rsidRPr="00725EF0">
        <w:rPr>
          <w:rFonts w:ascii="Century" w:hAnsi="Century"/>
        </w:rPr>
        <w:t xml:space="preserve"> (“CEQR”), as mandated by state law (</w:t>
      </w:r>
      <w:r w:rsidR="00214328" w:rsidRPr="00725EF0">
        <w:rPr>
          <w:rFonts w:ascii="Century" w:hAnsi="Century"/>
          <w:i/>
          <w:iCs/>
        </w:rPr>
        <w:t>Environmental Conservation Law</w:t>
      </w:r>
      <w:r w:rsidR="00214328" w:rsidRPr="00725EF0">
        <w:rPr>
          <w:rFonts w:ascii="Century" w:hAnsi="Century"/>
        </w:rPr>
        <w:t xml:space="preserve"> – Article 8)</w:t>
      </w:r>
      <w:r w:rsidRPr="00725EF0">
        <w:rPr>
          <w:rFonts w:ascii="Century" w:hAnsi="Century"/>
        </w:rPr>
        <w:t>.</w:t>
      </w:r>
      <w:r w:rsidR="00214328" w:rsidRPr="00725EF0">
        <w:rPr>
          <w:rFonts w:ascii="Century" w:hAnsi="Century"/>
        </w:rPr>
        <w:t xml:space="preserve"> [</w:t>
      </w:r>
      <w:r w:rsidR="00214328" w:rsidRPr="00725EF0">
        <w:rPr>
          <w:rFonts w:ascii="Century" w:hAnsi="Century"/>
          <w:i/>
          <w:iCs/>
        </w:rPr>
        <w:t>Charter</w:t>
      </w:r>
      <w:r w:rsidR="00214328" w:rsidRPr="00725EF0">
        <w:rPr>
          <w:rFonts w:ascii="Century" w:hAnsi="Century"/>
        </w:rPr>
        <w:t xml:space="preserve"> §192(e)];</w:t>
      </w:r>
    </w:p>
    <w:p w:rsidR="00770ED7" w:rsidRPr="00725EF0" w:rsidRDefault="00770ED7" w:rsidP="00770ED7">
      <w:pPr>
        <w:pStyle w:val="ListParagraph"/>
        <w:rPr>
          <w:rFonts w:ascii="Century" w:hAnsi="Century"/>
        </w:rPr>
      </w:pPr>
    </w:p>
    <w:p w:rsidR="00155CCD" w:rsidRPr="00725EF0" w:rsidRDefault="00E824CB" w:rsidP="00155CCD">
      <w:pPr>
        <w:pStyle w:val="ListParagraph"/>
        <w:numPr>
          <w:ilvl w:val="0"/>
          <w:numId w:val="6"/>
        </w:numPr>
        <w:snapToGrid w:val="0"/>
        <w:jc w:val="both"/>
        <w:rPr>
          <w:rFonts w:ascii="Century" w:hAnsi="Century"/>
        </w:rPr>
      </w:pPr>
      <w:r w:rsidRPr="00725EF0">
        <w:rPr>
          <w:rFonts w:ascii="Century" w:hAnsi="Century"/>
        </w:rPr>
        <w:t xml:space="preserve">Every four years, </w:t>
      </w:r>
      <w:r w:rsidR="00CA0AE2" w:rsidRPr="00725EF0">
        <w:rPr>
          <w:rFonts w:ascii="Century" w:hAnsi="Century"/>
        </w:rPr>
        <w:t xml:space="preserve">the </w:t>
      </w:r>
      <w:r w:rsidRPr="00725EF0">
        <w:rPr>
          <w:rFonts w:ascii="Century" w:hAnsi="Century"/>
        </w:rPr>
        <w:t>CPC must prepare and file with the Mayor, Council, Public Advocate, Borough President</w:t>
      </w:r>
      <w:r w:rsidR="00282F54" w:rsidRPr="00725EF0">
        <w:rPr>
          <w:rFonts w:ascii="Century" w:hAnsi="Century"/>
        </w:rPr>
        <w:t>s</w:t>
      </w:r>
      <w:r w:rsidRPr="00725EF0">
        <w:rPr>
          <w:rFonts w:ascii="Century" w:hAnsi="Century"/>
        </w:rPr>
        <w:t xml:space="preserve"> and Community Boards, a</w:t>
      </w:r>
      <w:r w:rsidR="00214328" w:rsidRPr="00725EF0">
        <w:rPr>
          <w:rFonts w:ascii="Century" w:hAnsi="Century"/>
        </w:rPr>
        <w:t xml:space="preserve"> zoning and planning report</w:t>
      </w:r>
      <w:r w:rsidRPr="00725EF0">
        <w:rPr>
          <w:rFonts w:ascii="Century" w:hAnsi="Century"/>
        </w:rPr>
        <w:t xml:space="preserve"> containing</w:t>
      </w:r>
      <w:r w:rsidR="00282F54" w:rsidRPr="00725EF0">
        <w:rPr>
          <w:rFonts w:ascii="Century" w:hAnsi="Century"/>
        </w:rPr>
        <w:t xml:space="preserve"> CPC’s Planning Policy, and in light of this policy</w:t>
      </w:r>
      <w:r w:rsidR="00214328" w:rsidRPr="00725EF0">
        <w:rPr>
          <w:rFonts w:ascii="Century" w:hAnsi="Century"/>
        </w:rPr>
        <w:t xml:space="preserve">, </w:t>
      </w:r>
      <w:r w:rsidR="00282F54" w:rsidRPr="00725EF0">
        <w:rPr>
          <w:rFonts w:ascii="Century" w:hAnsi="Century"/>
        </w:rPr>
        <w:t>provide a proposal for implementing the policy</w:t>
      </w:r>
      <w:r w:rsidR="00CA0AE2" w:rsidRPr="00725EF0">
        <w:rPr>
          <w:rFonts w:ascii="Century" w:hAnsi="Century"/>
        </w:rPr>
        <w:t>, along with any associated</w:t>
      </w:r>
      <w:r w:rsidR="00282F54" w:rsidRPr="00725EF0">
        <w:rPr>
          <w:rFonts w:ascii="Century" w:hAnsi="Century"/>
        </w:rPr>
        <w:t xml:space="preserve"> recommended amendments, if any, to the Zoning Resolution.  The report must also include the plans and studies CPC undertook or completed in the previous four years. </w:t>
      </w:r>
      <w:r w:rsidR="00214328" w:rsidRPr="00725EF0">
        <w:rPr>
          <w:rFonts w:ascii="Century" w:hAnsi="Century"/>
        </w:rPr>
        <w:t>[</w:t>
      </w:r>
      <w:r w:rsidR="00214328" w:rsidRPr="00725EF0">
        <w:rPr>
          <w:rFonts w:ascii="Century" w:hAnsi="Century"/>
          <w:i/>
          <w:iCs/>
        </w:rPr>
        <w:t>Charter</w:t>
      </w:r>
      <w:r w:rsidR="00214328" w:rsidRPr="00725EF0">
        <w:rPr>
          <w:rFonts w:ascii="Century" w:hAnsi="Century"/>
        </w:rPr>
        <w:t xml:space="preserve"> §192(f)]; and</w:t>
      </w:r>
    </w:p>
    <w:p w:rsidR="00770ED7" w:rsidRPr="00725EF0" w:rsidRDefault="00770ED7" w:rsidP="00770ED7">
      <w:pPr>
        <w:pStyle w:val="ListParagraph"/>
        <w:rPr>
          <w:rFonts w:ascii="Century" w:hAnsi="Century"/>
        </w:rPr>
      </w:pPr>
    </w:p>
    <w:p w:rsidR="00155CCD" w:rsidRPr="00725EF0" w:rsidRDefault="00282F54" w:rsidP="00155CCD">
      <w:pPr>
        <w:pStyle w:val="ListParagraph"/>
        <w:numPr>
          <w:ilvl w:val="0"/>
          <w:numId w:val="6"/>
        </w:numPr>
        <w:snapToGrid w:val="0"/>
        <w:jc w:val="both"/>
        <w:rPr>
          <w:rFonts w:ascii="Century" w:hAnsi="Century"/>
        </w:rPr>
      </w:pPr>
      <w:r w:rsidRPr="00725EF0">
        <w:rPr>
          <w:rFonts w:ascii="Century" w:hAnsi="Century"/>
        </w:rPr>
        <w:t xml:space="preserve">CPC must </w:t>
      </w:r>
      <w:r w:rsidR="00E824CB" w:rsidRPr="00725EF0">
        <w:rPr>
          <w:rFonts w:ascii="Century" w:hAnsi="Century"/>
        </w:rPr>
        <w:t>review</w:t>
      </w:r>
      <w:r w:rsidR="00CA0AE2" w:rsidRPr="00725EF0">
        <w:rPr>
          <w:rFonts w:ascii="Century" w:hAnsi="Century"/>
        </w:rPr>
        <w:t>,</w:t>
      </w:r>
      <w:r w:rsidR="00E824CB" w:rsidRPr="00725EF0">
        <w:rPr>
          <w:rFonts w:ascii="Century" w:hAnsi="Century"/>
        </w:rPr>
        <w:t xml:space="preserve"> and </w:t>
      </w:r>
      <w:r w:rsidR="00CA0AE2" w:rsidRPr="00725EF0">
        <w:rPr>
          <w:rFonts w:ascii="Century" w:hAnsi="Century"/>
        </w:rPr>
        <w:t xml:space="preserve">either approve </w:t>
      </w:r>
      <w:r w:rsidR="00214328" w:rsidRPr="00725EF0">
        <w:rPr>
          <w:rFonts w:ascii="Century" w:hAnsi="Century"/>
        </w:rPr>
        <w:t>or d</w:t>
      </w:r>
      <w:r w:rsidRPr="00725EF0">
        <w:rPr>
          <w:rFonts w:ascii="Century" w:hAnsi="Century"/>
        </w:rPr>
        <w:t>eny,</w:t>
      </w:r>
      <w:r w:rsidR="00214328" w:rsidRPr="00725EF0">
        <w:rPr>
          <w:rFonts w:ascii="Century" w:hAnsi="Century"/>
        </w:rPr>
        <w:t xml:space="preserve"> </w:t>
      </w:r>
      <w:r w:rsidRPr="00725EF0">
        <w:rPr>
          <w:rFonts w:ascii="Century" w:hAnsi="Century"/>
        </w:rPr>
        <w:t xml:space="preserve">any </w:t>
      </w:r>
      <w:r w:rsidR="006643DD" w:rsidRPr="00725EF0">
        <w:rPr>
          <w:rFonts w:ascii="Century" w:hAnsi="Century"/>
        </w:rPr>
        <w:t xml:space="preserve">City </w:t>
      </w:r>
      <w:r w:rsidRPr="00725EF0">
        <w:rPr>
          <w:rFonts w:ascii="Century" w:hAnsi="Century"/>
        </w:rPr>
        <w:t>proposal involving</w:t>
      </w:r>
      <w:r w:rsidR="00E824CB" w:rsidRPr="00725EF0">
        <w:rPr>
          <w:rFonts w:ascii="Century" w:hAnsi="Century"/>
        </w:rPr>
        <w:t xml:space="preserve"> the City’s </w:t>
      </w:r>
      <w:r w:rsidRPr="00725EF0">
        <w:rPr>
          <w:rFonts w:ascii="Century" w:hAnsi="Century"/>
        </w:rPr>
        <w:t>request</w:t>
      </w:r>
      <w:r w:rsidR="00CA0AE2" w:rsidRPr="00725EF0">
        <w:rPr>
          <w:rFonts w:ascii="Century" w:hAnsi="Century"/>
        </w:rPr>
        <w:t xml:space="preserve"> </w:t>
      </w:r>
      <w:r w:rsidR="006643DD" w:rsidRPr="00725EF0">
        <w:rPr>
          <w:rFonts w:ascii="Century" w:hAnsi="Century"/>
        </w:rPr>
        <w:t xml:space="preserve">to make acquisitions </w:t>
      </w:r>
      <w:r w:rsidR="00BF63B8" w:rsidRPr="00725EF0">
        <w:rPr>
          <w:rFonts w:ascii="Century" w:hAnsi="Century"/>
        </w:rPr>
        <w:t>f</w:t>
      </w:r>
      <w:r w:rsidR="00CA0AE2" w:rsidRPr="00725EF0">
        <w:rPr>
          <w:rFonts w:ascii="Century" w:hAnsi="Century"/>
        </w:rPr>
        <w:t>or</w:t>
      </w:r>
      <w:r w:rsidR="00BF63B8" w:rsidRPr="00725EF0">
        <w:rPr>
          <w:rFonts w:ascii="Century" w:hAnsi="Century"/>
        </w:rPr>
        <w:t xml:space="preserve"> office space</w:t>
      </w:r>
      <w:r w:rsidR="00CA0AE2" w:rsidRPr="00725EF0">
        <w:rPr>
          <w:rFonts w:ascii="Century" w:hAnsi="Century"/>
        </w:rPr>
        <w:t xml:space="preserve"> and</w:t>
      </w:r>
      <w:r w:rsidR="00516A6E" w:rsidRPr="00725EF0">
        <w:rPr>
          <w:rFonts w:ascii="Century" w:hAnsi="Century"/>
        </w:rPr>
        <w:t xml:space="preserve"> any</w:t>
      </w:r>
      <w:r w:rsidR="00CA0AE2" w:rsidRPr="00725EF0">
        <w:rPr>
          <w:rFonts w:ascii="Century" w:hAnsi="Century"/>
        </w:rPr>
        <w:t xml:space="preserve"> requests</w:t>
      </w:r>
      <w:r w:rsidR="00E824CB" w:rsidRPr="00725EF0">
        <w:rPr>
          <w:rFonts w:ascii="Century" w:hAnsi="Century"/>
        </w:rPr>
        <w:t xml:space="preserve"> </w:t>
      </w:r>
      <w:r w:rsidR="00CA0AE2" w:rsidRPr="00725EF0">
        <w:rPr>
          <w:rFonts w:ascii="Century" w:hAnsi="Century"/>
        </w:rPr>
        <w:t xml:space="preserve">for </w:t>
      </w:r>
      <w:r w:rsidR="00E824CB" w:rsidRPr="00725EF0">
        <w:rPr>
          <w:rFonts w:ascii="Century" w:hAnsi="Century"/>
        </w:rPr>
        <w:t>existing buildings for office use</w:t>
      </w:r>
      <w:r w:rsidR="00CA0AE2" w:rsidRPr="00725EF0">
        <w:rPr>
          <w:rFonts w:ascii="Century" w:hAnsi="Century"/>
        </w:rPr>
        <w:t>.</w:t>
      </w:r>
      <w:r w:rsidR="00214328" w:rsidRPr="00725EF0">
        <w:rPr>
          <w:rFonts w:ascii="Century" w:hAnsi="Century"/>
        </w:rPr>
        <w:t xml:space="preserve"> </w:t>
      </w:r>
      <w:r w:rsidR="00214328" w:rsidRPr="00725EF0">
        <w:rPr>
          <w:rFonts w:ascii="Century" w:hAnsi="Century"/>
          <w:iCs/>
        </w:rPr>
        <w:t>[</w:t>
      </w:r>
      <w:r w:rsidR="00214328" w:rsidRPr="00725EF0">
        <w:rPr>
          <w:rFonts w:ascii="Century" w:hAnsi="Century"/>
          <w:i/>
          <w:iCs/>
        </w:rPr>
        <w:t>Charter</w:t>
      </w:r>
      <w:r w:rsidR="00CA0AE2" w:rsidRPr="00725EF0">
        <w:rPr>
          <w:rFonts w:ascii="Century" w:hAnsi="Century"/>
        </w:rPr>
        <w:t xml:space="preserve"> §195]</w:t>
      </w:r>
    </w:p>
    <w:p w:rsidR="00155CCD" w:rsidRPr="00725EF0" w:rsidRDefault="00155CCD" w:rsidP="00155CCD">
      <w:pPr>
        <w:pStyle w:val="ListParagraph"/>
        <w:snapToGrid w:val="0"/>
        <w:ind w:left="1440"/>
        <w:jc w:val="both"/>
        <w:rPr>
          <w:rFonts w:ascii="Century" w:hAnsi="Century"/>
        </w:rPr>
      </w:pPr>
    </w:p>
    <w:p w:rsidR="00155CCD" w:rsidRPr="00725EF0" w:rsidRDefault="00155CCD" w:rsidP="008C5721">
      <w:pPr>
        <w:snapToGrid w:val="0"/>
        <w:jc w:val="both"/>
        <w:rPr>
          <w:rFonts w:ascii="Century" w:hAnsi="Century"/>
        </w:rPr>
      </w:pPr>
      <w:r w:rsidRPr="00725EF0">
        <w:rPr>
          <w:rFonts w:ascii="Century" w:hAnsi="Century"/>
        </w:rPr>
        <w:t xml:space="preserve">CPC </w:t>
      </w:r>
      <w:r w:rsidR="00160D71" w:rsidRPr="00725EF0">
        <w:rPr>
          <w:rFonts w:ascii="Century" w:hAnsi="Century"/>
        </w:rPr>
        <w:t>is also responsible for</w:t>
      </w:r>
      <w:r w:rsidRPr="00725EF0">
        <w:rPr>
          <w:rFonts w:ascii="Century" w:hAnsi="Century"/>
        </w:rPr>
        <w:t xml:space="preserve"> promulgat</w:t>
      </w:r>
      <w:r w:rsidR="00160D71" w:rsidRPr="00725EF0">
        <w:rPr>
          <w:rFonts w:ascii="Century" w:hAnsi="Century"/>
        </w:rPr>
        <w:t>ing</w:t>
      </w:r>
      <w:r w:rsidRPr="00725EF0">
        <w:rPr>
          <w:rFonts w:ascii="Century" w:hAnsi="Century"/>
        </w:rPr>
        <w:t xml:space="preserve"> </w:t>
      </w:r>
      <w:r w:rsidR="00160D71" w:rsidRPr="00725EF0">
        <w:rPr>
          <w:rFonts w:ascii="Century" w:hAnsi="Century"/>
        </w:rPr>
        <w:t xml:space="preserve">various </w:t>
      </w:r>
      <w:r w:rsidRPr="00725EF0">
        <w:rPr>
          <w:rFonts w:ascii="Century" w:hAnsi="Century"/>
        </w:rPr>
        <w:t>rules</w:t>
      </w:r>
      <w:r w:rsidR="004E79DF" w:rsidRPr="00725EF0">
        <w:rPr>
          <w:rFonts w:ascii="Century" w:hAnsi="Century"/>
        </w:rPr>
        <w:t xml:space="preserve">, </w:t>
      </w:r>
      <w:r w:rsidR="00160D71" w:rsidRPr="00725EF0">
        <w:rPr>
          <w:rFonts w:ascii="Century" w:hAnsi="Century"/>
        </w:rPr>
        <w:t xml:space="preserve">some of </w:t>
      </w:r>
      <w:r w:rsidR="004E79DF" w:rsidRPr="00725EF0">
        <w:rPr>
          <w:rFonts w:ascii="Century" w:hAnsi="Century"/>
        </w:rPr>
        <w:t>which consist</w:t>
      </w:r>
      <w:r w:rsidR="00160D71" w:rsidRPr="00725EF0">
        <w:rPr>
          <w:rFonts w:ascii="Century" w:hAnsi="Century"/>
        </w:rPr>
        <w:t>s</w:t>
      </w:r>
      <w:r w:rsidR="004E79DF" w:rsidRPr="00725EF0">
        <w:rPr>
          <w:rFonts w:ascii="Century" w:hAnsi="Century"/>
        </w:rPr>
        <w:t xml:space="preserve"> of the following</w:t>
      </w:r>
      <w:r w:rsidRPr="00725EF0">
        <w:rPr>
          <w:rFonts w:ascii="Century" w:hAnsi="Century"/>
        </w:rPr>
        <w:t>:</w:t>
      </w:r>
    </w:p>
    <w:p w:rsidR="00155CCD" w:rsidRPr="00725EF0" w:rsidRDefault="00282F54" w:rsidP="00155CCD">
      <w:pPr>
        <w:pStyle w:val="ListParagraph"/>
        <w:numPr>
          <w:ilvl w:val="0"/>
          <w:numId w:val="6"/>
        </w:numPr>
        <w:snapToGrid w:val="0"/>
        <w:jc w:val="both"/>
        <w:rPr>
          <w:rFonts w:ascii="Century" w:hAnsi="Century"/>
        </w:rPr>
      </w:pPr>
      <w:r w:rsidRPr="00725EF0">
        <w:rPr>
          <w:rFonts w:ascii="Century" w:hAnsi="Century"/>
        </w:rPr>
        <w:t xml:space="preserve">It is CPC’s responsibility to </w:t>
      </w:r>
      <w:r w:rsidR="00214328" w:rsidRPr="00725EF0">
        <w:rPr>
          <w:rFonts w:ascii="Century" w:hAnsi="Century"/>
        </w:rPr>
        <w:t>establish minimum standards for certifying</w:t>
      </w:r>
      <w:r w:rsidRPr="00725EF0">
        <w:rPr>
          <w:rFonts w:ascii="Century" w:hAnsi="Century"/>
        </w:rPr>
        <w:t xml:space="preserve"> the</w:t>
      </w:r>
      <w:r w:rsidR="00214328" w:rsidRPr="00725EF0">
        <w:rPr>
          <w:rFonts w:ascii="Century" w:hAnsi="Century"/>
        </w:rPr>
        <w:t xml:space="preserve"> </w:t>
      </w:r>
      <w:r w:rsidR="00214328" w:rsidRPr="00725EF0">
        <w:rPr>
          <w:rFonts w:ascii="Century" w:hAnsi="Century"/>
          <w:i/>
          <w:iCs/>
        </w:rPr>
        <w:t>Uniform Land Use and Review Procedure</w:t>
      </w:r>
      <w:r w:rsidR="00214328" w:rsidRPr="00725EF0">
        <w:rPr>
          <w:rFonts w:ascii="Century" w:hAnsi="Century"/>
        </w:rPr>
        <w:t xml:space="preserve"> (“</w:t>
      </w:r>
      <w:r w:rsidR="00214328" w:rsidRPr="00725EF0">
        <w:rPr>
          <w:rFonts w:ascii="Century" w:hAnsi="Century"/>
          <w:i/>
          <w:iCs/>
        </w:rPr>
        <w:t>ULURP</w:t>
      </w:r>
      <w:r w:rsidR="00214328" w:rsidRPr="00725EF0">
        <w:rPr>
          <w:rFonts w:ascii="Century" w:hAnsi="Century"/>
        </w:rPr>
        <w:t>”) applications</w:t>
      </w:r>
      <w:r w:rsidRPr="00725EF0">
        <w:rPr>
          <w:rFonts w:ascii="Century" w:hAnsi="Century"/>
        </w:rPr>
        <w:t>,</w:t>
      </w:r>
      <w:r w:rsidR="00214328" w:rsidRPr="00725EF0">
        <w:rPr>
          <w:rFonts w:ascii="Century" w:hAnsi="Century"/>
        </w:rPr>
        <w:t xml:space="preserve"> </w:t>
      </w:r>
      <w:r w:rsidR="00155CCD" w:rsidRPr="00725EF0">
        <w:rPr>
          <w:rFonts w:ascii="Century" w:hAnsi="Century"/>
        </w:rPr>
        <w:t xml:space="preserve">which includes providing </w:t>
      </w:r>
      <w:r w:rsidR="00815DB4">
        <w:rPr>
          <w:rFonts w:ascii="Century" w:hAnsi="Century"/>
        </w:rPr>
        <w:t xml:space="preserve">specific time </w:t>
      </w:r>
      <w:r w:rsidR="00214328" w:rsidRPr="00725EF0">
        <w:rPr>
          <w:rFonts w:ascii="Century" w:hAnsi="Century"/>
        </w:rPr>
        <w:t>periods for pre-certification review</w:t>
      </w:r>
      <w:r w:rsidR="00155CCD" w:rsidRPr="00725EF0">
        <w:rPr>
          <w:rFonts w:ascii="Century" w:hAnsi="Century"/>
        </w:rPr>
        <w:t>.</w:t>
      </w:r>
      <w:r w:rsidR="00214328" w:rsidRPr="00725EF0">
        <w:rPr>
          <w:rFonts w:ascii="Century" w:hAnsi="Century"/>
        </w:rPr>
        <w:t xml:space="preserve"> </w:t>
      </w:r>
      <w:r w:rsidR="00214328" w:rsidRPr="00725EF0">
        <w:rPr>
          <w:rFonts w:ascii="Century" w:hAnsi="Century"/>
          <w:iCs/>
        </w:rPr>
        <w:t>[</w:t>
      </w:r>
      <w:r w:rsidR="00214328" w:rsidRPr="00725EF0">
        <w:rPr>
          <w:rFonts w:ascii="Century" w:hAnsi="Century"/>
          <w:i/>
          <w:iCs/>
        </w:rPr>
        <w:t>Charter</w:t>
      </w:r>
      <w:r w:rsidR="00214328" w:rsidRPr="00725EF0">
        <w:rPr>
          <w:rFonts w:ascii="Century" w:hAnsi="Century"/>
        </w:rPr>
        <w:t xml:space="preserve"> §197-c (</w:t>
      </w:r>
      <w:proofErr w:type="spellStart"/>
      <w:r w:rsidR="00214328" w:rsidRPr="00725EF0">
        <w:rPr>
          <w:rFonts w:ascii="Century" w:hAnsi="Century"/>
        </w:rPr>
        <w:t>i</w:t>
      </w:r>
      <w:proofErr w:type="spellEnd"/>
      <w:r w:rsidR="00214328" w:rsidRPr="00725EF0">
        <w:rPr>
          <w:rFonts w:ascii="Century" w:hAnsi="Century"/>
        </w:rPr>
        <w:t>)];</w:t>
      </w:r>
    </w:p>
    <w:p w:rsidR="00B855AC" w:rsidRPr="00725EF0" w:rsidRDefault="00B855AC" w:rsidP="00B855AC">
      <w:pPr>
        <w:pStyle w:val="ListParagraph"/>
        <w:snapToGrid w:val="0"/>
        <w:ind w:left="1440"/>
        <w:jc w:val="both"/>
        <w:rPr>
          <w:rFonts w:ascii="Century" w:hAnsi="Century"/>
        </w:rPr>
      </w:pPr>
    </w:p>
    <w:p w:rsidR="00155CCD" w:rsidRPr="00725EF0" w:rsidRDefault="00155CCD" w:rsidP="00155CCD">
      <w:pPr>
        <w:pStyle w:val="ListParagraph"/>
        <w:numPr>
          <w:ilvl w:val="0"/>
          <w:numId w:val="6"/>
        </w:numPr>
        <w:snapToGrid w:val="0"/>
        <w:jc w:val="both"/>
        <w:rPr>
          <w:rFonts w:ascii="Century" w:hAnsi="Century"/>
        </w:rPr>
      </w:pPr>
      <w:r w:rsidRPr="00725EF0">
        <w:rPr>
          <w:rFonts w:ascii="Century" w:hAnsi="Century"/>
        </w:rPr>
        <w:t xml:space="preserve">The criteria associated with the selection of sites for capital projects is also established by CPC. </w:t>
      </w:r>
      <w:r w:rsidR="00214328" w:rsidRPr="00725EF0">
        <w:rPr>
          <w:rFonts w:ascii="Century" w:hAnsi="Century"/>
          <w:iCs/>
        </w:rPr>
        <w:t>[</w:t>
      </w:r>
      <w:r w:rsidR="00214328" w:rsidRPr="00725EF0">
        <w:rPr>
          <w:rFonts w:ascii="Century" w:hAnsi="Century"/>
          <w:i/>
          <w:iCs/>
        </w:rPr>
        <w:t>Charter</w:t>
      </w:r>
      <w:r w:rsidR="00214328" w:rsidRPr="00725EF0">
        <w:rPr>
          <w:rFonts w:ascii="Century" w:hAnsi="Century"/>
        </w:rPr>
        <w:t xml:space="preserve"> §218 (a)];</w:t>
      </w:r>
    </w:p>
    <w:p w:rsidR="00B855AC" w:rsidRPr="00725EF0" w:rsidRDefault="00B855AC" w:rsidP="00B855AC">
      <w:pPr>
        <w:pStyle w:val="ListParagraph"/>
        <w:snapToGrid w:val="0"/>
        <w:ind w:left="1440"/>
        <w:jc w:val="both"/>
        <w:rPr>
          <w:rFonts w:ascii="Century" w:hAnsi="Century"/>
        </w:rPr>
      </w:pPr>
    </w:p>
    <w:p w:rsidR="00155CCD" w:rsidRPr="00725EF0" w:rsidRDefault="00155CCD" w:rsidP="00155CCD">
      <w:pPr>
        <w:pStyle w:val="ListParagraph"/>
        <w:numPr>
          <w:ilvl w:val="0"/>
          <w:numId w:val="6"/>
        </w:numPr>
        <w:snapToGrid w:val="0"/>
        <w:jc w:val="both"/>
        <w:rPr>
          <w:rFonts w:ascii="Century" w:hAnsi="Century"/>
        </w:rPr>
      </w:pPr>
      <w:r w:rsidRPr="00725EF0">
        <w:rPr>
          <w:rFonts w:ascii="Century" w:hAnsi="Century"/>
        </w:rPr>
        <w:t xml:space="preserve">CPC establishes the </w:t>
      </w:r>
      <w:r w:rsidR="00214328" w:rsidRPr="00725EF0">
        <w:rPr>
          <w:rFonts w:ascii="Century" w:hAnsi="Century"/>
        </w:rPr>
        <w:t>minimum standards for the form and content of plans for the development of the City and boroughs</w:t>
      </w:r>
      <w:r w:rsidRPr="00725EF0">
        <w:rPr>
          <w:rFonts w:ascii="Century" w:hAnsi="Century"/>
        </w:rPr>
        <w:t>.</w:t>
      </w:r>
      <w:r w:rsidR="00214328" w:rsidRPr="00725EF0">
        <w:rPr>
          <w:rFonts w:ascii="Century" w:hAnsi="Century"/>
        </w:rPr>
        <w:t xml:space="preserve"> </w:t>
      </w:r>
      <w:r w:rsidR="00214328" w:rsidRPr="00725EF0">
        <w:rPr>
          <w:rFonts w:ascii="Century" w:hAnsi="Century"/>
          <w:iCs/>
        </w:rPr>
        <w:t>[</w:t>
      </w:r>
      <w:r w:rsidR="00214328" w:rsidRPr="00725EF0">
        <w:rPr>
          <w:rFonts w:ascii="Century" w:hAnsi="Century"/>
          <w:i/>
          <w:iCs/>
        </w:rPr>
        <w:t>Charter</w:t>
      </w:r>
      <w:r w:rsidR="00214328" w:rsidRPr="00725EF0">
        <w:rPr>
          <w:rFonts w:ascii="Century" w:hAnsi="Century"/>
        </w:rPr>
        <w:t xml:space="preserve"> §197-a (b)]; and</w:t>
      </w:r>
    </w:p>
    <w:p w:rsidR="00B855AC" w:rsidRPr="00725EF0" w:rsidRDefault="00B855AC" w:rsidP="00B855AC">
      <w:pPr>
        <w:pStyle w:val="ListParagraph"/>
        <w:snapToGrid w:val="0"/>
        <w:ind w:left="1440"/>
        <w:jc w:val="both"/>
        <w:rPr>
          <w:rFonts w:ascii="Century" w:hAnsi="Century"/>
        </w:rPr>
      </w:pPr>
    </w:p>
    <w:p w:rsidR="00214328" w:rsidRPr="00725EF0" w:rsidRDefault="00155CCD" w:rsidP="00155CCD">
      <w:pPr>
        <w:pStyle w:val="ListParagraph"/>
        <w:numPr>
          <w:ilvl w:val="0"/>
          <w:numId w:val="6"/>
        </w:numPr>
        <w:snapToGrid w:val="0"/>
        <w:jc w:val="both"/>
        <w:rPr>
          <w:rFonts w:ascii="Century" w:hAnsi="Century"/>
        </w:rPr>
      </w:pPr>
      <w:r w:rsidRPr="00725EF0">
        <w:rPr>
          <w:rFonts w:ascii="Century" w:hAnsi="Century"/>
        </w:rPr>
        <w:lastRenderedPageBreak/>
        <w:t xml:space="preserve">CPC also adopts rules that either list major concessions or establishes a procedure for determining whether a concession is defined as a </w:t>
      </w:r>
      <w:r w:rsidRPr="00725EF0">
        <w:rPr>
          <w:rFonts w:ascii="Century" w:hAnsi="Century"/>
          <w:i/>
        </w:rPr>
        <w:t xml:space="preserve">major concession, </w:t>
      </w:r>
      <w:r w:rsidRPr="00725EF0">
        <w:rPr>
          <w:rFonts w:ascii="Century" w:hAnsi="Century"/>
        </w:rPr>
        <w:t xml:space="preserve">as it relates to </w:t>
      </w:r>
      <w:r w:rsidR="00CA0AE2" w:rsidRPr="00725EF0">
        <w:rPr>
          <w:rFonts w:ascii="Century" w:hAnsi="Century"/>
        </w:rPr>
        <w:t xml:space="preserve">the act of </w:t>
      </w:r>
      <w:r w:rsidRPr="00725EF0">
        <w:rPr>
          <w:rFonts w:ascii="Century" w:hAnsi="Century"/>
        </w:rPr>
        <w:t>City Agencies granting concessions.</w:t>
      </w:r>
      <w:r w:rsidR="00214328" w:rsidRPr="00725EF0">
        <w:rPr>
          <w:rFonts w:ascii="Century" w:hAnsi="Century"/>
        </w:rPr>
        <w:t xml:space="preserve"> </w:t>
      </w:r>
      <w:r w:rsidR="00214328" w:rsidRPr="00725EF0">
        <w:rPr>
          <w:rFonts w:ascii="Century" w:hAnsi="Century"/>
          <w:iCs/>
        </w:rPr>
        <w:t>[</w:t>
      </w:r>
      <w:r w:rsidR="00214328" w:rsidRPr="00725EF0">
        <w:rPr>
          <w:rFonts w:ascii="Century" w:hAnsi="Century"/>
          <w:i/>
          <w:iCs/>
        </w:rPr>
        <w:t>Charter</w:t>
      </w:r>
      <w:r w:rsidR="00214328" w:rsidRPr="00725EF0">
        <w:rPr>
          <w:rFonts w:ascii="Century" w:hAnsi="Century"/>
        </w:rPr>
        <w:t xml:space="preserve"> §374 (b)].  </w:t>
      </w:r>
    </w:p>
    <w:p w:rsidR="00214328" w:rsidRPr="00725EF0" w:rsidRDefault="00214328" w:rsidP="00214328">
      <w:pPr>
        <w:snapToGrid w:val="0"/>
        <w:ind w:firstLine="720"/>
        <w:jc w:val="both"/>
        <w:rPr>
          <w:rFonts w:ascii="Century" w:hAnsi="Century"/>
        </w:rPr>
      </w:pPr>
    </w:p>
    <w:p w:rsidR="00976D30" w:rsidRPr="005E69B9" w:rsidRDefault="00F04E85" w:rsidP="005E69B9">
      <w:pPr>
        <w:pStyle w:val="BodyTex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Mr. </w:t>
      </w:r>
      <w:r w:rsidR="002337CA">
        <w:rPr>
          <w:rFonts w:ascii="Century" w:hAnsi="Century"/>
          <w:sz w:val="24"/>
          <w:szCs w:val="24"/>
        </w:rPr>
        <w:t>Burney</w:t>
      </w:r>
      <w:r>
        <w:rPr>
          <w:rFonts w:ascii="Century" w:hAnsi="Century"/>
          <w:sz w:val="24"/>
          <w:szCs w:val="24"/>
        </w:rPr>
        <w:t xml:space="preserve"> </w:t>
      </w:r>
      <w:r w:rsidR="008E5A05" w:rsidRPr="005E69B9">
        <w:rPr>
          <w:rFonts w:ascii="Century" w:hAnsi="Century"/>
          <w:sz w:val="24"/>
          <w:szCs w:val="24"/>
        </w:rPr>
        <w:t>is</w:t>
      </w:r>
      <w:r w:rsidR="00184DA0" w:rsidRPr="005E69B9">
        <w:rPr>
          <w:rFonts w:ascii="Century" w:hAnsi="Century"/>
          <w:sz w:val="24"/>
          <w:szCs w:val="24"/>
        </w:rPr>
        <w:t xml:space="preserve"> </w:t>
      </w:r>
      <w:r w:rsidR="00214328" w:rsidRPr="005E69B9">
        <w:rPr>
          <w:rFonts w:ascii="Century" w:hAnsi="Century"/>
          <w:sz w:val="24"/>
          <w:szCs w:val="24"/>
        </w:rPr>
        <w:t xml:space="preserve">scheduled to appear before the Committee on Rules, Privileges, and Elections on </w:t>
      </w:r>
      <w:r w:rsidR="002337CA">
        <w:rPr>
          <w:rFonts w:ascii="Century" w:hAnsi="Century"/>
          <w:sz w:val="24"/>
          <w:szCs w:val="24"/>
        </w:rPr>
        <w:t>Thursday, March 28</w:t>
      </w:r>
      <w:r>
        <w:rPr>
          <w:rFonts w:ascii="Century" w:hAnsi="Century"/>
          <w:sz w:val="24"/>
          <w:szCs w:val="24"/>
        </w:rPr>
        <w:t>.</w:t>
      </w:r>
      <w:r w:rsidR="00214328" w:rsidRPr="005E69B9">
        <w:rPr>
          <w:rFonts w:ascii="Century" w:hAnsi="Century"/>
          <w:sz w:val="24"/>
          <w:szCs w:val="24"/>
        </w:rPr>
        <w:t xml:space="preserve">  </w:t>
      </w:r>
      <w:r w:rsidR="00AB1805" w:rsidRPr="005E69B9">
        <w:rPr>
          <w:rFonts w:ascii="Century" w:hAnsi="Century"/>
          <w:sz w:val="24"/>
          <w:szCs w:val="24"/>
        </w:rPr>
        <w:t xml:space="preserve">If </w:t>
      </w:r>
      <w:r w:rsidR="00976D30" w:rsidRPr="005E69B9">
        <w:rPr>
          <w:rFonts w:ascii="Century" w:hAnsi="Century"/>
          <w:sz w:val="24"/>
          <w:szCs w:val="24"/>
        </w:rPr>
        <w:t>appointed to the CPC</w:t>
      </w:r>
      <w:r w:rsidR="00214328" w:rsidRPr="005E69B9">
        <w:rPr>
          <w:rFonts w:ascii="Century" w:hAnsi="Century"/>
          <w:sz w:val="24"/>
          <w:szCs w:val="24"/>
        </w:rPr>
        <w:t xml:space="preserve">, </w:t>
      </w:r>
      <w:r w:rsidR="006F2BE4" w:rsidRPr="005E69B9">
        <w:rPr>
          <w:rFonts w:ascii="Century" w:hAnsi="Century"/>
          <w:sz w:val="24"/>
          <w:szCs w:val="24"/>
        </w:rPr>
        <w:t>M</w:t>
      </w:r>
      <w:r w:rsidR="00923C63" w:rsidRPr="005E69B9">
        <w:rPr>
          <w:rFonts w:ascii="Century" w:hAnsi="Century"/>
          <w:sz w:val="24"/>
          <w:szCs w:val="24"/>
        </w:rPr>
        <w:t>r</w:t>
      </w:r>
      <w:r w:rsidR="006F2BE4" w:rsidRPr="005E69B9">
        <w:rPr>
          <w:rFonts w:ascii="Century" w:hAnsi="Century"/>
          <w:sz w:val="24"/>
          <w:szCs w:val="24"/>
        </w:rPr>
        <w:t>.</w:t>
      </w:r>
      <w:r w:rsidR="002337CA">
        <w:rPr>
          <w:rFonts w:ascii="Century" w:hAnsi="Century"/>
          <w:sz w:val="24"/>
          <w:szCs w:val="24"/>
        </w:rPr>
        <w:t xml:space="preserve"> Burney</w:t>
      </w:r>
      <w:r w:rsidR="00923C63" w:rsidRPr="005E69B9">
        <w:rPr>
          <w:rFonts w:ascii="Century" w:hAnsi="Century"/>
          <w:sz w:val="24"/>
          <w:szCs w:val="24"/>
        </w:rPr>
        <w:t>, a</w:t>
      </w:r>
      <w:r w:rsidR="00214328" w:rsidRPr="005E69B9">
        <w:rPr>
          <w:rFonts w:ascii="Century" w:hAnsi="Century"/>
          <w:sz w:val="24"/>
          <w:szCs w:val="24"/>
        </w:rPr>
        <w:t xml:space="preserve"> resident of </w:t>
      </w:r>
      <w:r w:rsidR="002337CA">
        <w:rPr>
          <w:rFonts w:ascii="Century" w:hAnsi="Century"/>
          <w:sz w:val="24"/>
          <w:szCs w:val="24"/>
        </w:rPr>
        <w:t>Brooklyn</w:t>
      </w:r>
      <w:r w:rsidR="00214328" w:rsidRPr="005E69B9">
        <w:rPr>
          <w:rFonts w:ascii="Century" w:hAnsi="Century"/>
          <w:sz w:val="24"/>
          <w:szCs w:val="24"/>
        </w:rPr>
        <w:t xml:space="preserve">, </w:t>
      </w:r>
      <w:r w:rsidR="008E5A05" w:rsidRPr="005E69B9">
        <w:rPr>
          <w:rFonts w:ascii="Century" w:hAnsi="Century"/>
          <w:sz w:val="24"/>
          <w:szCs w:val="24"/>
        </w:rPr>
        <w:t xml:space="preserve">will </w:t>
      </w:r>
      <w:r w:rsidR="00191B45">
        <w:rPr>
          <w:rFonts w:ascii="Century" w:hAnsi="Century"/>
          <w:sz w:val="24"/>
          <w:szCs w:val="24"/>
        </w:rPr>
        <w:t xml:space="preserve">succeed Cheryl Cohen </w:t>
      </w:r>
      <w:proofErr w:type="spellStart"/>
      <w:r w:rsidR="00191B45">
        <w:rPr>
          <w:rFonts w:ascii="Century" w:hAnsi="Century"/>
          <w:sz w:val="24"/>
          <w:szCs w:val="24"/>
        </w:rPr>
        <w:t>Effron</w:t>
      </w:r>
      <w:proofErr w:type="spellEnd"/>
      <w:r w:rsidR="00191B45">
        <w:rPr>
          <w:rFonts w:ascii="Century" w:hAnsi="Century"/>
          <w:sz w:val="24"/>
          <w:szCs w:val="24"/>
        </w:rPr>
        <w:t xml:space="preserve"> and </w:t>
      </w:r>
      <w:r w:rsidR="00214328" w:rsidRPr="005E69B9">
        <w:rPr>
          <w:rFonts w:ascii="Century" w:hAnsi="Century"/>
          <w:sz w:val="24"/>
          <w:szCs w:val="24"/>
        </w:rPr>
        <w:t>serve the remainder of five-year term</w:t>
      </w:r>
      <w:r w:rsidR="009D5AF2" w:rsidRPr="005E69B9">
        <w:rPr>
          <w:rFonts w:ascii="Century" w:hAnsi="Century"/>
          <w:sz w:val="24"/>
          <w:szCs w:val="24"/>
        </w:rPr>
        <w:t>,</w:t>
      </w:r>
      <w:r w:rsidR="00214328" w:rsidRPr="005E69B9">
        <w:rPr>
          <w:rFonts w:ascii="Century" w:hAnsi="Century"/>
          <w:sz w:val="24"/>
          <w:szCs w:val="24"/>
        </w:rPr>
        <w:t xml:space="preserve"> expir</w:t>
      </w:r>
      <w:r w:rsidR="009D5AF2" w:rsidRPr="005E69B9">
        <w:rPr>
          <w:rFonts w:ascii="Century" w:hAnsi="Century"/>
          <w:sz w:val="24"/>
          <w:szCs w:val="24"/>
        </w:rPr>
        <w:t>ing</w:t>
      </w:r>
      <w:r w:rsidR="00214328" w:rsidRPr="005E69B9">
        <w:rPr>
          <w:rFonts w:ascii="Century" w:hAnsi="Century"/>
          <w:sz w:val="24"/>
          <w:szCs w:val="24"/>
        </w:rPr>
        <w:t xml:space="preserve"> on </w:t>
      </w:r>
      <w:r w:rsidR="00C3508B" w:rsidRPr="005E69B9">
        <w:rPr>
          <w:rFonts w:ascii="Century" w:hAnsi="Century"/>
          <w:sz w:val="24"/>
          <w:szCs w:val="24"/>
        </w:rPr>
        <w:t xml:space="preserve">June 30, </w:t>
      </w:r>
      <w:r w:rsidR="008E5A05" w:rsidRPr="005E69B9">
        <w:rPr>
          <w:rFonts w:ascii="Century" w:hAnsi="Century"/>
          <w:sz w:val="24"/>
          <w:szCs w:val="24"/>
        </w:rPr>
        <w:t>20</w:t>
      </w:r>
      <w:r w:rsidR="002337CA">
        <w:rPr>
          <w:rFonts w:ascii="Century" w:hAnsi="Century"/>
          <w:sz w:val="24"/>
          <w:szCs w:val="24"/>
        </w:rPr>
        <w:t>19</w:t>
      </w:r>
      <w:r w:rsidR="008E5A05" w:rsidRPr="005E69B9">
        <w:rPr>
          <w:rFonts w:ascii="Century" w:hAnsi="Century"/>
          <w:sz w:val="24"/>
          <w:szCs w:val="24"/>
        </w:rPr>
        <w:t>.</w:t>
      </w:r>
      <w:r w:rsidR="00976D30" w:rsidRPr="005E69B9">
        <w:rPr>
          <w:rFonts w:ascii="Century" w:hAnsi="Century"/>
          <w:sz w:val="24"/>
          <w:szCs w:val="24"/>
        </w:rPr>
        <w:t xml:space="preserve"> </w:t>
      </w:r>
      <w:r w:rsidR="00174868" w:rsidRPr="005E69B9">
        <w:rPr>
          <w:rFonts w:ascii="Century" w:hAnsi="Century"/>
          <w:sz w:val="24"/>
          <w:szCs w:val="24"/>
        </w:rPr>
        <w:t xml:space="preserve">A copy of the candidate’s résumé </w:t>
      </w:r>
      <w:r w:rsidR="005E69B9" w:rsidRPr="005E69B9">
        <w:rPr>
          <w:rFonts w:ascii="Century" w:hAnsi="Century"/>
          <w:sz w:val="24"/>
          <w:szCs w:val="24"/>
        </w:rPr>
        <w:t>as well as</w:t>
      </w:r>
      <w:r w:rsidR="005E69B9">
        <w:rPr>
          <w:rFonts w:ascii="Century" w:hAnsi="Century"/>
          <w:sz w:val="24"/>
          <w:szCs w:val="24"/>
        </w:rPr>
        <w:t xml:space="preserve"> the related associated message </w:t>
      </w:r>
      <w:r w:rsidR="00174868" w:rsidRPr="005E69B9">
        <w:rPr>
          <w:rFonts w:ascii="Century" w:hAnsi="Century"/>
          <w:sz w:val="24"/>
          <w:szCs w:val="24"/>
        </w:rPr>
        <w:t>is attached to this briefing paper.</w:t>
      </w:r>
    </w:p>
    <w:p w:rsidR="00F04E85" w:rsidRDefault="00F04E85" w:rsidP="00F04E85">
      <w:pPr>
        <w:jc w:val="both"/>
        <w:rPr>
          <w:rFonts w:ascii="Century" w:hAnsi="Century"/>
        </w:rPr>
      </w:pPr>
    </w:p>
    <w:p w:rsidR="00174868" w:rsidRDefault="00174868" w:rsidP="00327807">
      <w:pPr>
        <w:snapToGrid w:val="0"/>
        <w:jc w:val="both"/>
        <w:rPr>
          <w:rFonts w:ascii="Century" w:hAnsi="Century"/>
          <w:b/>
          <w:u w:val="single"/>
        </w:rPr>
      </w:pPr>
    </w:p>
    <w:p w:rsidR="00327807" w:rsidRPr="00725EF0" w:rsidRDefault="00327807" w:rsidP="00327807">
      <w:pPr>
        <w:snapToGrid w:val="0"/>
        <w:jc w:val="both"/>
        <w:rPr>
          <w:rFonts w:ascii="Century" w:hAnsi="Century"/>
          <w:b/>
          <w:u w:val="single"/>
        </w:rPr>
      </w:pPr>
      <w:r w:rsidRPr="00725EF0">
        <w:rPr>
          <w:rFonts w:ascii="Century" w:hAnsi="Century"/>
          <w:b/>
          <w:u w:val="single"/>
        </w:rPr>
        <w:t>PROJECT STAFF</w:t>
      </w:r>
    </w:p>
    <w:p w:rsidR="00202F73" w:rsidRPr="00725EF0" w:rsidRDefault="00202F73" w:rsidP="00202F73">
      <w:pPr>
        <w:snapToGrid w:val="0"/>
        <w:jc w:val="both"/>
        <w:rPr>
          <w:rFonts w:ascii="Century" w:hAnsi="Century"/>
        </w:rPr>
      </w:pPr>
      <w:r w:rsidRPr="00725EF0">
        <w:rPr>
          <w:rFonts w:ascii="Century" w:hAnsi="Century"/>
        </w:rPr>
        <w:t xml:space="preserve">Charles W. Davis III, </w:t>
      </w:r>
      <w:r w:rsidR="00D84956">
        <w:rPr>
          <w:rFonts w:ascii="Century" w:hAnsi="Century"/>
        </w:rPr>
        <w:t>Chief Compliance Officer</w:t>
      </w:r>
    </w:p>
    <w:p w:rsidR="00202F73" w:rsidRPr="00725EF0" w:rsidRDefault="00D84956" w:rsidP="00202F73">
      <w:pPr>
        <w:snapToGrid w:val="0"/>
        <w:jc w:val="both"/>
        <w:rPr>
          <w:rFonts w:ascii="Century" w:hAnsi="Century"/>
        </w:rPr>
      </w:pPr>
      <w:r>
        <w:rPr>
          <w:rFonts w:ascii="Century" w:hAnsi="Century"/>
        </w:rPr>
        <w:t>Andre Johnson Brown, Legislative Investigator</w:t>
      </w:r>
    </w:p>
    <w:p w:rsidR="002337CA" w:rsidRDefault="002337CA" w:rsidP="002337CA">
      <w:pPr>
        <w:snapToGrid w:val="0"/>
        <w:jc w:val="both"/>
        <w:rPr>
          <w:rFonts w:ascii="Century" w:hAnsi="Century"/>
        </w:rPr>
      </w:pPr>
      <w:r>
        <w:rPr>
          <w:rFonts w:ascii="Century" w:hAnsi="Century"/>
        </w:rPr>
        <w:t>Elizabeth Guzman, Counsel</w:t>
      </w:r>
    </w:p>
    <w:p w:rsidR="00327807" w:rsidRPr="00725EF0" w:rsidRDefault="00327807" w:rsidP="00327807">
      <w:pPr>
        <w:pStyle w:val="BlockText"/>
        <w:ind w:left="0" w:right="0"/>
        <w:rPr>
          <w:rFonts w:ascii="Century" w:hAnsi="Century"/>
        </w:rPr>
      </w:pPr>
    </w:p>
    <w:p w:rsidR="003C6183" w:rsidRPr="00725EF0" w:rsidRDefault="003C6183" w:rsidP="00327807">
      <w:pPr>
        <w:jc w:val="both"/>
        <w:rPr>
          <w:rFonts w:ascii="Century" w:hAnsi="Century"/>
          <w:szCs w:val="24"/>
        </w:rPr>
      </w:pPr>
    </w:p>
    <w:sectPr w:rsidR="003C6183" w:rsidRPr="00725E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6B" w:rsidRDefault="00C1696B" w:rsidP="00FE1F7D">
      <w:r>
        <w:separator/>
      </w:r>
    </w:p>
  </w:endnote>
  <w:endnote w:type="continuationSeparator" w:id="0">
    <w:p w:rsidR="00C1696B" w:rsidRDefault="00C1696B" w:rsidP="00FE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043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CCD" w:rsidRDefault="00155C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4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5CCD" w:rsidRDefault="00155CCD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6B" w:rsidRDefault="00C1696B" w:rsidP="00FE1F7D">
      <w:r>
        <w:separator/>
      </w:r>
    </w:p>
  </w:footnote>
  <w:footnote w:type="continuationSeparator" w:id="0">
    <w:p w:rsidR="00C1696B" w:rsidRDefault="00C1696B" w:rsidP="00FE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0FD"/>
    <w:multiLevelType w:val="hybridMultilevel"/>
    <w:tmpl w:val="9F3AF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5F50"/>
    <w:multiLevelType w:val="hybridMultilevel"/>
    <w:tmpl w:val="8BDE5E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782C"/>
    <w:multiLevelType w:val="hybridMultilevel"/>
    <w:tmpl w:val="FF04EF5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331B9D"/>
    <w:multiLevelType w:val="hybridMultilevel"/>
    <w:tmpl w:val="2790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D3B65"/>
    <w:multiLevelType w:val="hybridMultilevel"/>
    <w:tmpl w:val="27C4DDE0"/>
    <w:lvl w:ilvl="0" w:tplc="04090005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072"/>
        </w:tabs>
        <w:ind w:left="307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32"/>
        </w:tabs>
        <w:ind w:left="523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72"/>
        </w:tabs>
        <w:ind w:left="6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92"/>
        </w:tabs>
        <w:ind w:left="739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12"/>
        </w:tabs>
        <w:ind w:left="8112" w:hanging="360"/>
      </w:pPr>
      <w:rPr>
        <w:rFonts w:ascii="Wingdings" w:hAnsi="Wingdings" w:hint="default"/>
      </w:rPr>
    </w:lvl>
  </w:abstractNum>
  <w:abstractNum w:abstractNumId="5" w15:restartNumberingAfterBreak="0">
    <w:nsid w:val="4E030236"/>
    <w:multiLevelType w:val="hybridMultilevel"/>
    <w:tmpl w:val="02AE2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C01EF"/>
    <w:multiLevelType w:val="hybridMultilevel"/>
    <w:tmpl w:val="933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D0A9F"/>
    <w:multiLevelType w:val="hybridMultilevel"/>
    <w:tmpl w:val="56266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83"/>
    <w:rsid w:val="000405D3"/>
    <w:rsid w:val="0005263D"/>
    <w:rsid w:val="00062D57"/>
    <w:rsid w:val="000670A6"/>
    <w:rsid w:val="000B55E7"/>
    <w:rsid w:val="000C7488"/>
    <w:rsid w:val="000D7C9C"/>
    <w:rsid w:val="001110F4"/>
    <w:rsid w:val="00113339"/>
    <w:rsid w:val="00122005"/>
    <w:rsid w:val="00127DC2"/>
    <w:rsid w:val="00145660"/>
    <w:rsid w:val="001553C5"/>
    <w:rsid w:val="00155CCD"/>
    <w:rsid w:val="00160D71"/>
    <w:rsid w:val="00174868"/>
    <w:rsid w:val="00184DA0"/>
    <w:rsid w:val="00191B45"/>
    <w:rsid w:val="001A0917"/>
    <w:rsid w:val="001B5407"/>
    <w:rsid w:val="001B61CC"/>
    <w:rsid w:val="001C56BF"/>
    <w:rsid w:val="001D051E"/>
    <w:rsid w:val="001D5680"/>
    <w:rsid w:val="001E59E3"/>
    <w:rsid w:val="00202F73"/>
    <w:rsid w:val="00204621"/>
    <w:rsid w:val="0020573C"/>
    <w:rsid w:val="00206EC6"/>
    <w:rsid w:val="002116B3"/>
    <w:rsid w:val="00214328"/>
    <w:rsid w:val="00220A63"/>
    <w:rsid w:val="00221930"/>
    <w:rsid w:val="00223F7F"/>
    <w:rsid w:val="002337CA"/>
    <w:rsid w:val="00247141"/>
    <w:rsid w:val="0027276D"/>
    <w:rsid w:val="00282F54"/>
    <w:rsid w:val="002838E0"/>
    <w:rsid w:val="00292A63"/>
    <w:rsid w:val="002A1C10"/>
    <w:rsid w:val="002A2214"/>
    <w:rsid w:val="002D0619"/>
    <w:rsid w:val="002E37EF"/>
    <w:rsid w:val="002F41D7"/>
    <w:rsid w:val="002F6C2B"/>
    <w:rsid w:val="0030015D"/>
    <w:rsid w:val="00327807"/>
    <w:rsid w:val="0033693D"/>
    <w:rsid w:val="00375624"/>
    <w:rsid w:val="003762EC"/>
    <w:rsid w:val="00380302"/>
    <w:rsid w:val="003B147B"/>
    <w:rsid w:val="003C1ADE"/>
    <w:rsid w:val="003C6183"/>
    <w:rsid w:val="003E520F"/>
    <w:rsid w:val="003E7D56"/>
    <w:rsid w:val="00424C96"/>
    <w:rsid w:val="00437ADB"/>
    <w:rsid w:val="00451659"/>
    <w:rsid w:val="00452BE8"/>
    <w:rsid w:val="004877DF"/>
    <w:rsid w:val="00490AB4"/>
    <w:rsid w:val="004A2052"/>
    <w:rsid w:val="004B5537"/>
    <w:rsid w:val="004E7572"/>
    <w:rsid w:val="004E79DF"/>
    <w:rsid w:val="00514922"/>
    <w:rsid w:val="00516A6E"/>
    <w:rsid w:val="005258F4"/>
    <w:rsid w:val="005568E9"/>
    <w:rsid w:val="00573F4A"/>
    <w:rsid w:val="00575506"/>
    <w:rsid w:val="00591E8C"/>
    <w:rsid w:val="005A1937"/>
    <w:rsid w:val="005B695F"/>
    <w:rsid w:val="005E69B9"/>
    <w:rsid w:val="006073BD"/>
    <w:rsid w:val="0061437D"/>
    <w:rsid w:val="00633DFA"/>
    <w:rsid w:val="00641737"/>
    <w:rsid w:val="00647148"/>
    <w:rsid w:val="00652072"/>
    <w:rsid w:val="006612C2"/>
    <w:rsid w:val="006643DD"/>
    <w:rsid w:val="006756A5"/>
    <w:rsid w:val="00686012"/>
    <w:rsid w:val="006860F9"/>
    <w:rsid w:val="00687008"/>
    <w:rsid w:val="006A1643"/>
    <w:rsid w:val="006B18FB"/>
    <w:rsid w:val="006B5656"/>
    <w:rsid w:val="006C0BCF"/>
    <w:rsid w:val="006C3945"/>
    <w:rsid w:val="006E16E0"/>
    <w:rsid w:val="006E5D5B"/>
    <w:rsid w:val="006F2BE4"/>
    <w:rsid w:val="007230FA"/>
    <w:rsid w:val="00725EF0"/>
    <w:rsid w:val="0074403D"/>
    <w:rsid w:val="00753423"/>
    <w:rsid w:val="00753A26"/>
    <w:rsid w:val="007566F5"/>
    <w:rsid w:val="00770ED7"/>
    <w:rsid w:val="007713C8"/>
    <w:rsid w:val="007875F2"/>
    <w:rsid w:val="007B5067"/>
    <w:rsid w:val="007B76E8"/>
    <w:rsid w:val="007F0762"/>
    <w:rsid w:val="007F2960"/>
    <w:rsid w:val="00812308"/>
    <w:rsid w:val="00815DB4"/>
    <w:rsid w:val="00821B55"/>
    <w:rsid w:val="00824277"/>
    <w:rsid w:val="008577C1"/>
    <w:rsid w:val="00865332"/>
    <w:rsid w:val="0087006E"/>
    <w:rsid w:val="00873E78"/>
    <w:rsid w:val="00876288"/>
    <w:rsid w:val="00886EA4"/>
    <w:rsid w:val="008A105F"/>
    <w:rsid w:val="008C374B"/>
    <w:rsid w:val="008C5721"/>
    <w:rsid w:val="008D4827"/>
    <w:rsid w:val="008E5A05"/>
    <w:rsid w:val="0090632A"/>
    <w:rsid w:val="00923C63"/>
    <w:rsid w:val="00935D67"/>
    <w:rsid w:val="00962918"/>
    <w:rsid w:val="00976D30"/>
    <w:rsid w:val="0098228E"/>
    <w:rsid w:val="009A0D19"/>
    <w:rsid w:val="009C4D86"/>
    <w:rsid w:val="009D311F"/>
    <w:rsid w:val="009D5AF2"/>
    <w:rsid w:val="009D6E52"/>
    <w:rsid w:val="00A1319E"/>
    <w:rsid w:val="00A257D8"/>
    <w:rsid w:val="00A31500"/>
    <w:rsid w:val="00A53C66"/>
    <w:rsid w:val="00AA02F1"/>
    <w:rsid w:val="00AA2EA9"/>
    <w:rsid w:val="00AA2EC8"/>
    <w:rsid w:val="00AB1805"/>
    <w:rsid w:val="00AC03D3"/>
    <w:rsid w:val="00AC682A"/>
    <w:rsid w:val="00AE5460"/>
    <w:rsid w:val="00B00324"/>
    <w:rsid w:val="00B03A83"/>
    <w:rsid w:val="00B20A05"/>
    <w:rsid w:val="00B20B3F"/>
    <w:rsid w:val="00B55E68"/>
    <w:rsid w:val="00B855AC"/>
    <w:rsid w:val="00B97086"/>
    <w:rsid w:val="00BB0EB6"/>
    <w:rsid w:val="00BB6FB0"/>
    <w:rsid w:val="00BF63B8"/>
    <w:rsid w:val="00C06286"/>
    <w:rsid w:val="00C1696B"/>
    <w:rsid w:val="00C25AA2"/>
    <w:rsid w:val="00C31104"/>
    <w:rsid w:val="00C3508B"/>
    <w:rsid w:val="00C41367"/>
    <w:rsid w:val="00C4497E"/>
    <w:rsid w:val="00C543D5"/>
    <w:rsid w:val="00C62167"/>
    <w:rsid w:val="00C67C13"/>
    <w:rsid w:val="00CA0AE2"/>
    <w:rsid w:val="00CA2A03"/>
    <w:rsid w:val="00CA39B7"/>
    <w:rsid w:val="00CE2B42"/>
    <w:rsid w:val="00CE4C5A"/>
    <w:rsid w:val="00CF6302"/>
    <w:rsid w:val="00D254F0"/>
    <w:rsid w:val="00D41D4D"/>
    <w:rsid w:val="00D70F61"/>
    <w:rsid w:val="00D84956"/>
    <w:rsid w:val="00D943E9"/>
    <w:rsid w:val="00D96B84"/>
    <w:rsid w:val="00DA5C3D"/>
    <w:rsid w:val="00DA71BD"/>
    <w:rsid w:val="00DF5DEA"/>
    <w:rsid w:val="00DF7623"/>
    <w:rsid w:val="00E10882"/>
    <w:rsid w:val="00E158D2"/>
    <w:rsid w:val="00E27DF9"/>
    <w:rsid w:val="00E674B9"/>
    <w:rsid w:val="00E824CB"/>
    <w:rsid w:val="00E8426E"/>
    <w:rsid w:val="00EA1029"/>
    <w:rsid w:val="00EC06FD"/>
    <w:rsid w:val="00EC0815"/>
    <w:rsid w:val="00ED3CE8"/>
    <w:rsid w:val="00EE076A"/>
    <w:rsid w:val="00EE44D1"/>
    <w:rsid w:val="00EF60BD"/>
    <w:rsid w:val="00F04E85"/>
    <w:rsid w:val="00F05C1D"/>
    <w:rsid w:val="00F120E6"/>
    <w:rsid w:val="00F1485E"/>
    <w:rsid w:val="00F346A5"/>
    <w:rsid w:val="00F518F1"/>
    <w:rsid w:val="00F54F1E"/>
    <w:rsid w:val="00F744D1"/>
    <w:rsid w:val="00F80BAA"/>
    <w:rsid w:val="00FB44C3"/>
    <w:rsid w:val="00FC0417"/>
    <w:rsid w:val="00FD4A0E"/>
    <w:rsid w:val="00FE1F7D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D8C4DA-68E1-4252-9731-BA8AC950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1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C6183"/>
    <w:pPr>
      <w:keepNext/>
      <w:tabs>
        <w:tab w:val="center" w:pos="5400"/>
      </w:tabs>
      <w:jc w:val="center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C6183"/>
    <w:pPr>
      <w:keepNext/>
      <w:ind w:left="720"/>
      <w:jc w:val="both"/>
      <w:outlineLvl w:val="1"/>
    </w:pPr>
    <w:rPr>
      <w:rFonts w:ascii="Tahoma" w:hAnsi="Tahoma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6E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6183"/>
    <w:rPr>
      <w:rFonts w:ascii="Tahoma" w:eastAsia="Times New Roman" w:hAnsi="Tahoma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C6183"/>
    <w:rPr>
      <w:rFonts w:ascii="Tahoma" w:eastAsia="Times New Roman" w:hAnsi="Tahoma" w:cs="Times New Roman"/>
      <w:snapToGrid w:val="0"/>
      <w:sz w:val="28"/>
      <w:szCs w:val="20"/>
    </w:rPr>
  </w:style>
  <w:style w:type="character" w:styleId="CommentReference">
    <w:name w:val="annotation reference"/>
    <w:rsid w:val="003C61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618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618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83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F7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F7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6EA4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86EA4"/>
    <w:pPr>
      <w:widowControl/>
      <w:snapToGrid w:val="0"/>
      <w:jc w:val="both"/>
    </w:pPr>
    <w:rPr>
      <w:rFonts w:ascii="Tahoma" w:eastAsiaTheme="minorHAnsi" w:hAnsi="Tahoma" w:cs="Tahoma"/>
      <w:snapToGrid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86EA4"/>
    <w:rPr>
      <w:rFonts w:ascii="Tahoma" w:hAnsi="Tahoma" w:cs="Tahoma"/>
      <w:sz w:val="28"/>
      <w:szCs w:val="28"/>
    </w:rPr>
  </w:style>
  <w:style w:type="character" w:customStyle="1" w:styleId="a">
    <w:name w:val="a"/>
    <w:rsid w:val="00204621"/>
  </w:style>
  <w:style w:type="paragraph" w:styleId="ListParagraph">
    <w:name w:val="List Paragraph"/>
    <w:basedOn w:val="Normal"/>
    <w:uiPriority w:val="34"/>
    <w:qFormat/>
    <w:rsid w:val="00F120E6"/>
    <w:pPr>
      <w:ind w:left="720"/>
      <w:contextualSpacing/>
    </w:pPr>
  </w:style>
  <w:style w:type="paragraph" w:customStyle="1" w:styleId="DoubleSpaceParagaph">
    <w:name w:val="Double Space Paragaph"/>
    <w:aliases w:val="DS"/>
    <w:basedOn w:val="Normal"/>
    <w:rsid w:val="00D70F61"/>
    <w:pPr>
      <w:widowControl/>
      <w:suppressAutoHyphens/>
      <w:spacing w:line="480" w:lineRule="auto"/>
      <w:ind w:firstLine="1440"/>
      <w:jc w:val="both"/>
    </w:pPr>
    <w:rPr>
      <w:snapToGrid/>
    </w:rPr>
  </w:style>
  <w:style w:type="paragraph" w:styleId="FootnoteText">
    <w:name w:val="footnote text"/>
    <w:basedOn w:val="Normal"/>
    <w:link w:val="FootnoteTextChar"/>
    <w:semiHidden/>
    <w:rsid w:val="00327807"/>
    <w:pPr>
      <w:widowControl/>
    </w:pPr>
    <w:rPr>
      <w:rFonts w:ascii="Century Schoolbook" w:hAnsi="Century Schoolbook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7807"/>
    <w:rPr>
      <w:rFonts w:ascii="Century Schoolbook" w:eastAsia="Times New Roman" w:hAnsi="Century Schoolbook" w:cs="Times New Roman"/>
      <w:sz w:val="20"/>
      <w:szCs w:val="20"/>
    </w:rPr>
  </w:style>
  <w:style w:type="character" w:styleId="FootnoteReference">
    <w:name w:val="footnote reference"/>
    <w:semiHidden/>
    <w:rsid w:val="00327807"/>
    <w:rPr>
      <w:vertAlign w:val="superscript"/>
    </w:rPr>
  </w:style>
  <w:style w:type="paragraph" w:styleId="BlockText">
    <w:name w:val="Block Text"/>
    <w:basedOn w:val="Normal"/>
    <w:rsid w:val="00327807"/>
    <w:pPr>
      <w:snapToGrid w:val="0"/>
      <w:ind w:left="1440" w:right="1440"/>
      <w:jc w:val="both"/>
    </w:pPr>
    <w:rPr>
      <w:snapToGrid/>
    </w:rPr>
  </w:style>
  <w:style w:type="paragraph" w:styleId="NoSpacing">
    <w:name w:val="No Spacing"/>
    <w:uiPriority w:val="1"/>
    <w:qFormat/>
    <w:rsid w:val="00ED3CE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4E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4E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232A-F694-4599-B15B-41DD9D22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Amatullah</dc:creator>
  <cp:lastModifiedBy>DelFranco, Ruthie</cp:lastModifiedBy>
  <cp:revision>2</cp:revision>
  <cp:lastPrinted>2019-03-27T16:13:00Z</cp:lastPrinted>
  <dcterms:created xsi:type="dcterms:W3CDTF">2019-03-27T17:23:00Z</dcterms:created>
  <dcterms:modified xsi:type="dcterms:W3CDTF">2019-03-27T17:23:00Z</dcterms:modified>
</cp:coreProperties>
</file>