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7" w:type="dxa"/>
        <w:jc w:val="center"/>
        <w:tblLook w:val="0600" w:firstRow="0" w:lastRow="0" w:firstColumn="0" w:lastColumn="0" w:noHBand="1" w:noVBand="1"/>
      </w:tblPr>
      <w:tblGrid>
        <w:gridCol w:w="6017"/>
        <w:gridCol w:w="4950"/>
      </w:tblGrid>
      <w:tr w:rsidR="00861D0E" w:rsidRPr="00B97A1B" w:rsidTr="008D128A">
        <w:trPr>
          <w:trHeight w:val="1122"/>
          <w:jc w:val="center"/>
        </w:trPr>
        <w:tc>
          <w:tcPr>
            <w:tcW w:w="6017" w:type="dxa"/>
            <w:tcBorders>
              <w:bottom w:val="single" w:sz="4" w:space="0" w:color="auto"/>
            </w:tcBorders>
          </w:tcPr>
          <w:p w:rsidR="00861D0E" w:rsidRPr="00B97A1B" w:rsidRDefault="00861D0E" w:rsidP="00444FAA">
            <w:pPr>
              <w:pBdr>
                <w:top w:val="single" w:sz="6" w:space="0" w:color="FFFFFF"/>
                <w:left w:val="single" w:sz="6" w:space="0" w:color="FFFFFF"/>
                <w:bottom w:val="single" w:sz="6" w:space="0" w:color="FFFFFF"/>
                <w:right w:val="single" w:sz="6" w:space="0" w:color="FFFFFF"/>
              </w:pBdr>
              <w:jc w:val="center"/>
            </w:pPr>
            <w:r w:rsidRPr="00B97A1B">
              <w:rPr>
                <w:noProof/>
              </w:rPr>
              <w:drawing>
                <wp:inline distT="0" distB="0" distL="0" distR="0" wp14:anchorId="36434FE2" wp14:editId="4F5C5CB4">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950" w:type="dxa"/>
            <w:tcBorders>
              <w:bottom w:val="single" w:sz="4" w:space="0" w:color="auto"/>
            </w:tcBorders>
          </w:tcPr>
          <w:p w:rsidR="00861D0E" w:rsidRPr="00B97A1B" w:rsidRDefault="00861D0E" w:rsidP="00444FAA">
            <w:pPr>
              <w:rPr>
                <w:b/>
                <w:bCs/>
                <w:smallCaps/>
              </w:rPr>
            </w:pPr>
            <w:r w:rsidRPr="00B97A1B">
              <w:rPr>
                <w:b/>
                <w:bCs/>
                <w:smallCaps/>
              </w:rPr>
              <w:t>The Council of the City of New York</w:t>
            </w:r>
          </w:p>
          <w:p w:rsidR="00861D0E" w:rsidRPr="00B97A1B" w:rsidRDefault="00861D0E" w:rsidP="00444FAA">
            <w:pPr>
              <w:rPr>
                <w:b/>
                <w:bCs/>
                <w:smallCaps/>
              </w:rPr>
            </w:pPr>
            <w:r w:rsidRPr="00B97A1B">
              <w:rPr>
                <w:b/>
                <w:bCs/>
                <w:smallCaps/>
              </w:rPr>
              <w:t>Finance Division</w:t>
            </w:r>
          </w:p>
          <w:p w:rsidR="00861D0E" w:rsidRPr="00B97A1B" w:rsidRDefault="00861D0E" w:rsidP="00444FAA">
            <w:pPr>
              <w:spacing w:before="120"/>
              <w:rPr>
                <w:b/>
                <w:bCs/>
                <w:smallCaps/>
              </w:rPr>
            </w:pPr>
            <w:r w:rsidRPr="00B97A1B">
              <w:rPr>
                <w:b/>
                <w:bCs/>
                <w:smallCaps/>
              </w:rPr>
              <w:t>Latonia McKinney, Director</w:t>
            </w:r>
          </w:p>
          <w:p w:rsidR="00861D0E" w:rsidRPr="00B97A1B" w:rsidRDefault="00861D0E" w:rsidP="00444FAA">
            <w:pPr>
              <w:spacing w:before="120"/>
            </w:pPr>
            <w:r w:rsidRPr="00B97A1B">
              <w:rPr>
                <w:b/>
                <w:bCs/>
                <w:smallCaps/>
              </w:rPr>
              <w:t>Fiscal Impact Statement</w:t>
            </w:r>
          </w:p>
          <w:p w:rsidR="00861D0E" w:rsidRPr="00B97A1B" w:rsidRDefault="00861D0E" w:rsidP="00444FAA">
            <w:pPr>
              <w:rPr>
                <w:b/>
                <w:bCs/>
                <w:sz w:val="16"/>
                <w:szCs w:val="16"/>
              </w:rPr>
            </w:pPr>
          </w:p>
          <w:p w:rsidR="00861D0E" w:rsidRDefault="00861D0E" w:rsidP="00444FAA">
            <w:pPr>
              <w:rPr>
                <w:b/>
                <w:bCs/>
              </w:rPr>
            </w:pPr>
            <w:r w:rsidRPr="003F2F38">
              <w:rPr>
                <w:b/>
                <w:bCs/>
                <w:smallCaps/>
              </w:rPr>
              <w:t>Preconsidered Int. No.</w:t>
            </w:r>
            <w:r w:rsidRPr="00B97A1B">
              <w:rPr>
                <w:b/>
                <w:bCs/>
              </w:rPr>
              <w:t xml:space="preserve">:  </w:t>
            </w:r>
          </w:p>
          <w:p w:rsidR="00861D0E" w:rsidRPr="00B97A1B" w:rsidRDefault="00861D0E" w:rsidP="00444FAA">
            <w:pPr>
              <w:rPr>
                <w:sz w:val="16"/>
                <w:szCs w:val="16"/>
              </w:rPr>
            </w:pPr>
          </w:p>
          <w:p w:rsidR="00861D0E" w:rsidRPr="00B97A1B" w:rsidRDefault="00861D0E" w:rsidP="00444FAA">
            <w:pPr>
              <w:tabs>
                <w:tab w:val="left" w:pos="-1440"/>
              </w:tabs>
              <w:ind w:left="1440" w:hanging="1440"/>
            </w:pPr>
            <w:r w:rsidRPr="00B97A1B">
              <w:rPr>
                <w:b/>
                <w:bCs/>
                <w:smallCaps/>
              </w:rPr>
              <w:t>Committee</w:t>
            </w:r>
            <w:r w:rsidRPr="00B97A1B">
              <w:rPr>
                <w:b/>
                <w:bCs/>
              </w:rPr>
              <w:t>: Housing and Buildings</w:t>
            </w:r>
          </w:p>
        </w:tc>
      </w:tr>
      <w:tr w:rsidR="00861D0E" w:rsidRPr="00B97A1B" w:rsidTr="008D128A">
        <w:trPr>
          <w:trHeight w:val="863"/>
          <w:jc w:val="center"/>
        </w:trPr>
        <w:tc>
          <w:tcPr>
            <w:tcW w:w="6017" w:type="dxa"/>
            <w:tcBorders>
              <w:top w:val="single" w:sz="4" w:space="0" w:color="auto"/>
            </w:tcBorders>
          </w:tcPr>
          <w:p w:rsidR="00861D0E" w:rsidRPr="00B97A1B" w:rsidRDefault="00861D0E" w:rsidP="00444FAA">
            <w:pPr>
              <w:rPr>
                <w:noProof/>
              </w:rPr>
            </w:pPr>
            <w:r w:rsidRPr="00B97A1B">
              <w:rPr>
                <w:b/>
                <w:bCs/>
                <w:smallCaps/>
              </w:rPr>
              <w:t>Title:</w:t>
            </w:r>
            <w:r w:rsidRPr="00B97A1B">
              <w:rPr>
                <w:bCs/>
              </w:rPr>
              <w:t xml:space="preserve"> </w:t>
            </w:r>
            <w:r w:rsidRPr="00E436B5">
              <w:rPr>
                <w:bCs/>
              </w:rPr>
              <w:t xml:space="preserve">A Local Law </w:t>
            </w:r>
            <w:r>
              <w:rPr>
                <w:bCs/>
              </w:rPr>
              <w:t>i</w:t>
            </w:r>
            <w:r w:rsidRPr="004A4EDB">
              <w:rPr>
                <w:bCs/>
              </w:rPr>
              <w:t xml:space="preserve">n </w:t>
            </w:r>
            <w:r w:rsidRPr="005A77C9">
              <w:t xml:space="preserve">relation to the disapproval of a determination by the department of housing preservation and development to approve the transfer of the property located at </w:t>
            </w:r>
            <w:r w:rsidRPr="003A136A">
              <w:rPr>
                <w:noProof/>
              </w:rPr>
              <w:t>2089 Amsterdam Avenue</w:t>
            </w:r>
            <w:r w:rsidRPr="005A77C9">
              <w:t xml:space="preserve">, also known as Block </w:t>
            </w:r>
            <w:r w:rsidRPr="003A136A">
              <w:rPr>
                <w:noProof/>
              </w:rPr>
              <w:t>211</w:t>
            </w:r>
            <w:r w:rsidRPr="005A77C9">
              <w:t xml:space="preserve">, Lot </w:t>
            </w:r>
            <w:r w:rsidRPr="003A136A">
              <w:rPr>
                <w:noProof/>
              </w:rPr>
              <w:t>65</w:t>
            </w:r>
            <w:r w:rsidRPr="005A77C9">
              <w:t xml:space="preserve">, in the borough of </w:t>
            </w:r>
            <w:r w:rsidRPr="003A136A">
              <w:rPr>
                <w:noProof/>
              </w:rPr>
              <w:t>Manhattan</w:t>
            </w:r>
          </w:p>
        </w:tc>
        <w:tc>
          <w:tcPr>
            <w:tcW w:w="4950" w:type="dxa"/>
            <w:tcBorders>
              <w:top w:val="single" w:sz="4" w:space="0" w:color="auto"/>
            </w:tcBorders>
          </w:tcPr>
          <w:p w:rsidR="00861D0E" w:rsidRPr="00B97A1B" w:rsidRDefault="00861D0E" w:rsidP="00444FAA">
            <w:r>
              <w:rPr>
                <w:b/>
                <w:bCs/>
                <w:smallCaps/>
              </w:rPr>
              <w:t>Sponsor</w:t>
            </w:r>
            <w:r w:rsidRPr="00B97A1B">
              <w:rPr>
                <w:b/>
                <w:bCs/>
              </w:rPr>
              <w:t xml:space="preserve">: </w:t>
            </w:r>
            <w:r>
              <w:t xml:space="preserve">Council Member </w:t>
            </w:r>
            <w:r w:rsidRPr="00861D0E">
              <w:t>Rodriguez</w:t>
            </w:r>
          </w:p>
        </w:tc>
      </w:tr>
    </w:tbl>
    <w:p w:rsidR="00861D0E" w:rsidRPr="004A4EDB" w:rsidRDefault="00861D0E" w:rsidP="008D128A">
      <w:pPr>
        <w:spacing w:before="100" w:beforeAutospacing="1"/>
      </w:pPr>
      <w:r w:rsidRPr="00B97A1B">
        <w:rPr>
          <w:b/>
          <w:smallCaps/>
        </w:rPr>
        <w:t>Summary of Legislation:</w:t>
      </w:r>
      <w:r>
        <w:t xml:space="preserve"> </w:t>
      </w:r>
      <w:r w:rsidRPr="004A4EDB">
        <w:t>This Preconsidered Intro. would disapprove the determination of the Department of Housing Preservation and Development (“HPD”) to authorize the transfer by the Department of</w:t>
      </w:r>
      <w:r>
        <w:t xml:space="preserve"> Finance of property located at </w:t>
      </w:r>
      <w:r w:rsidRPr="003A136A">
        <w:rPr>
          <w:noProof/>
        </w:rPr>
        <w:t>2089 Amsterdam Avenue</w:t>
      </w:r>
      <w:r w:rsidRPr="005A77C9">
        <w:t xml:space="preserve">, also known as Block </w:t>
      </w:r>
      <w:r w:rsidRPr="003A136A">
        <w:rPr>
          <w:noProof/>
        </w:rPr>
        <w:t>211</w:t>
      </w:r>
      <w:r w:rsidRPr="005A77C9">
        <w:t xml:space="preserve">, Lot </w:t>
      </w:r>
      <w:r w:rsidRPr="003A136A">
        <w:rPr>
          <w:noProof/>
        </w:rPr>
        <w:t>65</w:t>
      </w:r>
      <w:r>
        <w:rPr>
          <w:noProof/>
        </w:rPr>
        <w:t xml:space="preserve">, </w:t>
      </w:r>
      <w:r w:rsidRPr="004A4EDB">
        <w:t xml:space="preserve">in the borough of </w:t>
      </w:r>
      <w:r>
        <w:t>Manhattan</w:t>
      </w:r>
      <w:r w:rsidRPr="004A4EDB">
        <w:t xml:space="preserve"> to a third party through the HPD’s Third Party Transfer program.</w:t>
      </w:r>
      <w:r>
        <w:t xml:space="preserve"> </w:t>
      </w:r>
      <w:r w:rsidRPr="004A4EDB">
        <w:t>In taking this action, the Council is exercising the authority granted to it by Local Law 37 of 1996, which established the framework for HPD’s Third Party Transfer Program.</w:t>
      </w:r>
    </w:p>
    <w:p w:rsidR="00861D0E" w:rsidRDefault="00861D0E" w:rsidP="00861D0E">
      <w:pPr>
        <w:pStyle w:val="NoSpacing"/>
      </w:pPr>
    </w:p>
    <w:p w:rsidR="00861D0E" w:rsidRDefault="00861D0E" w:rsidP="00861D0E">
      <w:r w:rsidRPr="00B97A1B">
        <w:rPr>
          <w:b/>
          <w:smallCaps/>
        </w:rPr>
        <w:t>Effective Date:</w:t>
      </w:r>
      <w:r w:rsidRPr="00B97A1B">
        <w:t xml:space="preserve"> </w:t>
      </w:r>
      <w:r w:rsidRPr="00CB22AD">
        <w:t xml:space="preserve">This local law </w:t>
      </w:r>
      <w:r>
        <w:t>would take</w:t>
      </w:r>
      <w:r w:rsidRPr="00CB22AD">
        <w:t xml:space="preserve"> </w:t>
      </w:r>
      <w:r>
        <w:t>effect immediately and would be</w:t>
      </w:r>
      <w:r w:rsidRPr="00E22EED">
        <w:t xml:space="preserve"> </w:t>
      </w:r>
      <w:r w:rsidRPr="004A4EDB">
        <w:t>deemed to have been in full force and effect on the d</w:t>
      </w:r>
      <w:r>
        <w:t>ate it was first passed by the C</w:t>
      </w:r>
      <w:r w:rsidRPr="004A4EDB">
        <w:t>ouncil.</w:t>
      </w:r>
    </w:p>
    <w:p w:rsidR="00861D0E" w:rsidRDefault="00861D0E" w:rsidP="00861D0E">
      <w:pPr>
        <w:spacing w:before="100" w:beforeAutospacing="1"/>
        <w:contextualSpacing/>
        <w:rPr>
          <w:b/>
          <w:smallCaps/>
        </w:rPr>
      </w:pPr>
    </w:p>
    <w:p w:rsidR="00861D0E" w:rsidRPr="00B97A1B" w:rsidRDefault="00861D0E" w:rsidP="00861D0E">
      <w:pPr>
        <w:spacing w:before="100" w:beforeAutospacing="1"/>
        <w:contextualSpacing/>
      </w:pPr>
      <w:r w:rsidRPr="00B97A1B">
        <w:rPr>
          <w:b/>
          <w:smallCaps/>
        </w:rPr>
        <w:t>Fiscal Year In Which Full Fiscal Impact Anticipated:</w:t>
      </w:r>
      <w:r w:rsidRPr="00B97A1B">
        <w:t xml:space="preserve"> </w:t>
      </w:r>
      <w:r>
        <w:t>Fiscal 2019</w:t>
      </w:r>
    </w:p>
    <w:p w:rsidR="00861D0E" w:rsidRDefault="00861D0E" w:rsidP="00861D0E">
      <w:pPr>
        <w:pBdr>
          <w:top w:val="single" w:sz="4" w:space="1" w:color="auto"/>
        </w:pBdr>
        <w:spacing w:before="240"/>
        <w:rPr>
          <w:b/>
          <w:smallCaps/>
        </w:rPr>
      </w:pPr>
      <w:r w:rsidRPr="00B97A1B">
        <w:rPr>
          <w:b/>
          <w:smallCaps/>
        </w:rPr>
        <w:t>Fiscal Impact Statement:</w:t>
      </w:r>
    </w:p>
    <w:p w:rsidR="00861D0E" w:rsidRPr="00B97A1B" w:rsidRDefault="00861D0E" w:rsidP="00861D0E">
      <w:pPr>
        <w:pStyle w:val="NoSpacing"/>
      </w:pPr>
    </w:p>
    <w:tbl>
      <w:tblPr>
        <w:tblW w:w="0" w:type="auto"/>
        <w:jc w:val="center"/>
        <w:tblCellMar>
          <w:left w:w="141" w:type="dxa"/>
          <w:right w:w="141" w:type="dxa"/>
        </w:tblCellMar>
        <w:tblLook w:val="0000" w:firstRow="0" w:lastRow="0" w:firstColumn="0" w:lastColumn="0" w:noHBand="0" w:noVBand="0"/>
      </w:tblPr>
      <w:tblGrid>
        <w:gridCol w:w="1782"/>
        <w:gridCol w:w="1848"/>
        <w:gridCol w:w="1848"/>
        <w:gridCol w:w="1848"/>
      </w:tblGrid>
      <w:tr w:rsidR="00861D0E" w:rsidRPr="00B97A1B" w:rsidTr="00444FAA">
        <w:trPr>
          <w:trHeight w:val="867"/>
          <w:jc w:val="center"/>
        </w:trPr>
        <w:tc>
          <w:tcPr>
            <w:tcW w:w="1782" w:type="dxa"/>
            <w:tcBorders>
              <w:top w:val="double" w:sz="7" w:space="0" w:color="000000"/>
              <w:left w:val="double" w:sz="7" w:space="0" w:color="000000"/>
              <w:bottom w:val="single" w:sz="6" w:space="0" w:color="FFFFFF"/>
              <w:right w:val="single" w:sz="6" w:space="0" w:color="FFFFFF"/>
            </w:tcBorders>
            <w:vAlign w:val="center"/>
          </w:tcPr>
          <w:p w:rsidR="00861D0E" w:rsidRPr="00B97A1B" w:rsidRDefault="00861D0E" w:rsidP="00444FAA">
            <w:pPr>
              <w:spacing w:line="201" w:lineRule="exact"/>
              <w:jc w:val="center"/>
            </w:pPr>
          </w:p>
          <w:p w:rsidR="00861D0E" w:rsidRPr="00B97A1B" w:rsidRDefault="00861D0E" w:rsidP="00444FAA">
            <w:pPr>
              <w:jc w:val="center"/>
              <w:rPr>
                <w:b/>
                <w:bCs/>
              </w:rPr>
            </w:pPr>
          </w:p>
        </w:tc>
        <w:tc>
          <w:tcPr>
            <w:tcW w:w="1848" w:type="dxa"/>
            <w:tcBorders>
              <w:top w:val="double" w:sz="7" w:space="0" w:color="000000"/>
              <w:left w:val="single" w:sz="7" w:space="0" w:color="000000"/>
              <w:bottom w:val="single" w:sz="6" w:space="0" w:color="FFFFFF"/>
              <w:right w:val="single" w:sz="6" w:space="0" w:color="FFFFFF"/>
            </w:tcBorders>
            <w:vAlign w:val="center"/>
          </w:tcPr>
          <w:p w:rsidR="00861D0E" w:rsidRPr="00B97A1B" w:rsidRDefault="00861D0E" w:rsidP="00444FAA">
            <w:pPr>
              <w:jc w:val="center"/>
              <w:rPr>
                <w:b/>
                <w:bCs/>
              </w:rPr>
            </w:pPr>
            <w:r w:rsidRPr="00B97A1B">
              <w:rPr>
                <w:b/>
                <w:bCs/>
              </w:rPr>
              <w:t>Effective FY1</w:t>
            </w:r>
            <w:r>
              <w:rPr>
                <w:b/>
                <w:bCs/>
              </w:rPr>
              <w:t>9</w:t>
            </w:r>
          </w:p>
          <w:p w:rsidR="00861D0E" w:rsidRPr="00B97A1B" w:rsidRDefault="00861D0E" w:rsidP="00444FAA">
            <w:pPr>
              <w:jc w:val="center"/>
              <w:rPr>
                <w:b/>
                <w:bCs/>
              </w:rPr>
            </w:pPr>
          </w:p>
        </w:tc>
        <w:tc>
          <w:tcPr>
            <w:tcW w:w="1848" w:type="dxa"/>
            <w:tcBorders>
              <w:top w:val="double" w:sz="7" w:space="0" w:color="000000"/>
              <w:left w:val="single" w:sz="7" w:space="0" w:color="000000"/>
              <w:bottom w:val="single" w:sz="6" w:space="0" w:color="FFFFFF"/>
              <w:right w:val="single" w:sz="6" w:space="0" w:color="FFFFFF"/>
            </w:tcBorders>
            <w:vAlign w:val="center"/>
          </w:tcPr>
          <w:p w:rsidR="00861D0E" w:rsidRPr="00B97A1B" w:rsidRDefault="00861D0E" w:rsidP="00444FAA">
            <w:pPr>
              <w:jc w:val="center"/>
              <w:rPr>
                <w:b/>
                <w:bCs/>
              </w:rPr>
            </w:pPr>
            <w:r>
              <w:rPr>
                <w:b/>
                <w:bCs/>
              </w:rPr>
              <w:t>FY Succeeding Effective FY20</w:t>
            </w:r>
          </w:p>
        </w:tc>
        <w:tc>
          <w:tcPr>
            <w:tcW w:w="1848" w:type="dxa"/>
            <w:tcBorders>
              <w:top w:val="double" w:sz="7" w:space="0" w:color="000000"/>
              <w:left w:val="single" w:sz="7" w:space="0" w:color="000000"/>
              <w:bottom w:val="single" w:sz="6" w:space="0" w:color="FFFFFF"/>
              <w:right w:val="double" w:sz="7" w:space="0" w:color="000000"/>
            </w:tcBorders>
            <w:vAlign w:val="center"/>
          </w:tcPr>
          <w:p w:rsidR="00861D0E" w:rsidRPr="00B97A1B" w:rsidRDefault="00861D0E" w:rsidP="00444FAA">
            <w:pPr>
              <w:jc w:val="center"/>
              <w:rPr>
                <w:b/>
                <w:bCs/>
              </w:rPr>
            </w:pPr>
            <w:r>
              <w:rPr>
                <w:b/>
                <w:bCs/>
              </w:rPr>
              <w:t>Full Fiscal Impact FY19</w:t>
            </w:r>
          </w:p>
        </w:tc>
      </w:tr>
      <w:tr w:rsidR="00861D0E" w:rsidRPr="00B97A1B" w:rsidTr="00444FAA">
        <w:trPr>
          <w:trHeight w:val="270"/>
          <w:jc w:val="center"/>
        </w:trPr>
        <w:tc>
          <w:tcPr>
            <w:tcW w:w="1782" w:type="dxa"/>
            <w:tcBorders>
              <w:top w:val="single" w:sz="7" w:space="0" w:color="000000"/>
              <w:left w:val="double" w:sz="7" w:space="0" w:color="000000"/>
              <w:bottom w:val="single" w:sz="6" w:space="0" w:color="FFFFFF"/>
              <w:right w:val="single" w:sz="6" w:space="0" w:color="FFFFFF"/>
            </w:tcBorders>
            <w:vAlign w:val="center"/>
          </w:tcPr>
          <w:p w:rsidR="00861D0E" w:rsidRPr="00B97A1B" w:rsidRDefault="00861D0E" w:rsidP="00444FAA">
            <w:pPr>
              <w:jc w:val="center"/>
              <w:rPr>
                <w:b/>
                <w:bCs/>
              </w:rPr>
            </w:pPr>
            <w:r w:rsidRPr="00B97A1B">
              <w:rPr>
                <w:b/>
                <w:bCs/>
              </w:rPr>
              <w:t>Revenues</w:t>
            </w:r>
          </w:p>
        </w:tc>
        <w:tc>
          <w:tcPr>
            <w:tcW w:w="1848" w:type="dxa"/>
            <w:tcBorders>
              <w:top w:val="single" w:sz="7" w:space="0" w:color="000000"/>
              <w:left w:val="single" w:sz="7" w:space="0" w:color="000000"/>
              <w:bottom w:val="single" w:sz="6" w:space="0" w:color="FFFFFF"/>
              <w:right w:val="single" w:sz="6" w:space="0" w:color="FFFFFF"/>
            </w:tcBorders>
            <w:vAlign w:val="center"/>
          </w:tcPr>
          <w:p w:rsidR="00861D0E" w:rsidRPr="00B97A1B" w:rsidRDefault="00861D0E" w:rsidP="00444FAA">
            <w:pPr>
              <w:jc w:val="center"/>
              <w:rPr>
                <w:bCs/>
              </w:rPr>
            </w:pPr>
            <w:r w:rsidRPr="00B97A1B">
              <w:rPr>
                <w:bCs/>
              </w:rPr>
              <w:t>$0</w:t>
            </w:r>
          </w:p>
        </w:tc>
        <w:tc>
          <w:tcPr>
            <w:tcW w:w="1848" w:type="dxa"/>
            <w:tcBorders>
              <w:top w:val="single" w:sz="7" w:space="0" w:color="000000"/>
              <w:left w:val="single" w:sz="7" w:space="0" w:color="000000"/>
              <w:bottom w:val="single" w:sz="6" w:space="0" w:color="FFFFFF"/>
              <w:right w:val="single" w:sz="6" w:space="0" w:color="FFFFFF"/>
            </w:tcBorders>
            <w:vAlign w:val="center"/>
          </w:tcPr>
          <w:p w:rsidR="00861D0E" w:rsidRPr="00B97A1B" w:rsidRDefault="00861D0E" w:rsidP="00444FAA">
            <w:pPr>
              <w:jc w:val="center"/>
              <w:rPr>
                <w:bCs/>
              </w:rPr>
            </w:pPr>
            <w:r w:rsidRPr="00B97A1B">
              <w:rPr>
                <w:bCs/>
              </w:rPr>
              <w:t>$0</w:t>
            </w:r>
          </w:p>
        </w:tc>
        <w:tc>
          <w:tcPr>
            <w:tcW w:w="1848" w:type="dxa"/>
            <w:tcBorders>
              <w:top w:val="single" w:sz="7" w:space="0" w:color="000000"/>
              <w:left w:val="single" w:sz="7" w:space="0" w:color="000000"/>
              <w:bottom w:val="single" w:sz="6" w:space="0" w:color="FFFFFF"/>
              <w:right w:val="double" w:sz="7" w:space="0" w:color="000000"/>
            </w:tcBorders>
            <w:vAlign w:val="center"/>
          </w:tcPr>
          <w:p w:rsidR="00861D0E" w:rsidRPr="00B97A1B" w:rsidRDefault="00861D0E" w:rsidP="00444FAA">
            <w:pPr>
              <w:jc w:val="center"/>
              <w:rPr>
                <w:bCs/>
              </w:rPr>
            </w:pPr>
            <w:r w:rsidRPr="00B97A1B">
              <w:rPr>
                <w:bCs/>
              </w:rPr>
              <w:t>$0</w:t>
            </w:r>
          </w:p>
        </w:tc>
      </w:tr>
      <w:tr w:rsidR="00861D0E" w:rsidRPr="00B97A1B" w:rsidTr="00444FAA">
        <w:trPr>
          <w:trHeight w:val="256"/>
          <w:jc w:val="center"/>
        </w:trPr>
        <w:tc>
          <w:tcPr>
            <w:tcW w:w="1782" w:type="dxa"/>
            <w:tcBorders>
              <w:top w:val="single" w:sz="7" w:space="0" w:color="000000"/>
              <w:left w:val="double" w:sz="7" w:space="0" w:color="000000"/>
              <w:bottom w:val="single" w:sz="6" w:space="0" w:color="FFFFFF"/>
              <w:right w:val="single" w:sz="6" w:space="0" w:color="FFFFFF"/>
            </w:tcBorders>
            <w:vAlign w:val="center"/>
          </w:tcPr>
          <w:p w:rsidR="00861D0E" w:rsidRPr="00B97A1B" w:rsidRDefault="00861D0E" w:rsidP="00444FAA">
            <w:pPr>
              <w:jc w:val="center"/>
              <w:rPr>
                <w:b/>
                <w:bCs/>
              </w:rPr>
            </w:pPr>
            <w:r w:rsidRPr="00B97A1B">
              <w:rPr>
                <w:b/>
                <w:bCs/>
              </w:rPr>
              <w:t>Expenditures</w:t>
            </w:r>
          </w:p>
        </w:tc>
        <w:tc>
          <w:tcPr>
            <w:tcW w:w="1848" w:type="dxa"/>
            <w:tcBorders>
              <w:top w:val="single" w:sz="7" w:space="0" w:color="000000"/>
              <w:left w:val="single" w:sz="7" w:space="0" w:color="000000"/>
              <w:bottom w:val="single" w:sz="6" w:space="0" w:color="FFFFFF"/>
              <w:right w:val="single" w:sz="6" w:space="0" w:color="FFFFFF"/>
            </w:tcBorders>
            <w:vAlign w:val="center"/>
          </w:tcPr>
          <w:p w:rsidR="00861D0E" w:rsidRPr="00B97A1B" w:rsidRDefault="00861D0E" w:rsidP="00444FAA">
            <w:pPr>
              <w:jc w:val="center"/>
              <w:rPr>
                <w:bCs/>
              </w:rPr>
            </w:pPr>
            <w:r w:rsidRPr="00B97A1B">
              <w:rPr>
                <w:bCs/>
              </w:rPr>
              <w:t>$0</w:t>
            </w:r>
          </w:p>
        </w:tc>
        <w:tc>
          <w:tcPr>
            <w:tcW w:w="1848" w:type="dxa"/>
            <w:tcBorders>
              <w:top w:val="single" w:sz="7" w:space="0" w:color="000000"/>
              <w:left w:val="single" w:sz="7" w:space="0" w:color="000000"/>
              <w:bottom w:val="single" w:sz="6" w:space="0" w:color="FFFFFF"/>
              <w:right w:val="single" w:sz="6" w:space="0" w:color="FFFFFF"/>
            </w:tcBorders>
            <w:vAlign w:val="center"/>
          </w:tcPr>
          <w:p w:rsidR="00861D0E" w:rsidRPr="00B97A1B" w:rsidRDefault="00861D0E" w:rsidP="00444FAA">
            <w:pPr>
              <w:jc w:val="center"/>
              <w:rPr>
                <w:bCs/>
              </w:rPr>
            </w:pPr>
            <w:r w:rsidRPr="00B97A1B">
              <w:rPr>
                <w:bCs/>
              </w:rPr>
              <w:t>$0</w:t>
            </w:r>
          </w:p>
        </w:tc>
        <w:tc>
          <w:tcPr>
            <w:tcW w:w="1848" w:type="dxa"/>
            <w:tcBorders>
              <w:top w:val="single" w:sz="7" w:space="0" w:color="000000"/>
              <w:left w:val="single" w:sz="7" w:space="0" w:color="000000"/>
              <w:bottom w:val="single" w:sz="6" w:space="0" w:color="FFFFFF"/>
              <w:right w:val="double" w:sz="7" w:space="0" w:color="000000"/>
            </w:tcBorders>
            <w:vAlign w:val="center"/>
          </w:tcPr>
          <w:p w:rsidR="00861D0E" w:rsidRPr="00B97A1B" w:rsidRDefault="00861D0E" w:rsidP="00444FAA">
            <w:pPr>
              <w:jc w:val="center"/>
              <w:rPr>
                <w:bCs/>
              </w:rPr>
            </w:pPr>
            <w:r w:rsidRPr="00B97A1B">
              <w:rPr>
                <w:bCs/>
              </w:rPr>
              <w:t>$0</w:t>
            </w:r>
          </w:p>
        </w:tc>
      </w:tr>
      <w:tr w:rsidR="00861D0E" w:rsidRPr="00B97A1B" w:rsidTr="00444FAA">
        <w:trPr>
          <w:trHeight w:val="327"/>
          <w:jc w:val="center"/>
        </w:trPr>
        <w:tc>
          <w:tcPr>
            <w:tcW w:w="1782" w:type="dxa"/>
            <w:tcBorders>
              <w:top w:val="single" w:sz="7" w:space="0" w:color="000000"/>
              <w:left w:val="double" w:sz="7" w:space="0" w:color="000000"/>
              <w:bottom w:val="single" w:sz="7" w:space="0" w:color="000000"/>
              <w:right w:val="single" w:sz="6" w:space="0" w:color="FFFFFF"/>
            </w:tcBorders>
            <w:vAlign w:val="center"/>
          </w:tcPr>
          <w:p w:rsidR="00861D0E" w:rsidRPr="00B97A1B" w:rsidRDefault="00861D0E" w:rsidP="00444FAA">
            <w:pPr>
              <w:spacing w:after="58"/>
              <w:jc w:val="center"/>
              <w:rPr>
                <w:b/>
                <w:bCs/>
              </w:rPr>
            </w:pPr>
            <w:r w:rsidRPr="00B97A1B">
              <w:rPr>
                <w:b/>
                <w:bCs/>
              </w:rPr>
              <w:t>Net</w:t>
            </w:r>
          </w:p>
        </w:tc>
        <w:tc>
          <w:tcPr>
            <w:tcW w:w="1848" w:type="dxa"/>
            <w:tcBorders>
              <w:top w:val="single" w:sz="7" w:space="0" w:color="000000"/>
              <w:left w:val="single" w:sz="7" w:space="0" w:color="000000"/>
              <w:bottom w:val="single" w:sz="7" w:space="0" w:color="000000"/>
              <w:right w:val="single" w:sz="6" w:space="0" w:color="FFFFFF"/>
            </w:tcBorders>
            <w:vAlign w:val="center"/>
          </w:tcPr>
          <w:p w:rsidR="00861D0E" w:rsidRPr="00B97A1B" w:rsidRDefault="00861D0E" w:rsidP="00444FAA">
            <w:pPr>
              <w:jc w:val="center"/>
              <w:rPr>
                <w:bCs/>
              </w:rPr>
            </w:pPr>
            <w:r w:rsidRPr="00B97A1B">
              <w:rPr>
                <w:bCs/>
              </w:rPr>
              <w:t>$0</w:t>
            </w:r>
          </w:p>
        </w:tc>
        <w:tc>
          <w:tcPr>
            <w:tcW w:w="1848" w:type="dxa"/>
            <w:tcBorders>
              <w:top w:val="single" w:sz="7" w:space="0" w:color="000000"/>
              <w:left w:val="single" w:sz="7" w:space="0" w:color="000000"/>
              <w:bottom w:val="single" w:sz="7" w:space="0" w:color="000000"/>
              <w:right w:val="single" w:sz="6" w:space="0" w:color="FFFFFF"/>
            </w:tcBorders>
            <w:vAlign w:val="center"/>
          </w:tcPr>
          <w:p w:rsidR="00861D0E" w:rsidRPr="00B97A1B" w:rsidRDefault="00861D0E" w:rsidP="00444FAA">
            <w:pPr>
              <w:jc w:val="center"/>
              <w:rPr>
                <w:bCs/>
              </w:rPr>
            </w:pPr>
            <w:r w:rsidRPr="00B97A1B">
              <w:rPr>
                <w:bCs/>
              </w:rPr>
              <w:t>$0</w:t>
            </w:r>
          </w:p>
        </w:tc>
        <w:tc>
          <w:tcPr>
            <w:tcW w:w="1848" w:type="dxa"/>
            <w:tcBorders>
              <w:top w:val="single" w:sz="7" w:space="0" w:color="000000"/>
              <w:left w:val="single" w:sz="7" w:space="0" w:color="000000"/>
              <w:bottom w:val="single" w:sz="7" w:space="0" w:color="000000"/>
              <w:right w:val="double" w:sz="7" w:space="0" w:color="000000"/>
            </w:tcBorders>
            <w:vAlign w:val="center"/>
          </w:tcPr>
          <w:p w:rsidR="00861D0E" w:rsidRPr="00B97A1B" w:rsidRDefault="00861D0E" w:rsidP="00444FAA">
            <w:pPr>
              <w:jc w:val="center"/>
              <w:rPr>
                <w:bCs/>
              </w:rPr>
            </w:pPr>
            <w:r w:rsidRPr="00B97A1B">
              <w:rPr>
                <w:bCs/>
              </w:rPr>
              <w:t>$0</w:t>
            </w:r>
          </w:p>
        </w:tc>
      </w:tr>
    </w:tbl>
    <w:p w:rsidR="00861D0E" w:rsidRPr="00B97A1B" w:rsidRDefault="00861D0E" w:rsidP="00861D0E">
      <w:pPr>
        <w:pStyle w:val="NoSpacing"/>
      </w:pPr>
    </w:p>
    <w:p w:rsidR="00861D0E" w:rsidRDefault="00861D0E" w:rsidP="00861D0E">
      <w:r w:rsidRPr="00B97A1B">
        <w:rPr>
          <w:b/>
          <w:smallCaps/>
        </w:rPr>
        <w:t>Impact on Revenues</w:t>
      </w:r>
      <w:r>
        <w:rPr>
          <w:b/>
          <w:smallCaps/>
        </w:rPr>
        <w:t xml:space="preserve"> and expenditures: </w:t>
      </w:r>
      <w:r>
        <w:t>It is estimated that there would be no impact on revenues or expenditures resulting from the enactment of this legislation. This is because the legislation would only effectively extend the continued management of the property under non-City management, as such, would  not have any new impact on City expenditures.</w:t>
      </w:r>
    </w:p>
    <w:p w:rsidR="00861D0E" w:rsidRPr="00E22EED" w:rsidRDefault="00861D0E" w:rsidP="00861D0E">
      <w:pPr>
        <w:spacing w:before="240"/>
      </w:pPr>
      <w:r w:rsidRPr="00B97A1B">
        <w:rPr>
          <w:b/>
          <w:smallCaps/>
        </w:rPr>
        <w:t>Source of Funds To Cover Estimated Costs:</w:t>
      </w:r>
      <w:r w:rsidRPr="00B97A1B">
        <w:t xml:space="preserve"> </w:t>
      </w:r>
      <w:r w:rsidRPr="00E22EED">
        <w:t>Not applicable.</w:t>
      </w:r>
    </w:p>
    <w:p w:rsidR="00861D0E" w:rsidRPr="00A00770" w:rsidRDefault="00861D0E" w:rsidP="00861D0E">
      <w:pPr>
        <w:spacing w:before="240"/>
      </w:pPr>
      <w:r w:rsidRPr="00B97A1B">
        <w:rPr>
          <w:b/>
          <w:smallCaps/>
        </w:rPr>
        <w:t>Source of Information:</w:t>
      </w:r>
      <w:r w:rsidRPr="00B97A1B">
        <w:t xml:space="preserve">  New Yo</w:t>
      </w:r>
      <w:r w:rsidR="00EE2D32">
        <w:t>rk City Council Finance Di</w:t>
      </w:r>
      <w:bookmarkStart w:id="0" w:name="_GoBack"/>
      <w:bookmarkEnd w:id="0"/>
      <w:r>
        <w:t xml:space="preserve">vison </w:t>
      </w:r>
      <w:r w:rsidRPr="00A00770">
        <w:t xml:space="preserve">      </w:t>
      </w:r>
      <w:r w:rsidRPr="00A00770">
        <w:tab/>
        <w:t xml:space="preserve">        </w:t>
      </w:r>
    </w:p>
    <w:p w:rsidR="00861D0E" w:rsidRDefault="00861D0E" w:rsidP="00861D0E">
      <w:pPr>
        <w:rPr>
          <w:b/>
          <w:smallCaps/>
        </w:rPr>
      </w:pPr>
    </w:p>
    <w:p w:rsidR="00861D0E" w:rsidRDefault="00861D0E" w:rsidP="00861D0E">
      <w:r w:rsidRPr="00B97A1B">
        <w:rPr>
          <w:b/>
          <w:smallCaps/>
        </w:rPr>
        <w:t>Estimate Prepared by:</w:t>
      </w:r>
      <w:r w:rsidRPr="00B97A1B">
        <w:rPr>
          <w:b/>
          <w:smallCaps/>
        </w:rPr>
        <w:tab/>
      </w:r>
      <w:r w:rsidRPr="00B97A1B">
        <w:t>Sarah Gastelum,</w:t>
      </w:r>
      <w:r>
        <w:t xml:space="preserve"> Principal</w:t>
      </w:r>
      <w:r w:rsidRPr="00B97A1B">
        <w:t xml:space="preserve"> Financial Analyst </w:t>
      </w:r>
    </w:p>
    <w:p w:rsidR="00861D0E" w:rsidRPr="00B97A1B" w:rsidRDefault="00861D0E" w:rsidP="00861D0E">
      <w:pPr>
        <w:rPr>
          <w:b/>
          <w:smallCaps/>
        </w:rPr>
      </w:pPr>
      <w:r>
        <w:tab/>
      </w:r>
      <w:r>
        <w:tab/>
      </w:r>
      <w:r>
        <w:tab/>
      </w:r>
      <w:r>
        <w:tab/>
      </w:r>
      <w:r w:rsidRPr="00B97A1B">
        <w:rPr>
          <w:b/>
          <w:smallCaps/>
        </w:rPr>
        <w:tab/>
      </w:r>
    </w:p>
    <w:p w:rsidR="00861D0E" w:rsidRDefault="00861D0E" w:rsidP="00861D0E">
      <w:pPr>
        <w:pStyle w:val="NoSpacing"/>
      </w:pPr>
      <w:r w:rsidRPr="00B97A1B">
        <w:rPr>
          <w:b/>
          <w:smallCaps/>
        </w:rPr>
        <w:t>Estimate Reviewed by:</w:t>
      </w:r>
      <w:r w:rsidRPr="00B97A1B">
        <w:rPr>
          <w:b/>
          <w:smallCaps/>
        </w:rPr>
        <w:tab/>
      </w:r>
      <w:r>
        <w:t>Rebecca Chasan, Senior Counsel</w:t>
      </w:r>
    </w:p>
    <w:p w:rsidR="00861D0E" w:rsidRPr="003A3EC5" w:rsidRDefault="00861D0E" w:rsidP="00861D0E">
      <w:pPr>
        <w:pStyle w:val="NoSpacing"/>
      </w:pPr>
    </w:p>
    <w:p w:rsidR="00861D0E" w:rsidRPr="007E625E" w:rsidRDefault="00861D0E" w:rsidP="00861D0E">
      <w:r w:rsidRPr="00B97A1B">
        <w:rPr>
          <w:b/>
          <w:smallCaps/>
        </w:rPr>
        <w:lastRenderedPageBreak/>
        <w:t>Legislative History:</w:t>
      </w:r>
      <w:r w:rsidRPr="00B97A1B">
        <w:t xml:space="preserve"> </w:t>
      </w:r>
      <w:r w:rsidRPr="007E625E">
        <w:t xml:space="preserve">This legislation will be considered by the Committee on </w:t>
      </w:r>
      <w:r>
        <w:t>Housing and Buildings</w:t>
      </w:r>
      <w:r w:rsidRPr="007E625E">
        <w:t xml:space="preserve"> (Committee) as </w:t>
      </w:r>
      <w:r>
        <w:t>a Preconsidered Introduction on October 31, 2018</w:t>
      </w:r>
      <w:r w:rsidRPr="007E625E">
        <w:t xml:space="preserve">. Upon a successful vote by the Committee, the bill would be introduced and submitted to the full Council for a vote on </w:t>
      </w:r>
      <w:r>
        <w:t xml:space="preserve">October 31, 2018. </w:t>
      </w:r>
      <w:r w:rsidRPr="007E625E">
        <w:t xml:space="preserve">      </w:t>
      </w:r>
    </w:p>
    <w:p w:rsidR="00861D0E" w:rsidRDefault="00861D0E" w:rsidP="00861D0E">
      <w:pPr>
        <w:rPr>
          <w:color w:val="FF0000"/>
        </w:rPr>
      </w:pPr>
    </w:p>
    <w:p w:rsidR="00861D0E" w:rsidRPr="00B97A1B" w:rsidRDefault="00861D0E" w:rsidP="00861D0E">
      <w:r w:rsidRPr="00B97A1B">
        <w:rPr>
          <w:b/>
          <w:smallCaps/>
        </w:rPr>
        <w:t xml:space="preserve">Date </w:t>
      </w:r>
      <w:r>
        <w:rPr>
          <w:b/>
          <w:smallCaps/>
        </w:rPr>
        <w:t>Prepared</w:t>
      </w:r>
      <w:r w:rsidRPr="00B97A1B">
        <w:rPr>
          <w:b/>
          <w:smallCaps/>
        </w:rPr>
        <w:t xml:space="preserve">:  </w:t>
      </w:r>
      <w:r>
        <w:t xml:space="preserve">October 24, 2018 </w:t>
      </w:r>
    </w:p>
    <w:p w:rsidR="00861D0E" w:rsidRPr="00B97A1B" w:rsidRDefault="00861D0E" w:rsidP="00861D0E"/>
    <w:p w:rsidR="00861D0E" w:rsidRPr="00B97A1B" w:rsidRDefault="00861D0E" w:rsidP="00861D0E"/>
    <w:p w:rsidR="00861D0E" w:rsidRPr="00B97A1B"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Pr="004A4EDB"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861D0E" w:rsidRDefault="00861D0E" w:rsidP="00861D0E"/>
    <w:p w:rsidR="00696AAE" w:rsidRDefault="00696AAE"/>
    <w:sectPr w:rsidR="00696AAE"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34" w:rsidRDefault="008D128A">
      <w:r>
        <w:separator/>
      </w:r>
    </w:p>
  </w:endnote>
  <w:endnote w:type="continuationSeparator" w:id="0">
    <w:p w:rsidR="00E41534" w:rsidRDefault="008D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861D0E">
    <w:pPr>
      <w:pStyle w:val="Footer"/>
      <w:pBdr>
        <w:top w:val="thinThickSmallGap" w:sz="24" w:space="1" w:color="823B0B" w:themeColor="accent2" w:themeShade="7F"/>
      </w:pBdr>
      <w:rPr>
        <w:rFonts w:eastAsiaTheme="majorEastAsia"/>
      </w:rPr>
    </w:pPr>
    <w:r>
      <w:rPr>
        <w:rFonts w:eastAsiaTheme="majorEastAsia"/>
      </w:rPr>
      <w:t>Preconsidered Intro.</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EE2D32" w:rsidRPr="00EE2D32">
      <w:rPr>
        <w:rFonts w:eastAsiaTheme="majorEastAsia"/>
        <w:noProof/>
      </w:rPr>
      <w:t>1</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34" w:rsidRDefault="008D128A">
      <w:r>
        <w:separator/>
      </w:r>
    </w:p>
  </w:footnote>
  <w:footnote w:type="continuationSeparator" w:id="0">
    <w:p w:rsidR="00E41534" w:rsidRDefault="008D1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0E"/>
    <w:rsid w:val="00696AAE"/>
    <w:rsid w:val="00861D0E"/>
    <w:rsid w:val="008D128A"/>
    <w:rsid w:val="00E41534"/>
    <w:rsid w:val="00EE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EC99"/>
  <w15:chartTrackingRefBased/>
  <w15:docId w15:val="{4D846EBE-2D4C-4AEB-8CCF-9FA6CC51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0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D0E"/>
    <w:pPr>
      <w:tabs>
        <w:tab w:val="center" w:pos="4680"/>
        <w:tab w:val="right" w:pos="9360"/>
      </w:tabs>
    </w:pPr>
  </w:style>
  <w:style w:type="character" w:customStyle="1" w:styleId="FooterChar">
    <w:name w:val="Footer Char"/>
    <w:basedOn w:val="DefaultParagraphFont"/>
    <w:link w:val="Footer"/>
    <w:uiPriority w:val="99"/>
    <w:rsid w:val="00861D0E"/>
    <w:rPr>
      <w:rFonts w:ascii="Times New Roman" w:eastAsia="Times New Roman" w:hAnsi="Times New Roman" w:cs="Times New Roman"/>
      <w:sz w:val="24"/>
      <w:szCs w:val="24"/>
    </w:rPr>
  </w:style>
  <w:style w:type="paragraph" w:styleId="NoSpacing">
    <w:name w:val="No Spacing"/>
    <w:uiPriority w:val="1"/>
    <w:qFormat/>
    <w:rsid w:val="00861D0E"/>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Company>NYCC</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Gastelum, Sarah</cp:lastModifiedBy>
  <cp:revision>3</cp:revision>
  <dcterms:created xsi:type="dcterms:W3CDTF">2018-10-24T21:13:00Z</dcterms:created>
  <dcterms:modified xsi:type="dcterms:W3CDTF">2018-10-31T17:11:00Z</dcterms:modified>
</cp:coreProperties>
</file>