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9" w:type="dxa"/>
        <w:jc w:val="center"/>
        <w:tblLook w:val="0600" w:firstRow="0" w:lastRow="0" w:firstColumn="0" w:lastColumn="0" w:noHBand="1" w:noVBand="1"/>
      </w:tblPr>
      <w:tblGrid>
        <w:gridCol w:w="5900"/>
        <w:gridCol w:w="5089"/>
      </w:tblGrid>
      <w:tr w:rsidR="0003345D" w:rsidRPr="00012730" w14:paraId="3F279B05" w14:textId="77777777" w:rsidTr="00452868">
        <w:trPr>
          <w:trHeight w:val="1657"/>
          <w:jc w:val="center"/>
        </w:trPr>
        <w:tc>
          <w:tcPr>
            <w:tcW w:w="5900" w:type="dxa"/>
            <w:tcBorders>
              <w:bottom w:val="single" w:sz="4" w:space="0" w:color="auto"/>
            </w:tcBorders>
          </w:tcPr>
          <w:p w14:paraId="21F5B89F" w14:textId="77777777" w:rsidR="0003345D" w:rsidRPr="00012730" w:rsidRDefault="0003345D" w:rsidP="00751689">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39C8517F" wp14:editId="54EB5605">
                  <wp:extent cx="13620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6" t="-970" r="-1396" b="-970"/>
                          <a:stretch>
                            <a:fillRect/>
                          </a:stretch>
                        </pic:blipFill>
                        <pic:spPr bwMode="auto">
                          <a:xfrm>
                            <a:off x="0" y="0"/>
                            <a:ext cx="1362075" cy="1247775"/>
                          </a:xfrm>
                          <a:prstGeom prst="rect">
                            <a:avLst/>
                          </a:prstGeom>
                          <a:noFill/>
                          <a:ln>
                            <a:noFill/>
                          </a:ln>
                        </pic:spPr>
                      </pic:pic>
                    </a:graphicData>
                  </a:graphic>
                </wp:inline>
              </w:drawing>
            </w:r>
          </w:p>
        </w:tc>
        <w:tc>
          <w:tcPr>
            <w:tcW w:w="5089" w:type="dxa"/>
            <w:tcBorders>
              <w:bottom w:val="single" w:sz="4" w:space="0" w:color="auto"/>
            </w:tcBorders>
          </w:tcPr>
          <w:p w14:paraId="6AB86348" w14:textId="77777777" w:rsidR="0003345D" w:rsidRDefault="0003345D" w:rsidP="00751689">
            <w:pPr>
              <w:rPr>
                <w:b/>
                <w:bCs/>
                <w:smallCaps/>
              </w:rPr>
            </w:pPr>
            <w:r>
              <w:rPr>
                <w:b/>
                <w:bCs/>
                <w:smallCaps/>
              </w:rPr>
              <w:t>The Council of the City of New York</w:t>
            </w:r>
          </w:p>
          <w:p w14:paraId="3EC5B1D9" w14:textId="77777777" w:rsidR="0003345D" w:rsidRDefault="0003345D" w:rsidP="00751689">
            <w:pPr>
              <w:rPr>
                <w:b/>
                <w:bCs/>
                <w:smallCaps/>
              </w:rPr>
            </w:pPr>
            <w:r>
              <w:rPr>
                <w:b/>
                <w:bCs/>
                <w:smallCaps/>
              </w:rPr>
              <w:t>Finance Division</w:t>
            </w:r>
          </w:p>
          <w:p w14:paraId="4144B2DD" w14:textId="77777777" w:rsidR="0003345D" w:rsidRDefault="0003345D" w:rsidP="00751689">
            <w:pPr>
              <w:spacing w:before="120"/>
              <w:rPr>
                <w:b/>
                <w:bCs/>
                <w:smallCaps/>
              </w:rPr>
            </w:pPr>
            <w:r>
              <w:rPr>
                <w:b/>
                <w:bCs/>
                <w:smallCaps/>
              </w:rPr>
              <w:t>Latonia McKinney, Director</w:t>
            </w:r>
          </w:p>
          <w:p w14:paraId="038EAABF" w14:textId="77777777" w:rsidR="0003345D" w:rsidRDefault="0003345D" w:rsidP="00751689">
            <w:pPr>
              <w:spacing w:before="120"/>
            </w:pPr>
            <w:r>
              <w:rPr>
                <w:b/>
                <w:bCs/>
                <w:smallCaps/>
              </w:rPr>
              <w:t>Fiscal Impact Statement</w:t>
            </w:r>
          </w:p>
          <w:p w14:paraId="1339086D" w14:textId="77777777" w:rsidR="0003345D" w:rsidRPr="00ED74D9" w:rsidRDefault="0003345D" w:rsidP="00751689">
            <w:pPr>
              <w:rPr>
                <w:b/>
                <w:bCs/>
                <w:sz w:val="16"/>
                <w:szCs w:val="16"/>
              </w:rPr>
            </w:pPr>
          </w:p>
          <w:p w14:paraId="0E05096E" w14:textId="77777777" w:rsidR="0003345D" w:rsidRDefault="0003345D" w:rsidP="00751689">
            <w:pPr>
              <w:rPr>
                <w:b/>
                <w:bCs/>
              </w:rPr>
            </w:pPr>
            <w:r>
              <w:rPr>
                <w:b/>
                <w:bCs/>
                <w:smallCaps/>
              </w:rPr>
              <w:t xml:space="preserve">Proposed </w:t>
            </w:r>
            <w:r w:rsidRPr="00EE2325">
              <w:rPr>
                <w:b/>
                <w:bCs/>
                <w:smallCaps/>
              </w:rPr>
              <w:t>Intro. No</w:t>
            </w:r>
            <w:r>
              <w:rPr>
                <w:b/>
                <w:bCs/>
              </w:rPr>
              <w:t>: 836-A</w:t>
            </w:r>
          </w:p>
          <w:p w14:paraId="72476D8A" w14:textId="77777777" w:rsidR="0003345D" w:rsidRPr="00A267C7" w:rsidRDefault="0003345D" w:rsidP="00751689">
            <w:pPr>
              <w:rPr>
                <w:color w:val="FF0000"/>
                <w:sz w:val="16"/>
                <w:szCs w:val="16"/>
              </w:rPr>
            </w:pPr>
          </w:p>
          <w:p w14:paraId="39424A42" w14:textId="77777777" w:rsidR="0003345D" w:rsidRPr="00A267C7" w:rsidRDefault="0003345D" w:rsidP="00751689">
            <w:pPr>
              <w:tabs>
                <w:tab w:val="left" w:pos="-1440"/>
              </w:tabs>
              <w:ind w:left="1440" w:hanging="1440"/>
              <w:rPr>
                <w:color w:val="FF0000"/>
              </w:rPr>
            </w:pPr>
            <w:r>
              <w:rPr>
                <w:b/>
                <w:bCs/>
                <w:smallCaps/>
              </w:rPr>
              <w:t>Committee</w:t>
            </w:r>
            <w:r>
              <w:rPr>
                <w:b/>
                <w:bCs/>
              </w:rPr>
              <w:t>: Housing and Buildings</w:t>
            </w:r>
          </w:p>
        </w:tc>
      </w:tr>
      <w:tr w:rsidR="0003345D" w:rsidRPr="00012730" w14:paraId="38FD95C8" w14:textId="77777777" w:rsidTr="00452868">
        <w:trPr>
          <w:trHeight w:val="962"/>
          <w:jc w:val="center"/>
        </w:trPr>
        <w:tc>
          <w:tcPr>
            <w:tcW w:w="5900" w:type="dxa"/>
            <w:tcBorders>
              <w:top w:val="single" w:sz="4" w:space="0" w:color="auto"/>
            </w:tcBorders>
          </w:tcPr>
          <w:p w14:paraId="6D72EEDF" w14:textId="77777777" w:rsidR="0003345D" w:rsidRPr="0063076D" w:rsidRDefault="0003345D" w:rsidP="00751689">
            <w:pPr>
              <w:autoSpaceDE w:val="0"/>
              <w:autoSpaceDN w:val="0"/>
              <w:adjustRightInd w:val="0"/>
              <w:rPr>
                <w:rFonts w:eastAsia="Calibri"/>
              </w:rPr>
            </w:pPr>
            <w:proofErr w:type="gramStart"/>
            <w:r w:rsidRPr="00012730">
              <w:rPr>
                <w:b/>
                <w:bCs/>
                <w:smallCaps/>
              </w:rPr>
              <w:t>Title:</w:t>
            </w:r>
            <w:r>
              <w:rPr>
                <w:bCs/>
              </w:rPr>
              <w:t xml:space="preserve"> </w:t>
            </w:r>
            <w:r w:rsidRPr="00BD56AF">
              <w:rPr>
                <w:rFonts w:eastAsia="Calibri"/>
              </w:rPr>
              <w:t xml:space="preserve">A </w:t>
            </w:r>
            <w:r>
              <w:rPr>
                <w:rFonts w:eastAsia="Calibri"/>
              </w:rPr>
              <w:t>Local Law</w:t>
            </w:r>
            <w:r>
              <w:t xml:space="preserve"> </w:t>
            </w:r>
            <w:r w:rsidRPr="0003345D">
              <w:rPr>
                <w:spacing w:val="-3"/>
              </w:rPr>
              <w:t>to amend the administrative code of the city of New York, the New York city building code, the New York city mechanical code and the New York city fire code, in relation to approval processes for alternative automatic fire extinguishing systems, fire alarm systems, emergency alarm systems, fire department in building auxiliary radio communication systems and fire protection plans.</w:t>
            </w:r>
            <w:proofErr w:type="gramEnd"/>
          </w:p>
        </w:tc>
        <w:tc>
          <w:tcPr>
            <w:tcW w:w="5089" w:type="dxa"/>
            <w:tcBorders>
              <w:top w:val="single" w:sz="4" w:space="0" w:color="auto"/>
            </w:tcBorders>
          </w:tcPr>
          <w:p w14:paraId="6D42DBF7" w14:textId="77777777" w:rsidR="0003345D" w:rsidRPr="00422B5D" w:rsidRDefault="0003345D" w:rsidP="00751689">
            <w:pPr>
              <w:suppressLineNumbers/>
              <w:tabs>
                <w:tab w:val="left" w:pos="-720"/>
              </w:tabs>
              <w:suppressAutoHyphens/>
            </w:pPr>
            <w:r>
              <w:rPr>
                <w:b/>
                <w:bCs/>
                <w:smallCaps/>
              </w:rPr>
              <w:t>Sponsors</w:t>
            </w:r>
            <w:r>
              <w:rPr>
                <w:b/>
                <w:bCs/>
              </w:rPr>
              <w:t xml:space="preserve">: </w:t>
            </w:r>
            <w:r w:rsidRPr="0003345D">
              <w:t>Council Member</w:t>
            </w:r>
            <w:r w:rsidR="009F0B5C">
              <w:t>s</w:t>
            </w:r>
            <w:r w:rsidRPr="0003345D">
              <w:t xml:space="preserve"> Cornegy</w:t>
            </w:r>
            <w:r w:rsidR="009F0B5C">
              <w:t>, Kallos and Constantinides</w:t>
            </w:r>
            <w:r w:rsidRPr="0003345D">
              <w:t xml:space="preserve"> (by request of the Mayor)</w:t>
            </w:r>
          </w:p>
        </w:tc>
      </w:tr>
    </w:tbl>
    <w:p w14:paraId="7367E7A7" w14:textId="77777777" w:rsidR="007A35E6" w:rsidRDefault="0003345D" w:rsidP="00452868">
      <w:pPr>
        <w:spacing w:before="120"/>
      </w:pPr>
      <w:r>
        <w:rPr>
          <w:b/>
          <w:smallCaps/>
        </w:rPr>
        <w:t>Summ</w:t>
      </w:r>
      <w:bookmarkStart w:id="0" w:name="_GoBack"/>
      <w:bookmarkEnd w:id="0"/>
      <w:r>
        <w:rPr>
          <w:b/>
          <w:smallCaps/>
        </w:rPr>
        <w:t>ary of Legislation:</w:t>
      </w:r>
      <w:r>
        <w:t xml:space="preserve"> Proposed Intro. No. 836</w:t>
      </w:r>
      <w:r w:rsidR="00C90EC2">
        <w:t xml:space="preserve">-A would </w:t>
      </w:r>
      <w:r w:rsidR="00C90EC2" w:rsidRPr="00C90EC2">
        <w:t>consolidate</w:t>
      </w:r>
      <w:r w:rsidR="002E7A17" w:rsidRPr="002E7A17">
        <w:t xml:space="preserve"> and simplify the processes for reviewing and approving the installation and alteration of alternative automatic fire extinguishing systems, the installation and alteration of fire alarm systems, and the finaliza</w:t>
      </w:r>
      <w:r w:rsidR="004776BE">
        <w:t>tion of fire protection plans by consolidating these pro</w:t>
      </w:r>
      <w:r w:rsidR="007A35E6">
        <w:t>cesses under the Fire Department (FDNY)</w:t>
      </w:r>
      <w:r w:rsidR="00825181">
        <w:t>, eliminating the requirement to file with the Department of Buildings (DOB)</w:t>
      </w:r>
      <w:r w:rsidR="007A35E6">
        <w:t xml:space="preserve">. </w:t>
      </w:r>
      <w:r w:rsidR="007A35E6" w:rsidRPr="007A35E6">
        <w:t xml:space="preserve">The current approval process for alternative automatic fire extinguishing </w:t>
      </w:r>
      <w:proofErr w:type="gramStart"/>
      <w:r w:rsidR="007A35E6" w:rsidRPr="007A35E6">
        <w:t>systems,</w:t>
      </w:r>
      <w:proofErr w:type="gramEnd"/>
      <w:r w:rsidR="007A35E6" w:rsidRPr="007A35E6">
        <w:t xml:space="preserve"> includes multiple steps for small business owners at both </w:t>
      </w:r>
      <w:r w:rsidR="00825181">
        <w:t>DOB</w:t>
      </w:r>
      <w:r w:rsidR="007A35E6" w:rsidRPr="007A35E6">
        <w:t xml:space="preserve"> and </w:t>
      </w:r>
      <w:r w:rsidR="003E4DFD">
        <w:t xml:space="preserve">the </w:t>
      </w:r>
      <w:r w:rsidR="007A35E6" w:rsidRPr="007A35E6">
        <w:t>FDNY.</w:t>
      </w:r>
    </w:p>
    <w:p w14:paraId="742EF53D" w14:textId="77777777" w:rsidR="0003345D" w:rsidRDefault="0003345D" w:rsidP="0003345D">
      <w:pPr>
        <w:pStyle w:val="NoSpacing"/>
      </w:pPr>
    </w:p>
    <w:p w14:paraId="488323DD" w14:textId="77777777" w:rsidR="0003345D" w:rsidRDefault="0003345D" w:rsidP="0003345D">
      <w:pPr>
        <w:pStyle w:val="FlushLeft"/>
      </w:pPr>
      <w:r w:rsidRPr="00012730">
        <w:rPr>
          <w:b/>
          <w:smallCaps/>
        </w:rPr>
        <w:t>Effective Date:</w:t>
      </w:r>
      <w:r>
        <w:t xml:space="preserve"> </w:t>
      </w:r>
      <w:r w:rsidR="00844D28" w:rsidRPr="00844D28">
        <w:t>This local law</w:t>
      </w:r>
      <w:r w:rsidR="00844D28">
        <w:t xml:space="preserve"> would take</w:t>
      </w:r>
      <w:r w:rsidR="00844D28" w:rsidRPr="00844D28">
        <w:t xml:space="preserve"> effect 180 days after it becomes law and </w:t>
      </w:r>
      <w:r w:rsidR="00DA200C">
        <w:t>would apply</w:t>
      </w:r>
      <w:r w:rsidR="00844D28" w:rsidRPr="00844D28">
        <w:t xml:space="preserve"> to applications for approval submitted on or after such effective date, except that prior to such effe</w:t>
      </w:r>
      <w:r w:rsidR="00844D28">
        <w:t>ctive date the Commissioner of Buildings and the Fire C</w:t>
      </w:r>
      <w:r w:rsidR="00844D28" w:rsidRPr="00844D28">
        <w:t>ommissioner may promulgate rules or take other actions to implement this local law.</w:t>
      </w:r>
    </w:p>
    <w:p w14:paraId="6A03B51E" w14:textId="77777777" w:rsidR="0003345D" w:rsidRPr="00012730" w:rsidRDefault="0003345D" w:rsidP="0003345D">
      <w:pPr>
        <w:pStyle w:val="FlushLeft"/>
      </w:pPr>
      <w:r w:rsidRPr="00012730">
        <w:rPr>
          <w:b/>
          <w:smallCaps/>
        </w:rPr>
        <w:t>Fiscal Year In Which Full Fiscal Impact Anticipated:</w:t>
      </w:r>
      <w:r>
        <w:t xml:space="preserve"> Fiscal 2020</w:t>
      </w:r>
    </w:p>
    <w:p w14:paraId="2B4825F4" w14:textId="77777777" w:rsidR="0003345D" w:rsidRDefault="0003345D" w:rsidP="0003345D">
      <w:pPr>
        <w:pBdr>
          <w:top w:val="single" w:sz="4" w:space="1" w:color="auto"/>
        </w:pBdr>
        <w:spacing w:before="240"/>
        <w:rPr>
          <w:b/>
          <w:smallCaps/>
        </w:rPr>
      </w:pPr>
      <w:r w:rsidRPr="00270F8B">
        <w:rPr>
          <w:b/>
          <w:smallCaps/>
        </w:rPr>
        <w:t>Fiscal Impact Statement:</w:t>
      </w:r>
    </w:p>
    <w:p w14:paraId="09E4C441" w14:textId="77777777" w:rsidR="0003345D" w:rsidRPr="00012730" w:rsidRDefault="0003345D" w:rsidP="0003345D">
      <w:pPr>
        <w:pStyle w:val="NoSpacing"/>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03345D" w:rsidRPr="00012730" w14:paraId="433F0718" w14:textId="77777777" w:rsidTr="00751689">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2849B773" w14:textId="77777777" w:rsidR="0003345D" w:rsidRPr="001A6C74" w:rsidRDefault="0003345D" w:rsidP="00751689">
            <w:pPr>
              <w:spacing w:line="201" w:lineRule="exact"/>
              <w:jc w:val="center"/>
              <w:rPr>
                <w:sz w:val="22"/>
                <w:szCs w:val="22"/>
              </w:rPr>
            </w:pPr>
          </w:p>
          <w:p w14:paraId="2F0F7558" w14:textId="77777777" w:rsidR="0003345D" w:rsidRPr="001A6C74" w:rsidRDefault="0003345D" w:rsidP="00751689">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7F157E24" w14:textId="77777777" w:rsidR="0003345D" w:rsidRPr="001A6C74" w:rsidRDefault="0003345D" w:rsidP="00751689">
            <w:pPr>
              <w:jc w:val="center"/>
              <w:rPr>
                <w:b/>
                <w:bCs/>
                <w:sz w:val="22"/>
                <w:szCs w:val="22"/>
              </w:rPr>
            </w:pPr>
            <w:r>
              <w:rPr>
                <w:b/>
                <w:bCs/>
                <w:sz w:val="22"/>
                <w:szCs w:val="22"/>
              </w:rPr>
              <w:t>Effective FY19</w:t>
            </w:r>
          </w:p>
          <w:p w14:paraId="76952EB9" w14:textId="77777777" w:rsidR="0003345D" w:rsidRPr="001A6C74" w:rsidRDefault="0003345D" w:rsidP="00751689">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542E74F4" w14:textId="77777777" w:rsidR="0003345D" w:rsidRPr="001A6C74" w:rsidRDefault="0003345D" w:rsidP="00751689">
            <w:pPr>
              <w:jc w:val="center"/>
              <w:rPr>
                <w:b/>
                <w:bCs/>
                <w:sz w:val="22"/>
                <w:szCs w:val="22"/>
              </w:rPr>
            </w:pPr>
            <w:r>
              <w:rPr>
                <w:b/>
                <w:bCs/>
                <w:sz w:val="22"/>
                <w:szCs w:val="22"/>
              </w:rPr>
              <w:t>FY Succeeding Effective FY20</w:t>
            </w:r>
          </w:p>
        </w:tc>
        <w:tc>
          <w:tcPr>
            <w:tcW w:w="1754" w:type="dxa"/>
            <w:tcBorders>
              <w:top w:val="double" w:sz="7" w:space="0" w:color="000000"/>
              <w:left w:val="single" w:sz="7" w:space="0" w:color="000000"/>
              <w:bottom w:val="single" w:sz="6" w:space="0" w:color="FFFFFF"/>
              <w:right w:val="double" w:sz="7" w:space="0" w:color="000000"/>
            </w:tcBorders>
            <w:vAlign w:val="center"/>
          </w:tcPr>
          <w:p w14:paraId="15499753" w14:textId="77777777" w:rsidR="0003345D" w:rsidRPr="001A6C74" w:rsidRDefault="0003345D" w:rsidP="00751689">
            <w:pPr>
              <w:jc w:val="center"/>
              <w:rPr>
                <w:b/>
                <w:bCs/>
                <w:sz w:val="22"/>
                <w:szCs w:val="22"/>
              </w:rPr>
            </w:pPr>
            <w:r w:rsidRPr="001A6C74">
              <w:rPr>
                <w:b/>
                <w:bCs/>
                <w:sz w:val="22"/>
                <w:szCs w:val="22"/>
              </w:rPr>
              <w:t xml:space="preserve">Full Fiscal </w:t>
            </w:r>
            <w:r>
              <w:rPr>
                <w:b/>
                <w:bCs/>
                <w:sz w:val="22"/>
                <w:szCs w:val="22"/>
              </w:rPr>
              <w:t>Impact FY20</w:t>
            </w:r>
          </w:p>
        </w:tc>
      </w:tr>
      <w:tr w:rsidR="00DA200C" w:rsidRPr="00012730" w14:paraId="4940545B" w14:textId="77777777" w:rsidTr="00751689">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6400098B" w14:textId="77777777" w:rsidR="00DA200C" w:rsidRPr="001A6C74" w:rsidRDefault="00DA200C" w:rsidP="00DA200C">
            <w:pPr>
              <w:jc w:val="center"/>
              <w:rPr>
                <w:b/>
                <w:bCs/>
                <w:sz w:val="22"/>
                <w:szCs w:val="22"/>
              </w:rPr>
            </w:pPr>
            <w:r w:rsidRPr="001A6C74">
              <w:rPr>
                <w:b/>
                <w:bCs/>
                <w:sz w:val="22"/>
                <w:szCs w:val="22"/>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707B13ED" w14:textId="77777777" w:rsidR="00DA200C" w:rsidRPr="001A6C74" w:rsidRDefault="00DA200C" w:rsidP="00617810">
            <w:pPr>
              <w:jc w:val="center"/>
              <w:rPr>
                <w:bCs/>
                <w:sz w:val="22"/>
                <w:szCs w:val="22"/>
              </w:rPr>
            </w:pPr>
            <w:r>
              <w:rPr>
                <w:bCs/>
                <w:sz w:val="22"/>
                <w:szCs w:val="22"/>
              </w:rPr>
              <w:t>($1,</w:t>
            </w:r>
            <w:r w:rsidR="00617810">
              <w:rPr>
                <w:bCs/>
                <w:sz w:val="22"/>
                <w:szCs w:val="22"/>
              </w:rPr>
              <w:t>376,050</w:t>
            </w:r>
            <w:r>
              <w:rPr>
                <w:bCs/>
                <w:sz w:val="22"/>
                <w:szCs w:val="22"/>
              </w:rPr>
              <w:t>)</w:t>
            </w:r>
          </w:p>
        </w:tc>
        <w:tc>
          <w:tcPr>
            <w:tcW w:w="1754" w:type="dxa"/>
            <w:tcBorders>
              <w:top w:val="single" w:sz="7" w:space="0" w:color="000000"/>
              <w:left w:val="single" w:sz="7" w:space="0" w:color="000000"/>
              <w:bottom w:val="single" w:sz="6" w:space="0" w:color="FFFFFF"/>
              <w:right w:val="single" w:sz="6" w:space="0" w:color="FFFFFF"/>
            </w:tcBorders>
            <w:vAlign w:val="center"/>
          </w:tcPr>
          <w:p w14:paraId="3CB863A8" w14:textId="77777777" w:rsidR="00DA200C" w:rsidRPr="001A6C74" w:rsidRDefault="00DA200C" w:rsidP="00DA200C">
            <w:pPr>
              <w:rPr>
                <w:bCs/>
                <w:sz w:val="22"/>
                <w:szCs w:val="22"/>
              </w:rPr>
            </w:pPr>
            <w:r>
              <w:rPr>
                <w:bCs/>
                <w:sz w:val="22"/>
                <w:szCs w:val="22"/>
              </w:rPr>
              <w:t xml:space="preserve">    ($5,504,203)</w:t>
            </w:r>
          </w:p>
        </w:tc>
        <w:tc>
          <w:tcPr>
            <w:tcW w:w="1754" w:type="dxa"/>
            <w:tcBorders>
              <w:top w:val="single" w:sz="7" w:space="0" w:color="000000"/>
              <w:left w:val="single" w:sz="7" w:space="0" w:color="000000"/>
              <w:bottom w:val="single" w:sz="6" w:space="0" w:color="FFFFFF"/>
              <w:right w:val="double" w:sz="7" w:space="0" w:color="000000"/>
            </w:tcBorders>
            <w:vAlign w:val="center"/>
          </w:tcPr>
          <w:p w14:paraId="08D407EA" w14:textId="77777777" w:rsidR="00DA200C" w:rsidRPr="001A6C74" w:rsidRDefault="00DA200C" w:rsidP="00DA200C">
            <w:pPr>
              <w:rPr>
                <w:bCs/>
                <w:sz w:val="22"/>
                <w:szCs w:val="22"/>
              </w:rPr>
            </w:pPr>
            <w:r>
              <w:rPr>
                <w:bCs/>
                <w:sz w:val="22"/>
                <w:szCs w:val="22"/>
              </w:rPr>
              <w:t xml:space="preserve">    ($5,504,203)</w:t>
            </w:r>
          </w:p>
        </w:tc>
      </w:tr>
      <w:tr w:rsidR="00DA200C" w:rsidRPr="00B56409" w14:paraId="4C8397B8" w14:textId="77777777" w:rsidTr="00751689">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43F0F150" w14:textId="77777777" w:rsidR="00DA200C" w:rsidRPr="001A6C74" w:rsidRDefault="00DA200C" w:rsidP="00DA200C">
            <w:pPr>
              <w:jc w:val="center"/>
              <w:rPr>
                <w:b/>
                <w:bCs/>
                <w:sz w:val="22"/>
                <w:szCs w:val="22"/>
              </w:rPr>
            </w:pPr>
            <w:r w:rsidRPr="001A6C74">
              <w:rPr>
                <w:b/>
                <w:bCs/>
                <w:sz w:val="22"/>
                <w:szCs w:val="22"/>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0D666421" w14:textId="77777777" w:rsidR="00DA200C" w:rsidRPr="00B56409" w:rsidRDefault="00DA200C" w:rsidP="00DA200C">
            <w:pPr>
              <w:jc w:val="center"/>
              <w:rPr>
                <w:bCs/>
                <w:sz w:val="22"/>
                <w:szCs w:val="22"/>
              </w:rPr>
            </w:pPr>
            <w:r w:rsidRPr="00B56409">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2C1C0634" w14:textId="77777777" w:rsidR="00DA200C" w:rsidRPr="00B56409" w:rsidRDefault="00DA200C" w:rsidP="00DA200C">
            <w:pPr>
              <w:jc w:val="center"/>
              <w:rPr>
                <w:bCs/>
                <w:sz w:val="22"/>
                <w:szCs w:val="22"/>
              </w:rPr>
            </w:pPr>
            <w:r w:rsidRPr="00B56409">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4A26C5EB" w14:textId="77777777" w:rsidR="00DA200C" w:rsidRPr="00B56409" w:rsidRDefault="00DA200C" w:rsidP="00DA200C">
            <w:pPr>
              <w:jc w:val="center"/>
              <w:rPr>
                <w:bCs/>
                <w:sz w:val="22"/>
                <w:szCs w:val="22"/>
              </w:rPr>
            </w:pPr>
            <w:r w:rsidRPr="00B56409">
              <w:rPr>
                <w:bCs/>
                <w:sz w:val="22"/>
                <w:szCs w:val="22"/>
              </w:rPr>
              <w:t>$0</w:t>
            </w:r>
          </w:p>
        </w:tc>
      </w:tr>
      <w:tr w:rsidR="00DA200C" w:rsidRPr="00012730" w14:paraId="2B669BFD" w14:textId="77777777" w:rsidTr="00751689">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6F605564" w14:textId="77777777" w:rsidR="00DA200C" w:rsidRPr="001A6C74" w:rsidRDefault="00DA200C" w:rsidP="00DA200C">
            <w:pPr>
              <w:spacing w:after="58"/>
              <w:jc w:val="center"/>
              <w:rPr>
                <w:b/>
                <w:bCs/>
                <w:sz w:val="22"/>
                <w:szCs w:val="22"/>
              </w:rPr>
            </w:pPr>
            <w:r w:rsidRPr="001A6C74">
              <w:rPr>
                <w:b/>
                <w:bCs/>
                <w:sz w:val="22"/>
                <w:szCs w:val="22"/>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5DB8DE94" w14:textId="77777777" w:rsidR="00DA200C" w:rsidRPr="001A6C74" w:rsidRDefault="00617810" w:rsidP="00DA200C">
            <w:pPr>
              <w:jc w:val="center"/>
              <w:rPr>
                <w:bCs/>
                <w:sz w:val="22"/>
                <w:szCs w:val="22"/>
              </w:rPr>
            </w:pPr>
            <w:r>
              <w:rPr>
                <w:bCs/>
                <w:sz w:val="22"/>
                <w:szCs w:val="22"/>
              </w:rPr>
              <w:t>($1,376,050)</w:t>
            </w:r>
          </w:p>
        </w:tc>
        <w:tc>
          <w:tcPr>
            <w:tcW w:w="1754" w:type="dxa"/>
            <w:tcBorders>
              <w:top w:val="single" w:sz="7" w:space="0" w:color="000000"/>
              <w:left w:val="single" w:sz="7" w:space="0" w:color="000000"/>
              <w:bottom w:val="single" w:sz="7" w:space="0" w:color="000000"/>
              <w:right w:val="single" w:sz="6" w:space="0" w:color="FFFFFF"/>
            </w:tcBorders>
            <w:vAlign w:val="center"/>
          </w:tcPr>
          <w:p w14:paraId="183FBA58" w14:textId="77777777" w:rsidR="00DA200C" w:rsidRPr="001A6C74" w:rsidRDefault="00DA200C" w:rsidP="00DA200C">
            <w:pPr>
              <w:rPr>
                <w:bCs/>
                <w:sz w:val="22"/>
                <w:szCs w:val="22"/>
              </w:rPr>
            </w:pPr>
            <w:r>
              <w:rPr>
                <w:bCs/>
                <w:sz w:val="22"/>
                <w:szCs w:val="22"/>
              </w:rPr>
              <w:t xml:space="preserve">    ($5,504,203)</w:t>
            </w:r>
          </w:p>
        </w:tc>
        <w:tc>
          <w:tcPr>
            <w:tcW w:w="1754" w:type="dxa"/>
            <w:tcBorders>
              <w:top w:val="single" w:sz="7" w:space="0" w:color="000000"/>
              <w:left w:val="single" w:sz="7" w:space="0" w:color="000000"/>
              <w:bottom w:val="single" w:sz="7" w:space="0" w:color="000000"/>
              <w:right w:val="double" w:sz="7" w:space="0" w:color="000000"/>
            </w:tcBorders>
            <w:vAlign w:val="center"/>
          </w:tcPr>
          <w:p w14:paraId="5FDC8EFE" w14:textId="77777777" w:rsidR="00DA200C" w:rsidRPr="001A6C74" w:rsidRDefault="00DA200C" w:rsidP="00DA200C">
            <w:pPr>
              <w:rPr>
                <w:bCs/>
                <w:sz w:val="22"/>
                <w:szCs w:val="22"/>
              </w:rPr>
            </w:pPr>
            <w:r>
              <w:rPr>
                <w:bCs/>
                <w:sz w:val="22"/>
                <w:szCs w:val="22"/>
              </w:rPr>
              <w:t xml:space="preserve">    ($5,504,203)</w:t>
            </w:r>
          </w:p>
        </w:tc>
      </w:tr>
    </w:tbl>
    <w:p w14:paraId="1A7AFA1A" w14:textId="77777777" w:rsidR="0003345D" w:rsidRPr="00012730" w:rsidRDefault="0003345D" w:rsidP="0003345D">
      <w:pPr>
        <w:pStyle w:val="NoSpacing"/>
      </w:pPr>
    </w:p>
    <w:p w14:paraId="7AD96BF7" w14:textId="77777777" w:rsidR="00776DE2" w:rsidRDefault="0003345D" w:rsidP="00776DE2">
      <w:r w:rsidRPr="00012730">
        <w:rPr>
          <w:b/>
          <w:smallCaps/>
        </w:rPr>
        <w:t xml:space="preserve">Impact </w:t>
      </w:r>
      <w:r w:rsidRPr="00270F8B">
        <w:rPr>
          <w:b/>
          <w:smallCaps/>
        </w:rPr>
        <w:t xml:space="preserve">on Revenues: </w:t>
      </w:r>
      <w:r w:rsidR="00FB2398" w:rsidRPr="00270F8B">
        <w:t>Based</w:t>
      </w:r>
      <w:r w:rsidR="00FB2398">
        <w:t xml:space="preserve"> on the current volume of applications </w:t>
      </w:r>
      <w:r w:rsidR="00E368BA" w:rsidRPr="00E368BA">
        <w:t xml:space="preserve">for </w:t>
      </w:r>
      <w:r w:rsidR="00904890">
        <w:t xml:space="preserve">approval of </w:t>
      </w:r>
      <w:r w:rsidR="00E368BA" w:rsidRPr="00E368BA">
        <w:t>alternative automatic fire extinguishing systems, fire alarm systems, and fire protection plans</w:t>
      </w:r>
      <w:r w:rsidR="00E368BA">
        <w:t xml:space="preserve">, it </w:t>
      </w:r>
      <w:proofErr w:type="gramStart"/>
      <w:r w:rsidR="00E368BA">
        <w:t>is estimated</w:t>
      </w:r>
      <w:proofErr w:type="gramEnd"/>
      <w:r w:rsidR="00E368BA">
        <w:t xml:space="preserve"> that the elimination of DOB filing fees </w:t>
      </w:r>
      <w:r w:rsidR="002C2449">
        <w:t>for</w:t>
      </w:r>
      <w:r w:rsidR="000E3289">
        <w:t xml:space="preserve"> each of</w:t>
      </w:r>
      <w:r w:rsidR="003E2FF7">
        <w:t xml:space="preserve"> these </w:t>
      </w:r>
      <w:r w:rsidR="002C2449">
        <w:t xml:space="preserve">applications </w:t>
      </w:r>
      <w:r w:rsidR="00E368BA">
        <w:t xml:space="preserve">would reduce revenue </w:t>
      </w:r>
      <w:r w:rsidR="00E141D5">
        <w:t>by $</w:t>
      </w:r>
      <w:r w:rsidR="00F4004E">
        <w:t xml:space="preserve">7,319,203 annually. </w:t>
      </w:r>
      <w:r w:rsidR="00BA7620">
        <w:t xml:space="preserve">The FDNY currently processes about 9,800 applications for approval for covered buildings annually and </w:t>
      </w:r>
      <w:r w:rsidR="00A425F8">
        <w:t xml:space="preserve">estimates a 15 percent increase in </w:t>
      </w:r>
      <w:r w:rsidR="00527CB8">
        <w:t xml:space="preserve">the number of applications it will process. </w:t>
      </w:r>
      <w:r w:rsidR="00DD509C">
        <w:t>I</w:t>
      </w:r>
      <w:r w:rsidR="00616BC7">
        <w:t xml:space="preserve">t </w:t>
      </w:r>
      <w:proofErr w:type="gramStart"/>
      <w:r w:rsidR="00616BC7">
        <w:t>is estimated</w:t>
      </w:r>
      <w:proofErr w:type="gramEnd"/>
      <w:r w:rsidR="00616BC7">
        <w:t xml:space="preserve"> that the addition of fees for </w:t>
      </w:r>
      <w:r w:rsidR="00616BC7" w:rsidRPr="00616BC7">
        <w:t xml:space="preserve">the filing, review, and approval process for alternative automatic fire extinguishing systems, fire alarm systems, and fire protection plans under </w:t>
      </w:r>
      <w:r w:rsidR="000B1BB5">
        <w:t xml:space="preserve">the FDNY would </w:t>
      </w:r>
      <w:r w:rsidR="00FA70C2">
        <w:t xml:space="preserve">increase revenue by $1,815,000 annually. </w:t>
      </w:r>
      <w:r w:rsidR="00ED781B">
        <w:t xml:space="preserve">Collectively, </w:t>
      </w:r>
      <w:r w:rsidR="00586A05">
        <w:t xml:space="preserve">the </w:t>
      </w:r>
      <w:r w:rsidR="00923DC3">
        <w:t xml:space="preserve">net </w:t>
      </w:r>
      <w:r w:rsidR="00586A05">
        <w:t xml:space="preserve">fiscal impact resulting from the elimination of DOB filing fees and the addition of FDNY filing fees </w:t>
      </w:r>
      <w:proofErr w:type="gramStart"/>
      <w:r w:rsidR="00586A05">
        <w:t>is expected</w:t>
      </w:r>
      <w:proofErr w:type="gramEnd"/>
      <w:r w:rsidR="00586A05">
        <w:t xml:space="preserve"> to reduce revenue by</w:t>
      </w:r>
      <w:r w:rsidR="002424F5">
        <w:t xml:space="preserve"> $1,376,050, prorated for the last </w:t>
      </w:r>
      <w:r w:rsidR="00387671">
        <w:t>quarter of</w:t>
      </w:r>
      <w:r w:rsidR="002424F5">
        <w:t xml:space="preserve"> Fiscal 2019, and</w:t>
      </w:r>
      <w:r w:rsidR="00586A05">
        <w:t xml:space="preserve"> $5,504,203 </w:t>
      </w:r>
      <w:r w:rsidR="002424F5">
        <w:t xml:space="preserve">annually thereafter and in the </w:t>
      </w:r>
      <w:proofErr w:type="spellStart"/>
      <w:r w:rsidR="002424F5">
        <w:t>outyears</w:t>
      </w:r>
      <w:proofErr w:type="spellEnd"/>
      <w:r w:rsidR="002424F5">
        <w:t xml:space="preserve">. </w:t>
      </w:r>
    </w:p>
    <w:p w14:paraId="020FEF9A" w14:textId="77777777" w:rsidR="00776DE2" w:rsidRDefault="00776DE2" w:rsidP="00776DE2"/>
    <w:p w14:paraId="386786A4" w14:textId="77777777" w:rsidR="0003345D" w:rsidRPr="0092188E" w:rsidRDefault="0003345D" w:rsidP="0092188E">
      <w:r w:rsidRPr="005D3344">
        <w:rPr>
          <w:b/>
          <w:smallCaps/>
        </w:rPr>
        <w:t xml:space="preserve">Impact on </w:t>
      </w:r>
      <w:r w:rsidRPr="00DA200C">
        <w:rPr>
          <w:b/>
          <w:smallCaps/>
        </w:rPr>
        <w:t>Expenditures:</w:t>
      </w:r>
      <w:r>
        <w:t xml:space="preserve"> </w:t>
      </w:r>
      <w:r w:rsidRPr="00E24D59">
        <w:t xml:space="preserve">It is anticipated that there would be no impact on expenditures resulting from the enactment of this legislation because </w:t>
      </w:r>
      <w:proofErr w:type="gramStart"/>
      <w:r w:rsidRPr="00E24D59">
        <w:t xml:space="preserve">existing resources would be used by </w:t>
      </w:r>
      <w:r w:rsidR="00990A75">
        <w:t xml:space="preserve">DOB and FDNY </w:t>
      </w:r>
      <w:r w:rsidRPr="00E24D59">
        <w:t>to implement the provisions of this local law</w:t>
      </w:r>
      <w:proofErr w:type="gramEnd"/>
      <w:r w:rsidRPr="00E24D59">
        <w:t>.</w:t>
      </w:r>
      <w:r w:rsidR="0092188E">
        <w:t xml:space="preserve"> </w:t>
      </w:r>
    </w:p>
    <w:p w14:paraId="76A5150C" w14:textId="77777777" w:rsidR="0003345D" w:rsidRDefault="0003345D" w:rsidP="0003345D">
      <w:pPr>
        <w:spacing w:before="240"/>
      </w:pPr>
      <w:r w:rsidRPr="00012730">
        <w:rPr>
          <w:b/>
          <w:smallCaps/>
        </w:rPr>
        <w:lastRenderedPageBreak/>
        <w:t>Source of Funds To Cover Estimated Costs:</w:t>
      </w:r>
      <w:r>
        <w:t xml:space="preserve"> </w:t>
      </w:r>
      <w:r w:rsidR="002F13BA">
        <w:t>General Fund</w:t>
      </w:r>
      <w:r>
        <w:t xml:space="preserve"> </w:t>
      </w:r>
    </w:p>
    <w:p w14:paraId="36256B8A" w14:textId="77777777" w:rsidR="0003345D" w:rsidRDefault="0003345D" w:rsidP="0003345D">
      <w:pPr>
        <w:pStyle w:val="NoSpacing"/>
        <w:rPr>
          <w:b/>
          <w:smallCaps/>
        </w:rPr>
      </w:pPr>
    </w:p>
    <w:p w14:paraId="549B627A" w14:textId="77777777" w:rsidR="00F7343F" w:rsidRDefault="0003345D" w:rsidP="0003345D">
      <w:pPr>
        <w:pStyle w:val="NoSpacing"/>
      </w:pPr>
      <w:r w:rsidRPr="00ED532F">
        <w:rPr>
          <w:b/>
          <w:smallCaps/>
        </w:rPr>
        <w:t>Source of Information:</w:t>
      </w:r>
      <w:r w:rsidRPr="00ED532F">
        <w:t xml:space="preserve">  New</w:t>
      </w:r>
      <w:r w:rsidRPr="006941EE">
        <w:t xml:space="preserve"> York City Council Finance Division</w:t>
      </w:r>
    </w:p>
    <w:p w14:paraId="681DB7E3" w14:textId="77777777" w:rsidR="0003345D" w:rsidRDefault="00F7343F" w:rsidP="0003345D">
      <w:pPr>
        <w:pStyle w:val="NoSpacing"/>
      </w:pPr>
      <w:r>
        <w:tab/>
      </w:r>
      <w:r>
        <w:tab/>
      </w:r>
      <w:r>
        <w:tab/>
      </w:r>
      <w:r w:rsidR="00A872A8">
        <w:t xml:space="preserve">           </w:t>
      </w:r>
      <w:r>
        <w:t xml:space="preserve">New York City Fire Department </w:t>
      </w:r>
    </w:p>
    <w:p w14:paraId="572469F0" w14:textId="77777777" w:rsidR="00A872A8" w:rsidRDefault="00A872A8" w:rsidP="00A872A8">
      <w:pPr>
        <w:pStyle w:val="NoSpacing"/>
      </w:pPr>
      <w:r>
        <w:t xml:space="preserve">                                               New York City Department of Buildings </w:t>
      </w:r>
    </w:p>
    <w:p w14:paraId="2B00FA4D" w14:textId="77777777" w:rsidR="00A872A8" w:rsidRDefault="00A872A8" w:rsidP="00A872A8">
      <w:pPr>
        <w:pStyle w:val="NoSpacing"/>
        <w:ind w:left="2160"/>
      </w:pPr>
      <w:r>
        <w:t xml:space="preserve">           New York City Office of Management and Budget </w:t>
      </w:r>
    </w:p>
    <w:p w14:paraId="5F8F14D7" w14:textId="77777777" w:rsidR="00A872A8" w:rsidRDefault="00A872A8" w:rsidP="00A872A8">
      <w:pPr>
        <w:pStyle w:val="NoSpacing"/>
        <w:ind w:left="2160"/>
      </w:pPr>
      <w:r>
        <w:t xml:space="preserve">           New York City Department of Small Business Services </w:t>
      </w:r>
    </w:p>
    <w:p w14:paraId="0F1F7724" w14:textId="77777777" w:rsidR="00A872A8" w:rsidRDefault="00A872A8" w:rsidP="00A872A8">
      <w:pPr>
        <w:pStyle w:val="NoSpacing"/>
        <w:ind w:left="2160"/>
      </w:pPr>
      <w:r>
        <w:t xml:space="preserve">           </w:t>
      </w:r>
      <w:r w:rsidRPr="00FF28C6">
        <w:t>Mayor’s Office of Legislative Affairs</w:t>
      </w:r>
      <w:r w:rsidRPr="00BD56AF">
        <w:tab/>
      </w:r>
    </w:p>
    <w:p w14:paraId="452A5D4B" w14:textId="77777777" w:rsidR="0003345D" w:rsidRDefault="00A872A8" w:rsidP="0003345D">
      <w:pPr>
        <w:pStyle w:val="NoSpacing"/>
        <w:rPr>
          <w:b/>
          <w:color w:val="FF0000"/>
        </w:rPr>
      </w:pPr>
      <w:r>
        <w:tab/>
      </w:r>
      <w:r>
        <w:tab/>
      </w:r>
      <w:r>
        <w:tab/>
      </w:r>
      <w:r>
        <w:tab/>
      </w:r>
      <w:r w:rsidR="0003345D">
        <w:t xml:space="preserve"> </w:t>
      </w:r>
      <w:r w:rsidR="0003345D">
        <w:tab/>
      </w:r>
      <w:r w:rsidR="0003345D">
        <w:tab/>
      </w:r>
      <w:r w:rsidR="0003345D">
        <w:tab/>
      </w:r>
      <w:r w:rsidR="0003345D" w:rsidRPr="000B41A6">
        <w:rPr>
          <w:b/>
          <w:color w:val="FF0000"/>
        </w:rPr>
        <w:t xml:space="preserve">         </w:t>
      </w:r>
    </w:p>
    <w:p w14:paraId="0549EF73" w14:textId="77777777" w:rsidR="0003345D" w:rsidRPr="00012730" w:rsidRDefault="0003345D" w:rsidP="0003345D">
      <w:pPr>
        <w:pStyle w:val="NoSpacing"/>
      </w:pPr>
      <w:r w:rsidRPr="00012730">
        <w:rPr>
          <w:b/>
          <w:smallCaps/>
        </w:rPr>
        <w:t xml:space="preserve">Estimate Prepared </w:t>
      </w:r>
      <w:r>
        <w:rPr>
          <w:b/>
          <w:smallCaps/>
        </w:rPr>
        <w:t>b</w:t>
      </w:r>
      <w:r w:rsidRPr="00012730">
        <w:rPr>
          <w:b/>
          <w:smallCaps/>
        </w:rPr>
        <w:t>y:</w:t>
      </w:r>
      <w:r w:rsidRPr="00012730">
        <w:rPr>
          <w:b/>
          <w:smallCaps/>
        </w:rPr>
        <w:tab/>
      </w:r>
      <w:r>
        <w:t xml:space="preserve">Sarah Gastelum, Principal Financial Analyst </w:t>
      </w:r>
    </w:p>
    <w:p w14:paraId="0073C328" w14:textId="77777777" w:rsidR="0003345D" w:rsidRPr="00012730" w:rsidRDefault="0003345D" w:rsidP="0003345D">
      <w:r w:rsidRPr="00012730">
        <w:rPr>
          <w:b/>
          <w:smallCaps/>
        </w:rPr>
        <w:tab/>
      </w:r>
      <w:r w:rsidRPr="00012730">
        <w:rPr>
          <w:b/>
          <w:smallCaps/>
        </w:rPr>
        <w:tab/>
      </w:r>
      <w:r w:rsidRPr="00012730">
        <w:rPr>
          <w:b/>
          <w:smallCaps/>
        </w:rPr>
        <w:tab/>
      </w:r>
      <w:r w:rsidRPr="00012730">
        <w:rPr>
          <w:b/>
          <w:smallCaps/>
        </w:rPr>
        <w:tab/>
      </w:r>
      <w:r w:rsidRPr="00012730">
        <w:rPr>
          <w:b/>
          <w:smallCaps/>
        </w:rPr>
        <w:tab/>
      </w:r>
    </w:p>
    <w:p w14:paraId="741287BB" w14:textId="77777777" w:rsidR="0003345D" w:rsidRDefault="0003345D" w:rsidP="0003345D">
      <w:r w:rsidRPr="00012730">
        <w:rPr>
          <w:b/>
          <w:smallCaps/>
        </w:rPr>
        <w:t xml:space="preserve">Estimated Reviewed </w:t>
      </w:r>
      <w:r>
        <w:rPr>
          <w:b/>
          <w:smallCaps/>
        </w:rPr>
        <w:t>b</w:t>
      </w:r>
      <w:r w:rsidRPr="00012730">
        <w:rPr>
          <w:b/>
          <w:smallCaps/>
        </w:rPr>
        <w:t>y:</w:t>
      </w:r>
      <w:r w:rsidRPr="00012730">
        <w:rPr>
          <w:b/>
          <w:smallCaps/>
        </w:rPr>
        <w:tab/>
      </w:r>
      <w:r>
        <w:t>Rebecca Chasan</w:t>
      </w:r>
      <w:r w:rsidRPr="00CB7375">
        <w:t xml:space="preserve">, </w:t>
      </w:r>
      <w:r w:rsidR="00651F4C">
        <w:t xml:space="preserve">Senior </w:t>
      </w:r>
      <w:r w:rsidRPr="00CB7375">
        <w:t>Counsel</w:t>
      </w:r>
    </w:p>
    <w:p w14:paraId="05EE059A" w14:textId="77777777" w:rsidR="0003345D" w:rsidRDefault="0003345D" w:rsidP="0003345D">
      <w:pPr>
        <w:rPr>
          <w:b/>
          <w:smallCaps/>
        </w:rPr>
      </w:pPr>
      <w:r>
        <w:tab/>
      </w:r>
      <w:r>
        <w:tab/>
      </w:r>
      <w:r>
        <w:tab/>
      </w:r>
      <w:r>
        <w:tab/>
      </w:r>
    </w:p>
    <w:p w14:paraId="17599CEB" w14:textId="77777777" w:rsidR="0003345D" w:rsidRPr="00CB22AD" w:rsidRDefault="0003345D" w:rsidP="0003345D">
      <w:r w:rsidRPr="00012730">
        <w:rPr>
          <w:b/>
          <w:smallCaps/>
        </w:rPr>
        <w:t>Legislative History:</w:t>
      </w:r>
      <w:r>
        <w:t xml:space="preserve"> </w:t>
      </w:r>
      <w:r w:rsidRPr="007A7D71">
        <w:t xml:space="preserve">This legislation </w:t>
      </w:r>
      <w:proofErr w:type="gramStart"/>
      <w:r w:rsidRPr="007A7D71">
        <w:t>was introduced</w:t>
      </w:r>
      <w:proofErr w:type="gramEnd"/>
      <w:r w:rsidRPr="007A7D71">
        <w:t xml:space="preserve"> to the full Council on </w:t>
      </w:r>
      <w:r>
        <w:t xml:space="preserve">April 25, 2018 as Intro. No. 836 </w:t>
      </w:r>
      <w:r w:rsidRPr="007A7D71">
        <w:t xml:space="preserve">and was referred to the Committee on Housing and Buildings (Committee). </w:t>
      </w:r>
      <w:proofErr w:type="gramStart"/>
      <w:r w:rsidRPr="00CB22AD">
        <w:t>A heari</w:t>
      </w:r>
      <w:r>
        <w:t>ng was held by the Committee</w:t>
      </w:r>
      <w:proofErr w:type="gramEnd"/>
      <w:r>
        <w:t xml:space="preserve"> on June 12, 2018</w:t>
      </w:r>
      <w:r w:rsidRPr="00CB22AD">
        <w:t xml:space="preserve">, and the bill was laid over. </w:t>
      </w:r>
      <w:r w:rsidRPr="001E5F7B">
        <w:t>The legislation was subsequently amended</w:t>
      </w:r>
      <w:r>
        <w:t xml:space="preserve"> </w:t>
      </w:r>
      <w:r w:rsidRPr="001E5F7B">
        <w:t xml:space="preserve">and the amended version, Proposed Intro. </w:t>
      </w:r>
      <w:proofErr w:type="gramStart"/>
      <w:r w:rsidRPr="001E5F7B">
        <w:t>No.</w:t>
      </w:r>
      <w:r>
        <w:t xml:space="preserve"> 836-A</w:t>
      </w:r>
      <w:r w:rsidRPr="00CB22AD">
        <w:t>, will be considered by the Committee</w:t>
      </w:r>
      <w:proofErr w:type="gramEnd"/>
      <w:r w:rsidRPr="00CB22AD">
        <w:t xml:space="preserve"> </w:t>
      </w:r>
      <w:r w:rsidRPr="00E272CB">
        <w:t xml:space="preserve">on </w:t>
      </w:r>
      <w:r w:rsidR="00256E30">
        <w:t>October 31</w:t>
      </w:r>
      <w:r>
        <w:t>, 2018</w:t>
      </w:r>
      <w:r w:rsidRPr="00E272CB">
        <w:t>. Following</w:t>
      </w:r>
      <w:r w:rsidRPr="004C56C3">
        <w:t xml:space="preserve"> a successful Committee vote, the bill </w:t>
      </w:r>
      <w:proofErr w:type="gramStart"/>
      <w:r w:rsidRPr="004C56C3">
        <w:t>will be submitted</w:t>
      </w:r>
      <w:proofErr w:type="gramEnd"/>
      <w:r w:rsidRPr="004C56C3">
        <w:t xml:space="preserve"> to the full Council for a vote on </w:t>
      </w:r>
      <w:r>
        <w:t>October 31, 2018</w:t>
      </w:r>
      <w:r w:rsidRPr="00E272CB">
        <w:t>.</w:t>
      </w:r>
    </w:p>
    <w:p w14:paraId="63E5B125" w14:textId="77777777" w:rsidR="0003345D" w:rsidRDefault="0003345D" w:rsidP="0003345D">
      <w:pPr>
        <w:rPr>
          <w:b/>
          <w:smallCaps/>
        </w:rPr>
      </w:pPr>
    </w:p>
    <w:p w14:paraId="7DC9C71B" w14:textId="77777777" w:rsidR="0003345D" w:rsidRDefault="0003345D" w:rsidP="0003345D">
      <w:r w:rsidRPr="000D7CB8">
        <w:rPr>
          <w:b/>
          <w:smallCaps/>
        </w:rPr>
        <w:t>Date Prepared:</w:t>
      </w:r>
      <w:r w:rsidR="00FB2398">
        <w:t xml:space="preserve"> October 25</w:t>
      </w:r>
      <w:r>
        <w:t xml:space="preserve">, 2018 </w:t>
      </w:r>
    </w:p>
    <w:p w14:paraId="40E861E0" w14:textId="77777777" w:rsidR="0003345D" w:rsidRDefault="0003345D" w:rsidP="0003345D"/>
    <w:p w14:paraId="2DFFAD03" w14:textId="77777777" w:rsidR="0003345D" w:rsidRDefault="0003345D" w:rsidP="0003345D"/>
    <w:p w14:paraId="449D0F60" w14:textId="77777777" w:rsidR="0003345D" w:rsidRDefault="0003345D" w:rsidP="0003345D"/>
    <w:p w14:paraId="5863B40F" w14:textId="77777777" w:rsidR="0003345D" w:rsidRDefault="0003345D" w:rsidP="0003345D"/>
    <w:p w14:paraId="03FF89A8" w14:textId="77777777" w:rsidR="0003345D" w:rsidRDefault="0003345D" w:rsidP="0003345D"/>
    <w:p w14:paraId="7D509C36" w14:textId="77777777" w:rsidR="0003345D" w:rsidRDefault="0003345D" w:rsidP="0003345D"/>
    <w:p w14:paraId="1885CDF0" w14:textId="77777777" w:rsidR="0003345D" w:rsidRDefault="0003345D" w:rsidP="0003345D"/>
    <w:p w14:paraId="603A2FA6" w14:textId="77777777" w:rsidR="0003345D" w:rsidRDefault="0003345D" w:rsidP="0003345D"/>
    <w:p w14:paraId="3342EDBD" w14:textId="77777777" w:rsidR="0003345D" w:rsidRDefault="0003345D" w:rsidP="0003345D"/>
    <w:p w14:paraId="29A73DDC" w14:textId="77777777" w:rsidR="0003345D" w:rsidRDefault="0003345D" w:rsidP="0003345D"/>
    <w:p w14:paraId="0FFCDE5E" w14:textId="77777777" w:rsidR="0003345D" w:rsidRDefault="0003345D" w:rsidP="0003345D"/>
    <w:p w14:paraId="72EB6D86" w14:textId="77777777" w:rsidR="0003345D" w:rsidRDefault="0003345D" w:rsidP="0003345D"/>
    <w:p w14:paraId="4CD5A26B" w14:textId="77777777" w:rsidR="0003345D" w:rsidRDefault="0003345D" w:rsidP="0003345D"/>
    <w:p w14:paraId="3AC4BCB6" w14:textId="77777777" w:rsidR="0003345D" w:rsidRDefault="0003345D" w:rsidP="0003345D"/>
    <w:p w14:paraId="288863CA" w14:textId="77777777" w:rsidR="0003345D" w:rsidRDefault="0003345D" w:rsidP="0003345D"/>
    <w:p w14:paraId="136915C6" w14:textId="77777777" w:rsidR="0003345D" w:rsidRDefault="0003345D" w:rsidP="0003345D"/>
    <w:p w14:paraId="41751B28" w14:textId="77777777" w:rsidR="0003345D" w:rsidRDefault="0003345D" w:rsidP="0003345D"/>
    <w:p w14:paraId="449F9949" w14:textId="77777777" w:rsidR="0003345D" w:rsidRDefault="0003345D" w:rsidP="0003345D"/>
    <w:sectPr w:rsidR="0003345D" w:rsidSect="006A0996">
      <w:footerReference w:type="default" r:id="rId7"/>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0C0A6" w14:textId="77777777" w:rsidR="0003345D" w:rsidRDefault="0003345D" w:rsidP="0003345D">
      <w:r>
        <w:separator/>
      </w:r>
    </w:p>
  </w:endnote>
  <w:endnote w:type="continuationSeparator" w:id="0">
    <w:p w14:paraId="0C68ABF5" w14:textId="77777777" w:rsidR="0003345D" w:rsidRDefault="0003345D" w:rsidP="0003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8A91B" w14:textId="537037F8" w:rsidR="00284CB5" w:rsidRPr="0080234B" w:rsidRDefault="004A3692">
    <w:pPr>
      <w:pStyle w:val="Footer"/>
      <w:pBdr>
        <w:top w:val="thinThickSmallGap" w:sz="24" w:space="1" w:color="823B0B" w:themeColor="accent2" w:themeShade="7F"/>
      </w:pBdr>
      <w:rPr>
        <w:rFonts w:eastAsiaTheme="majorEastAsia"/>
      </w:rPr>
    </w:pPr>
    <w:r w:rsidRPr="0080234B">
      <w:t>Proposed Intro.</w:t>
    </w:r>
    <w:r>
      <w:t xml:space="preserve"> No.</w:t>
    </w:r>
    <w:r w:rsidRPr="0080234B">
      <w:t xml:space="preserve"> </w:t>
    </w:r>
    <w:r w:rsidR="0003345D">
      <w:t>836</w:t>
    </w:r>
    <w:r>
      <w:t>-A</w:t>
    </w:r>
    <w:r w:rsidRPr="0080234B">
      <w:rPr>
        <w:rFonts w:eastAsiaTheme="majorEastAsia"/>
      </w:rPr>
      <w:ptab w:relativeTo="margin" w:alignment="right" w:leader="none"/>
    </w:r>
    <w:r w:rsidRPr="0080234B">
      <w:rPr>
        <w:rFonts w:eastAsiaTheme="majorEastAsia"/>
      </w:rPr>
      <w:t xml:space="preserve">Page </w:t>
    </w:r>
    <w:r w:rsidRPr="0080234B">
      <w:rPr>
        <w:rFonts w:eastAsiaTheme="minorEastAsia"/>
      </w:rPr>
      <w:fldChar w:fldCharType="begin"/>
    </w:r>
    <w:r w:rsidRPr="0080234B">
      <w:instrText xml:space="preserve"> PAGE   \* MERGEFORMAT </w:instrText>
    </w:r>
    <w:r w:rsidRPr="0080234B">
      <w:rPr>
        <w:rFonts w:eastAsiaTheme="minorEastAsia"/>
      </w:rPr>
      <w:fldChar w:fldCharType="separate"/>
    </w:r>
    <w:r w:rsidR="00452868" w:rsidRPr="00452868">
      <w:rPr>
        <w:rFonts w:eastAsiaTheme="majorEastAsia"/>
        <w:noProof/>
      </w:rPr>
      <w:t>2</w:t>
    </w:r>
    <w:r w:rsidRPr="0080234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5737C" w14:textId="77777777" w:rsidR="0003345D" w:rsidRDefault="0003345D" w:rsidP="0003345D">
      <w:r>
        <w:separator/>
      </w:r>
    </w:p>
  </w:footnote>
  <w:footnote w:type="continuationSeparator" w:id="0">
    <w:p w14:paraId="18796D2E" w14:textId="77777777" w:rsidR="0003345D" w:rsidRDefault="0003345D" w:rsidP="00033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5D"/>
    <w:rsid w:val="0002273E"/>
    <w:rsid w:val="0003345D"/>
    <w:rsid w:val="0006612B"/>
    <w:rsid w:val="000B1BB5"/>
    <w:rsid w:val="000E3289"/>
    <w:rsid w:val="0016240F"/>
    <w:rsid w:val="002103FA"/>
    <w:rsid w:val="002424F5"/>
    <w:rsid w:val="002467A7"/>
    <w:rsid w:val="00256E30"/>
    <w:rsid w:val="00270F8B"/>
    <w:rsid w:val="002C2449"/>
    <w:rsid w:val="002E7A17"/>
    <w:rsid w:val="002F13BA"/>
    <w:rsid w:val="00315E6A"/>
    <w:rsid w:val="00326AA8"/>
    <w:rsid w:val="00354BE9"/>
    <w:rsid w:val="00387671"/>
    <w:rsid w:val="003915C8"/>
    <w:rsid w:val="003E2FF7"/>
    <w:rsid w:val="003E4DFD"/>
    <w:rsid w:val="00452868"/>
    <w:rsid w:val="004776BE"/>
    <w:rsid w:val="004A3692"/>
    <w:rsid w:val="004B6EB7"/>
    <w:rsid w:val="004C6660"/>
    <w:rsid w:val="00527CB8"/>
    <w:rsid w:val="00564C20"/>
    <w:rsid w:val="005807E1"/>
    <w:rsid w:val="00586A05"/>
    <w:rsid w:val="00596004"/>
    <w:rsid w:val="00616BC7"/>
    <w:rsid w:val="00617810"/>
    <w:rsid w:val="00651A9C"/>
    <w:rsid w:val="00651F4C"/>
    <w:rsid w:val="00691C87"/>
    <w:rsid w:val="006B4845"/>
    <w:rsid w:val="006B72B5"/>
    <w:rsid w:val="00776DE2"/>
    <w:rsid w:val="007A35E6"/>
    <w:rsid w:val="007B3140"/>
    <w:rsid w:val="007F3C3D"/>
    <w:rsid w:val="00822B67"/>
    <w:rsid w:val="00825181"/>
    <w:rsid w:val="00844D28"/>
    <w:rsid w:val="00893C6C"/>
    <w:rsid w:val="0090398D"/>
    <w:rsid w:val="00904890"/>
    <w:rsid w:val="0091385E"/>
    <w:rsid w:val="0092188E"/>
    <w:rsid w:val="00923DC3"/>
    <w:rsid w:val="00932AAB"/>
    <w:rsid w:val="009439E9"/>
    <w:rsid w:val="009744F8"/>
    <w:rsid w:val="00990A75"/>
    <w:rsid w:val="009F0B5C"/>
    <w:rsid w:val="00A057A4"/>
    <w:rsid w:val="00A32F0E"/>
    <w:rsid w:val="00A425F8"/>
    <w:rsid w:val="00A872A8"/>
    <w:rsid w:val="00A91FA7"/>
    <w:rsid w:val="00B30CF6"/>
    <w:rsid w:val="00B60010"/>
    <w:rsid w:val="00BA7620"/>
    <w:rsid w:val="00BD5B80"/>
    <w:rsid w:val="00C2401C"/>
    <w:rsid w:val="00C26018"/>
    <w:rsid w:val="00C75A41"/>
    <w:rsid w:val="00C90EC2"/>
    <w:rsid w:val="00CE7BE2"/>
    <w:rsid w:val="00D62666"/>
    <w:rsid w:val="00DA200C"/>
    <w:rsid w:val="00DD509C"/>
    <w:rsid w:val="00E141D5"/>
    <w:rsid w:val="00E35BDE"/>
    <w:rsid w:val="00E368BA"/>
    <w:rsid w:val="00E505A0"/>
    <w:rsid w:val="00E95BB7"/>
    <w:rsid w:val="00EA38DD"/>
    <w:rsid w:val="00ED781B"/>
    <w:rsid w:val="00F045D4"/>
    <w:rsid w:val="00F20B2D"/>
    <w:rsid w:val="00F4004E"/>
    <w:rsid w:val="00F5739A"/>
    <w:rsid w:val="00F7343F"/>
    <w:rsid w:val="00FA70C2"/>
    <w:rsid w:val="00FB2398"/>
    <w:rsid w:val="00FB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DB75"/>
  <w15:chartTrackingRefBased/>
  <w15:docId w15:val="{AA26EC30-4959-4391-8ECD-DAE08298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45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345D"/>
    <w:pPr>
      <w:tabs>
        <w:tab w:val="center" w:pos="4680"/>
        <w:tab w:val="right" w:pos="9360"/>
      </w:tabs>
    </w:pPr>
  </w:style>
  <w:style w:type="character" w:customStyle="1" w:styleId="FooterChar">
    <w:name w:val="Footer Char"/>
    <w:basedOn w:val="DefaultParagraphFont"/>
    <w:link w:val="Footer"/>
    <w:uiPriority w:val="99"/>
    <w:rsid w:val="0003345D"/>
    <w:rPr>
      <w:rFonts w:ascii="Times New Roman" w:eastAsia="Times New Roman" w:hAnsi="Times New Roman" w:cs="Times New Roman"/>
      <w:sz w:val="24"/>
      <w:szCs w:val="24"/>
    </w:rPr>
  </w:style>
  <w:style w:type="paragraph" w:styleId="NoSpacing">
    <w:name w:val="No Spacing"/>
    <w:uiPriority w:val="1"/>
    <w:qFormat/>
    <w:rsid w:val="0003345D"/>
    <w:pPr>
      <w:spacing w:after="0" w:line="240" w:lineRule="auto"/>
      <w:jc w:val="both"/>
    </w:pPr>
    <w:rPr>
      <w:rFonts w:ascii="Times New Roman" w:eastAsia="Times New Roman" w:hAnsi="Times New Roman" w:cs="Times New Roman"/>
      <w:sz w:val="24"/>
      <w:szCs w:val="24"/>
    </w:rPr>
  </w:style>
  <w:style w:type="paragraph" w:customStyle="1" w:styleId="FlushLeft">
    <w:name w:val="Flush Left"/>
    <w:aliases w:val="FL"/>
    <w:basedOn w:val="Normal"/>
    <w:rsid w:val="0003345D"/>
    <w:pPr>
      <w:suppressAutoHyphens/>
      <w:spacing w:after="240"/>
    </w:pPr>
    <w:rPr>
      <w:szCs w:val="20"/>
    </w:rPr>
  </w:style>
  <w:style w:type="paragraph" w:styleId="Header">
    <w:name w:val="header"/>
    <w:basedOn w:val="Normal"/>
    <w:link w:val="HeaderChar"/>
    <w:uiPriority w:val="99"/>
    <w:unhideWhenUsed/>
    <w:rsid w:val="0003345D"/>
    <w:pPr>
      <w:tabs>
        <w:tab w:val="center" w:pos="4680"/>
        <w:tab w:val="right" w:pos="9360"/>
      </w:tabs>
    </w:pPr>
  </w:style>
  <w:style w:type="character" w:customStyle="1" w:styleId="HeaderChar">
    <w:name w:val="Header Char"/>
    <w:basedOn w:val="DefaultParagraphFont"/>
    <w:link w:val="Header"/>
    <w:uiPriority w:val="99"/>
    <w:rsid w:val="0003345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F0B5C"/>
    <w:rPr>
      <w:sz w:val="16"/>
      <w:szCs w:val="16"/>
    </w:rPr>
  </w:style>
  <w:style w:type="paragraph" w:styleId="CommentText">
    <w:name w:val="annotation text"/>
    <w:basedOn w:val="Normal"/>
    <w:link w:val="CommentTextChar"/>
    <w:uiPriority w:val="99"/>
    <w:semiHidden/>
    <w:unhideWhenUsed/>
    <w:rsid w:val="009F0B5C"/>
    <w:rPr>
      <w:sz w:val="20"/>
      <w:szCs w:val="20"/>
    </w:rPr>
  </w:style>
  <w:style w:type="character" w:customStyle="1" w:styleId="CommentTextChar">
    <w:name w:val="Comment Text Char"/>
    <w:basedOn w:val="DefaultParagraphFont"/>
    <w:link w:val="CommentText"/>
    <w:uiPriority w:val="99"/>
    <w:semiHidden/>
    <w:rsid w:val="009F0B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0B5C"/>
    <w:rPr>
      <w:b/>
      <w:bCs/>
    </w:rPr>
  </w:style>
  <w:style w:type="character" w:customStyle="1" w:styleId="CommentSubjectChar">
    <w:name w:val="Comment Subject Char"/>
    <w:basedOn w:val="CommentTextChar"/>
    <w:link w:val="CommentSubject"/>
    <w:uiPriority w:val="99"/>
    <w:semiHidden/>
    <w:rsid w:val="009F0B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0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B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Gastelum, Sarah</dc:creator>
  <cp:keywords/>
  <dc:description/>
  <cp:lastModifiedBy>Pagan, Maria</cp:lastModifiedBy>
  <cp:revision>3</cp:revision>
  <dcterms:created xsi:type="dcterms:W3CDTF">2018-10-30T21:19:00Z</dcterms:created>
  <dcterms:modified xsi:type="dcterms:W3CDTF">2018-10-31T13:29:00Z</dcterms:modified>
</cp:coreProperties>
</file>